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47625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66040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For the Fiscal Year Ended </w:t>
      </w:r>
      <w:r>
        <w:rPr>
          <w:rFonts w:ascii="Arial" w:cs="Arial" w:eastAsia="Arial" w:hAnsi="Arial"/>
          <w:sz w:val="14"/>
          <w:szCs w:val="14"/>
          <w:b w:val="1"/>
          <w:bCs w:val="1"/>
          <w:u w:val="single" w:color="auto"/>
          <w:color w:val="auto"/>
        </w:rPr>
        <w:t>December 31, 2021</w:t>
      </w:r>
    </w:p>
    <w:p>
      <w:pPr>
        <w:spacing w:after="0" w:line="2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62" w:lineRule="exact"/>
        <w:rPr>
          <w:sz w:val="24"/>
          <w:szCs w:val="24"/>
          <w:color w:val="auto"/>
        </w:rPr>
      </w:pPr>
    </w:p>
    <w:p>
      <w:pPr>
        <w:ind w:left="3880"/>
        <w:spacing w:after="0"/>
        <w:tabs>
          <w:tab w:leader="none" w:pos="64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3643630</wp:posOffset>
            </wp:positionH>
            <wp:positionV relativeFrom="paragraph">
              <wp:posOffset>-6350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b w:val="1"/>
          <w:bCs w:val="1"/>
          <w:u w:val="single" w:color="auto"/>
          <w:color w:val="auto"/>
        </w:rPr>
        <w:t>001-36379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-287020</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39370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4"/>
              </w:rPr>
              <w:t>Delaware</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jc w:val="right"/>
              <w:ind w:right="2388"/>
              <w:spacing w:after="0"/>
              <w:rPr>
                <w:sz w:val="20"/>
                <w:szCs w:val="20"/>
                <w:color w:val="auto"/>
              </w:rPr>
            </w:pPr>
            <w:r>
              <w:rPr>
                <w:rFonts w:ascii="Arial" w:cs="Arial" w:eastAsia="Arial" w:hAnsi="Arial"/>
                <w:sz w:val="14"/>
                <w:szCs w:val="14"/>
                <w:b w:val="1"/>
                <w:bCs w:val="1"/>
                <w:color w:val="auto"/>
              </w:rPr>
              <w:t>46-1318953</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(I.R.S. Employer Identification No.)</w:t>
            </w:r>
          </w:p>
        </w:tc>
        <w:tc>
          <w:tcPr>
            <w:tcW w:w="0" w:type="dxa"/>
            <w:vAlign w:val="bottom"/>
          </w:tcPr>
          <w:p>
            <w:pPr>
              <w:spacing w:after="0"/>
              <w:rPr>
                <w:sz w:val="1"/>
                <w:szCs w:val="1"/>
                <w:color w:val="auto"/>
              </w:rPr>
            </w:pPr>
          </w:p>
        </w:tc>
      </w:tr>
      <w:tr>
        <w:trPr>
          <w:trHeight w:val="259"/>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3590 North First Street, Suite 210, San Jose, CA</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40" w:type="dxa"/>
            <w:vAlign w:val="bottom"/>
          </w:tcPr>
          <w:p>
            <w:pPr>
              <w:jc w:val="right"/>
              <w:ind w:right="2548"/>
              <w:spacing w:after="0"/>
              <w:rPr>
                <w:sz w:val="20"/>
                <w:szCs w:val="20"/>
                <w:color w:val="auto"/>
              </w:rPr>
            </w:pPr>
            <w:r>
              <w:rPr>
                <w:rFonts w:ascii="Arial" w:cs="Arial" w:eastAsia="Arial" w:hAnsi="Arial"/>
                <w:sz w:val="14"/>
                <w:szCs w:val="14"/>
                <w:b w:val="1"/>
                <w:bCs w:val="1"/>
                <w:color w:val="auto"/>
              </w:rPr>
              <w:t>95134</w:t>
            </w:r>
          </w:p>
        </w:tc>
        <w:tc>
          <w:tcPr>
            <w:tcW w:w="0" w:type="dxa"/>
            <w:vAlign w:val="bottom"/>
          </w:tcPr>
          <w:p>
            <w:pPr>
              <w:spacing w:after="0"/>
              <w:rPr>
                <w:sz w:val="1"/>
                <w:szCs w:val="1"/>
                <w:color w:val="auto"/>
              </w:rPr>
            </w:pPr>
          </w:p>
        </w:tc>
      </w:tr>
      <w:tr>
        <w:trPr>
          <w:trHeight w:val="186"/>
        </w:trPr>
        <w:tc>
          <w:tcPr>
            <w:tcW w:w="4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40" w:type="dxa"/>
            <w:vAlign w:val="bottom"/>
          </w:tcPr>
          <w:p>
            <w:pPr>
              <w:ind w:left="200"/>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65"/>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(408) 963-0200</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40" w:type="dxa"/>
            <w:vAlign w:val="bottom"/>
            <w:gridSpan w:val="6"/>
          </w:tcPr>
          <w:p>
            <w:pPr>
              <w:jc w:val="center"/>
              <w:ind w:left="382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4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500" w:type="dxa"/>
            <w:vAlign w:val="bottom"/>
            <w:gridSpan w:val="3"/>
            <w:vMerge w:val="restart"/>
          </w:tcPr>
          <w:p>
            <w:pPr>
              <w:jc w:val="center"/>
              <w:ind w:right="1680"/>
              <w:spacing w:after="0"/>
              <w:rPr>
                <w:sz w:val="20"/>
                <w:szCs w:val="20"/>
                <w:color w:val="auto"/>
              </w:rPr>
            </w:pPr>
            <w:r>
              <w:rPr>
                <w:rFonts w:ascii="Arial" w:cs="Arial" w:eastAsia="Arial" w:hAnsi="Arial"/>
                <w:sz w:val="14"/>
                <w:szCs w:val="14"/>
                <w:b w:val="1"/>
                <w:bCs w:val="1"/>
                <w:color w:val="auto"/>
                <w:w w:val="97"/>
              </w:rPr>
              <w:t>Trading</w:t>
            </w:r>
          </w:p>
        </w:tc>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84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gridSpan w:val="3"/>
            <w:vMerge w:val="continue"/>
          </w:tcPr>
          <w:p>
            <w:pPr>
              <w:spacing w:after="0"/>
              <w:rPr>
                <w:sz w:val="9"/>
                <w:szCs w:val="9"/>
                <w:color w:val="auto"/>
              </w:rPr>
            </w:pPr>
          </w:p>
        </w:tc>
        <w:tc>
          <w:tcPr>
            <w:tcW w:w="3900" w:type="dxa"/>
            <w:vAlign w:val="bottom"/>
            <w:gridSpan w:val="2"/>
            <w:vMerge w:val="restart"/>
          </w:tcPr>
          <w:p>
            <w:pPr>
              <w:jc w:val="center"/>
              <w:ind w:right="106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840" w:type="dxa"/>
            <w:vAlign w:val="bottom"/>
            <w:gridSpan w:val="3"/>
            <w:vMerge w:val="continue"/>
          </w:tcPr>
          <w:p>
            <w:pPr>
              <w:spacing w:after="0"/>
              <w:rPr>
                <w:sz w:val="14"/>
                <w:szCs w:val="14"/>
                <w:color w:val="auto"/>
              </w:rPr>
            </w:pPr>
          </w:p>
        </w:tc>
        <w:tc>
          <w:tcPr>
            <w:tcW w:w="2500" w:type="dxa"/>
            <w:vAlign w:val="bottom"/>
            <w:gridSpan w:val="3"/>
          </w:tcPr>
          <w:p>
            <w:pPr>
              <w:jc w:val="center"/>
              <w:ind w:right="168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80" w:type="dxa"/>
            <w:vAlign w:val="bottom"/>
            <w:tcBorders>
              <w:top w:val="single" w:sz="8" w:color="auto"/>
            </w:tcBorders>
          </w:tcPr>
          <w:p>
            <w:pPr>
              <w:ind w:left="1100"/>
              <w:spacing w:after="0"/>
              <w:rPr>
                <w:sz w:val="20"/>
                <w:szCs w:val="20"/>
                <w:color w:val="auto"/>
              </w:rPr>
            </w:pPr>
            <w:r>
              <w:rPr>
                <w:rFonts w:ascii="Arial" w:cs="Arial" w:eastAsia="Arial" w:hAnsi="Arial"/>
                <w:sz w:val="14"/>
                <w:szCs w:val="14"/>
                <w:color w:val="auto"/>
              </w:rPr>
              <w:t>Common Stock, $0.00001 par value</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center"/>
              <w:ind w:right="348"/>
              <w:spacing w:after="0"/>
              <w:rPr>
                <w:sz w:val="20"/>
                <w:szCs w:val="20"/>
                <w:color w:val="auto"/>
              </w:rPr>
            </w:pPr>
            <w:r>
              <w:rPr>
                <w:rFonts w:ascii="Arial" w:cs="Arial" w:eastAsia="Arial" w:hAnsi="Arial"/>
                <w:sz w:val="14"/>
                <w:szCs w:val="14"/>
                <w:color w:val="auto"/>
                <w:w w:val="95"/>
              </w:rPr>
              <w:t>WATT</w:t>
            </w: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340" w:type="dxa"/>
            <w:vAlign w:val="bottom"/>
            <w:tcBorders>
              <w:top w:val="single" w:sz="8" w:color="auto"/>
            </w:tcBorders>
          </w:tcPr>
          <w:p>
            <w:pPr>
              <w:jc w:val="center"/>
              <w:ind w:right="1648"/>
              <w:spacing w:after="0"/>
              <w:rPr>
                <w:sz w:val="20"/>
                <w:szCs w:val="20"/>
                <w:color w:val="auto"/>
              </w:rPr>
            </w:pPr>
            <w:r>
              <w:rPr>
                <w:rFonts w:ascii="Arial" w:cs="Arial" w:eastAsia="Arial" w:hAnsi="Arial"/>
                <w:sz w:val="14"/>
                <w:szCs w:val="14"/>
                <w:color w:val="auto"/>
                <w:w w:val="92"/>
              </w:rPr>
              <w:t>The Nasdaq Stock Market</w:t>
            </w:r>
          </w:p>
        </w:tc>
        <w:tc>
          <w:tcPr>
            <w:tcW w:w="0" w:type="dxa"/>
            <w:vAlign w:val="bottom"/>
          </w:tcPr>
          <w:p>
            <w:pPr>
              <w:spacing w:after="0"/>
              <w:rPr>
                <w:sz w:val="1"/>
                <w:szCs w:val="1"/>
                <w:color w:val="auto"/>
              </w:rPr>
            </w:pPr>
          </w:p>
        </w:tc>
      </w:tr>
      <w:tr>
        <w:trPr>
          <w:trHeight w:val="182"/>
        </w:trPr>
        <w:tc>
          <w:tcPr>
            <w:tcW w:w="734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 (g) of the Act: Common Stock, par value $0.00001 per share</w:t>
            </w: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34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5"/>
        </w:trPr>
        <w:tc>
          <w:tcPr>
            <w:tcW w:w="7340" w:type="dxa"/>
            <w:vAlign w:val="bottom"/>
            <w:gridSpan w:val="6"/>
          </w:tcPr>
          <w:p>
            <w:pPr>
              <w:ind w:left="440"/>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40" w:type="dxa"/>
            <w:vAlign w:val="bottom"/>
            <w:gridSpan w:val="6"/>
          </w:tcPr>
          <w:p>
            <w:pPr>
              <w:ind w:left="440"/>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33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18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16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44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5"/>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32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15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60" w:type="dxa"/>
            <w:vAlign w:val="bottom"/>
          </w:tcPr>
          <w:p>
            <w:pPr>
              <w:ind w:left="292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ind w:right="12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3" w:lineRule="exact"/>
        <w:rPr>
          <w:sz w:val="24"/>
          <w:szCs w:val="24"/>
          <w:color w:val="auto"/>
        </w:rPr>
      </w:pPr>
    </w:p>
    <w:p>
      <w:pPr>
        <w:ind w:right="80" w:firstLine="432"/>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6500" w:val="left"/>
          <w:tab w:leader="none" w:pos="70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80" w:firstLine="440"/>
        <w:spacing w:after="0" w:line="230"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$174,934,763.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p>
    <w:p>
      <w:pPr>
        <w:spacing w:after="0" w:line="8"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March 14, 2022, there were 77,035,381 shares of the registrant’s common stock outstanding.</w:t>
      </w:r>
    </w:p>
    <w:p>
      <w:pPr>
        <w:spacing w:after="0" w:line="28"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21" w:lineRule="exact"/>
        <w:rPr>
          <w:sz w:val="24"/>
          <w:szCs w:val="24"/>
          <w:color w:val="auto"/>
        </w:rPr>
      </w:pPr>
    </w:p>
    <w:p>
      <w:pPr>
        <w:ind w:right="260" w:firstLine="440"/>
        <w:spacing w:after="0" w:line="243" w:lineRule="auto"/>
        <w:rPr>
          <w:sz w:val="20"/>
          <w:szCs w:val="20"/>
          <w:color w:val="auto"/>
        </w:rPr>
      </w:pPr>
      <w:r>
        <w:rPr>
          <w:rFonts w:ascii="Arial" w:cs="Arial" w:eastAsia="Arial" w:hAnsi="Arial"/>
          <w:sz w:val="14"/>
          <w:szCs w:val="14"/>
          <w:color w:val="auto"/>
        </w:rPr>
        <w:t>The registrant intends to file a definitive proxy statement pursuant to Regulation 14A within 120 days after the end of the fiscal year ended December 31, 2021.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98"/>
              </w:rPr>
              <w:t>ENERGOUS CORPORATION</w:t>
            </w:r>
          </w:p>
        </w:tc>
        <w:tc>
          <w:tcPr>
            <w:tcW w:w="104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0"/>
                <w:szCs w:val="20"/>
                <w:color w:val="auto"/>
              </w:rPr>
            </w:pPr>
          </w:p>
        </w:tc>
      </w:tr>
      <w:tr>
        <w:trPr>
          <w:trHeight w:val="418"/>
        </w:trPr>
        <w:tc>
          <w:tcPr>
            <w:tcW w:w="12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300" w:type="dxa"/>
            <w:vAlign w:val="bottom"/>
            <w:gridSpan w:val="21"/>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1B. Unresolved Staff Comments</w:t>
              </w:r>
            </w:hyperlink>
          </w:p>
        </w:tc>
        <w:tc>
          <w:tcPr>
            <w:tcW w:w="6820" w:type="dxa"/>
            <w:vAlign w:val="bottom"/>
            <w:gridSpan w:val="1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 Properties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3. Legal Proceedings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 Mine Safety Disclosures</w:t>
              </w:r>
            </w:hyperlink>
          </w:p>
        </w:tc>
        <w:tc>
          <w:tcPr>
            <w:tcW w:w="7220" w:type="dxa"/>
            <w:vAlign w:val="bottom"/>
            <w:gridSpan w:val="15"/>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0"/>
        </w:trPr>
        <w:tc>
          <w:tcPr>
            <w:tcW w:w="126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PART II</w:t>
              </w:r>
            </w:hyperlink>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894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40" w:type="dxa"/>
            <w:vAlign w:val="bottom"/>
            <w:tcBorders>
              <w:top w:val="single" w:sz="8" w:color="0000EE"/>
            </w:tcBorders>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6. Reserved</w:t>
              </w:r>
            </w:hyperlink>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7.</w:t>
              </w:r>
            </w:hyperlink>
          </w:p>
        </w:tc>
        <w:tc>
          <w:tcPr>
            <w:tcW w:w="64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7A. Quantitative and Qualitative Disclosures About Market Risk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0000EE"/>
            </w:tcBorders>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8.</w:t>
              </w:r>
            </w:hyperlink>
          </w:p>
        </w:tc>
        <w:tc>
          <w:tcPr>
            <w:tcW w:w="4480" w:type="dxa"/>
            <w:vAlign w:val="bottom"/>
            <w:tcBorders>
              <w:top w:val="single" w:sz="8" w:color="0000EE"/>
            </w:tcBorders>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4460" w:type="dxa"/>
            <w:vAlign w:val="bottom"/>
            <w:gridSpan w:val="7"/>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9.</w:t>
              </w:r>
            </w:hyperlink>
          </w:p>
        </w:tc>
        <w:tc>
          <w:tcPr>
            <w:tcW w:w="65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Changes in and Disagreements with Accountants on Accounting and Financial Disclosure.</w:t>
              </w:r>
            </w:hyperlink>
          </w:p>
        </w:tc>
        <w:tc>
          <w:tcPr>
            <w:tcW w:w="2420" w:type="dxa"/>
            <w:vAlign w:val="bottom"/>
            <w:gridSpan w:val="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Item 9A. Controls and Procedures</w:t>
              </w:r>
            </w:hyperlink>
          </w:p>
        </w:tc>
        <w:tc>
          <w:tcPr>
            <w:tcW w:w="7080" w:type="dxa"/>
            <w:vAlign w:val="bottom"/>
            <w:gridSpan w:val="13"/>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9B. Other Information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9C. Disclosures Regarding Foreign Jurisdictions That Prevent Inspections.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PART III</w:t>
              </w:r>
            </w:hyperlink>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10.</w:t>
              </w:r>
            </w:hyperlink>
          </w:p>
        </w:tc>
        <w:tc>
          <w:tcPr>
            <w:tcW w:w="8940" w:type="dxa"/>
            <w:vAlign w:val="bottom"/>
            <w:gridSpan w:val="23"/>
          </w:tcPr>
          <w:p>
            <w:pPr>
              <w:ind w:left="80"/>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Item 11. Executive Compensation</w:t>
              </w:r>
            </w:hyperlink>
          </w:p>
        </w:tc>
        <w:tc>
          <w:tcPr>
            <w:tcW w:w="2380" w:type="dxa"/>
            <w:vAlign w:val="bottom"/>
            <w:tcBorders>
              <w:top w:val="single" w:sz="8" w:color="0000EE"/>
            </w:tcBorders>
            <w:gridSpan w:val="6"/>
          </w:tcPr>
          <w:p>
            <w:pPr>
              <w:spacing w:after="0"/>
              <w:rPr>
                <w:sz w:val="18"/>
                <w:szCs w:val="18"/>
                <w:color w:val="auto"/>
              </w:rPr>
            </w:pPr>
          </w:p>
        </w:tc>
        <w:tc>
          <w:tcPr>
            <w:tcW w:w="4720" w:type="dxa"/>
            <w:vAlign w:val="bottom"/>
            <w:gridSpan w:val="8"/>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12.</w:t>
              </w:r>
            </w:hyperlink>
          </w:p>
        </w:tc>
        <w:tc>
          <w:tcPr>
            <w:tcW w:w="7500" w:type="dxa"/>
            <w:vAlign w:val="bottom"/>
            <w:tcBorders>
              <w:bottom w:val="single" w:sz="8" w:color="0000EE"/>
            </w:tcBorders>
            <w:gridSpan w:val="21"/>
          </w:tcPr>
          <w:p>
            <w:pPr>
              <w:ind w:left="80"/>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Security Ownership of Certain Beneficial Owners and Management and Related Stockholders Matters.</w:t>
              </w:r>
            </w:hyperlink>
          </w:p>
        </w:tc>
        <w:tc>
          <w:tcPr>
            <w:tcW w:w="144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13.</w:t>
              </w:r>
            </w:hyperlink>
          </w:p>
        </w:tc>
        <w:tc>
          <w:tcPr>
            <w:tcW w:w="5540" w:type="dxa"/>
            <w:vAlign w:val="bottom"/>
            <w:tcBorders>
              <w:bottom w:val="single" w:sz="8" w:color="0000EE"/>
            </w:tcBorders>
            <w:gridSpan w:val="18"/>
          </w:tcPr>
          <w:p>
            <w:pPr>
              <w:ind w:left="80"/>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Certain Relationships and Related Transactions, and Director Independence</w:t>
              </w:r>
            </w:hyperlink>
          </w:p>
        </w:tc>
        <w:tc>
          <w:tcPr>
            <w:tcW w:w="3400" w:type="dxa"/>
            <w:vAlign w:val="bottom"/>
            <w:gridSpan w:val="5"/>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Item 14.</w:t>
              </w:r>
            </w:hyperlink>
          </w:p>
        </w:tc>
        <w:tc>
          <w:tcPr>
            <w:tcW w:w="8940" w:type="dxa"/>
            <w:vAlign w:val="bottom"/>
            <w:gridSpan w:val="23"/>
          </w:tcPr>
          <w:p>
            <w:pPr>
              <w:ind w:left="80"/>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680" w:type="dxa"/>
            <w:vAlign w:val="bottom"/>
            <w:tcBorders>
              <w:right w:val="single" w:sz="8" w:color="0000EE"/>
            </w:tcBorders>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PART IV</w:t>
              </w:r>
            </w:hyperlink>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Item 15.</w:t>
              </w:r>
            </w:hyperlink>
          </w:p>
        </w:tc>
        <w:tc>
          <w:tcPr>
            <w:tcW w:w="3360" w:type="dxa"/>
            <w:vAlign w:val="bottom"/>
            <w:tcBorders>
              <w:bottom w:val="single" w:sz="8" w:color="0000EE"/>
            </w:tcBorders>
            <w:gridSpan w:val="14"/>
          </w:tcPr>
          <w:p>
            <w:pPr>
              <w:ind w:left="8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Exhibits, Financial Statements and Schedules</w:t>
              </w:r>
            </w:hyperlink>
          </w:p>
        </w:tc>
        <w:tc>
          <w:tcPr>
            <w:tcW w:w="5580" w:type="dxa"/>
            <w:vAlign w:val="bottom"/>
            <w:gridSpan w:val="9"/>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520" w:type="dxa"/>
            <w:vAlign w:val="bottom"/>
            <w:gridSpan w:val="2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16. Form 10-K Summary</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797"/>
        </w:trPr>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As used in this Annual Report on Form 10-K, unless the context otherwise requires the terms “we,” “us,” “our,” and “Energous” refer to Energous Corporation, a Delaware corporation.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This Annual Report on Form 10-K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cash flows and financial performance; and anticipated results of research and development efforts. These forward-looking statements are based on our current information and beliefs. Because forward-looking statements relate to the future, they are subject to inherent uncertainties, risks and changes in circumstances that are unpredictable and many of which are outside of our control. Actual results may differ materially from what is anticipated, so you should not rely on these forward-looking statements. Important factors that could cause actual outcomes to differ materially from those indicated in the forward-looking statements include, among others, the following: our ability to develop a commercially feasible technology; receipt of necessary regulatory approval; our ability to find and maintain development partners, market acceptance of our technology; competition in our industry; protection of our intellectual property; and other risks and uncertainties described in the Risk Factors and in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color w:val="auto"/>
        </w:rPr>
        <w:t>We have developed our WattUp® wireless power technology, consisting of semiconductor chipsets, software controls, hardware designs and antennas, that enables radio frequency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recent report of the International Data Corporation, or the IDC, titled “Worldwide Global DataSphere IoT Device and Data Forecast, 2021–2025,” the IoT market is forecasted to grow to 39.3 billion devices by 2025. The initial IoT applications that we are targeting are in the area of RF tags and electronic shelf labeling (“ESL”) for retail, industrial and healthcare markets.</w:t>
      </w:r>
    </w:p>
    <w:p>
      <w:pPr>
        <w:spacing w:after="0" w:line="177" w:lineRule="exact"/>
        <w:rPr>
          <w:sz w:val="20"/>
          <w:szCs w:val="20"/>
          <w:color w:val="auto"/>
        </w:rPr>
      </w:pPr>
    </w:p>
    <w:p>
      <w:pPr>
        <w:ind w:right="140" w:firstLine="864"/>
        <w:spacing w:after="0" w:line="286"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support a myriad of applications including Bluetooth tracking tags, IoT sensors, ESLs, beacons, stock management devices, security cameras, handheld devices, smart automation, wearables, hearables, and more.</w:t>
      </w:r>
    </w:p>
    <w:p>
      <w:pPr>
        <w:spacing w:after="0" w:line="1" w:lineRule="exact"/>
        <w:rPr>
          <w:sz w:val="20"/>
          <w:szCs w:val="20"/>
          <w:color w:val="auto"/>
        </w:rPr>
      </w:pPr>
    </w:p>
    <w:p>
      <w:pPr>
        <w:ind w:right="60" w:firstLine="864"/>
        <w:spacing w:after="0" w:line="255"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 w:name="page4"/>
    <w:bookmarkEnd w:id="3"/>
    <w:p>
      <w:pPr>
        <w:ind w:firstLine="864"/>
        <w:spacing w:after="0" w:line="296" w:lineRule="auto"/>
        <w:rPr>
          <w:sz w:val="20"/>
          <w:szCs w:val="20"/>
          <w:color w:val="auto"/>
        </w:rPr>
      </w:pPr>
      <w:r>
        <w:rPr>
          <w:rFonts w:ascii="Arial" w:cs="Arial" w:eastAsia="Arial" w:hAnsi="Arial"/>
          <w:sz w:val="16"/>
          <w:szCs w:val="16"/>
          <w:color w:val="auto"/>
        </w:rPr>
        <w:t>In December 2017, we announced the Federal Communications Commission, or the FCC certification of our first-generation WattUp Mid Field transmitter, which simultaneously powers multiple devices at a distance of up to three feet. This transmitter underwent rigorous, multi-month testing to verify that it met consumer safety and regulatory requirements. We believe this was the first certification of a Part 18 FCC-approved non-contact wireless charging transmitter, and that it establishes engineering design precedents that can streamline future regulatory approvals for our technology and for our customers’ end-products that employ our technology. In addition, in December 2021, we received FCC certification for unlimited distance charging.</w:t>
      </w:r>
    </w:p>
    <w:p>
      <w:pPr>
        <w:spacing w:after="0" w:line="161" w:lineRule="exact"/>
        <w:rPr>
          <w:sz w:val="20"/>
          <w:szCs w:val="20"/>
          <w:color w:val="auto"/>
        </w:rPr>
      </w:pPr>
    </w:p>
    <w:p>
      <w:pPr>
        <w:ind w:right="140" w:firstLine="864"/>
        <w:spacing w:after="0" w:line="287" w:lineRule="auto"/>
        <w:rPr>
          <w:sz w:val="20"/>
          <w:szCs w:val="20"/>
          <w:color w:val="auto"/>
        </w:rPr>
      </w:pPr>
      <w:r>
        <w:rPr>
          <w:rFonts w:ascii="Arial" w:cs="Arial" w:eastAsia="Arial" w:hAnsi="Arial"/>
          <w:sz w:val="16"/>
          <w:szCs w:val="16"/>
          <w:color w:val="auto"/>
        </w:rPr>
        <w:t>Our technology solution consists principally of transmitter controller integrated circuits, or ICs, power amplifier ICs and receiver ICs, as well as novel antenna designs, application prototypes and proprietary software algorithms. We submitted our first IC design for wafer fabrication in 2013 and since then have developed subsequent generations of transmitter and receiver ICs, antenna designs, and software algorithms. We have endeavored to optimize our technology by reducing size and cost, while at the same time increasing performance which enables our designs to be integrated into a broad range of devices. We have developed a “building block” approach that allows us to scale our product implementations by combining multiple transmitter building blocks or multiple receiver building blocks to meet the power, distance, size and cost requirements of customer applications requirements. Our technology is readily scalable because the same ICs that are used for contact-based charging can be used for distance-based charging solutions. We have developed two classes of chip solutions, a CMOS-based technology focused on low cost, small footprint and low power (1 watt) and a GaAs/GaN-based technology capable of delivering higher power (greater than 1 watt) with greater efficiency. We intend to continue to invest in improving product performance, efficiency, cost-performance, integration, regulatory approval and miniaturization as required to reach multiple markets and expand the power-at-a-distance ecosystem, while maintaining a technology lead on potential competitors.</w:t>
      </w:r>
    </w:p>
    <w:p>
      <w:pPr>
        <w:spacing w:after="0" w:line="172"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We sell evaluation kits to potential customers of our technology, to allow their respective engineering and product management departments to test and evaluate the technology. Our customers’ product development, technology integration and product introduction cycles occur over multiple quarters and generally span a period of more than a year to two years and can elapse before first evaluation and final shipment of the customer’s product. Once our customers begin to sell products to end customers that incorporate our technology, we would expect the commercialization cycle to shorten over time as the technology matures and market acceptance grows.</w:t>
      </w:r>
    </w:p>
    <w:p>
      <w:pPr>
        <w:spacing w:after="0" w:line="188" w:lineRule="exact"/>
        <w:rPr>
          <w:sz w:val="20"/>
          <w:szCs w:val="20"/>
          <w:color w:val="auto"/>
        </w:rPr>
      </w:pPr>
    </w:p>
    <w:p>
      <w:pPr>
        <w:ind w:right="60" w:firstLine="864"/>
        <w:spacing w:after="0" w:line="271" w:lineRule="auto"/>
        <w:rPr>
          <w:sz w:val="20"/>
          <w:szCs w:val="20"/>
          <w:color w:val="auto"/>
        </w:rPr>
      </w:pPr>
      <w:r>
        <w:rPr>
          <w:rFonts w:ascii="Arial" w:cs="Arial" w:eastAsia="Arial" w:hAnsi="Arial"/>
          <w:sz w:val="17"/>
          <w:szCs w:val="17"/>
          <w:color w:val="auto"/>
        </w:rPr>
        <w:t>We maintain the rights to all intellectual property in our technology. We have implemented a comprehensive intellectual property strategy and are continuing to pursue patent protection for all key innovations. As of December 31, 2021, the Energous IP portfolio contained over 200 awarded patents in the United States, which are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In addition to the inventions covered by these patents, we have also identified specific inventions that we believe are novel and patentable. We intend to file for patent protection for the most valuable of these, and for other inventions that we expect to develop. This is a significant annual expense, and we continually monitor the costs and benefits of each patent application and pursue and maintain those that we believe are most protective for our business and expand our core value.</w:t>
      </w:r>
    </w:p>
    <w:p>
      <w:pPr>
        <w:spacing w:after="0" w:line="178"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Our seasoned management team has both private and public company experience, as well as relevant industry experience. In addition, our team consists of key engineering talents in the areas of IC development, antenna development, hardware, software and firmware engineering as well as integration and testing, which will allow us to continue to expand our technology and intellectual property and to meet our customers’ support requirements.</w:t>
      </w:r>
    </w:p>
    <w:p>
      <w:pPr>
        <w:spacing w:after="0" w:line="146" w:lineRule="exact"/>
        <w:rPr>
          <w:sz w:val="20"/>
          <w:szCs w:val="20"/>
          <w:color w:val="auto"/>
        </w:rPr>
      </w:pPr>
    </w:p>
    <w:p>
      <w:pPr>
        <w:ind w:right="100" w:firstLine="864"/>
        <w:spacing w:after="0" w:line="286" w:lineRule="auto"/>
        <w:rPr>
          <w:sz w:val="20"/>
          <w:szCs w:val="20"/>
          <w:color w:val="auto"/>
        </w:rPr>
      </w:pPr>
      <w:r>
        <w:rPr>
          <w:rFonts w:ascii="Arial" w:cs="Arial" w:eastAsia="Arial" w:hAnsi="Arial"/>
          <w:sz w:val="17"/>
          <w:szCs w:val="17"/>
          <w:color w:val="auto"/>
        </w:rPr>
        <w:t>In November 2016 we entered into a Strategic Alliance Agreement with Dialog Semiconductor plc (“Dialog”), an industry leader in Bluetooth low energy semiconductors and power management semiconductors. In conjunction with the Strategic Alliance Agreement, Dialog was the exclusive distributor of our integrated circuit (“IC”) products and provided sales and chip operations support to customers on a global basis.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 w:name="page5"/>
    <w:bookmarkEnd w:id="4"/>
    <w:p>
      <w:pPr>
        <w:ind w:firstLine="864"/>
        <w:spacing w:after="0" w:line="296" w:lineRule="auto"/>
        <w:rPr>
          <w:sz w:val="20"/>
          <w:szCs w:val="20"/>
          <w:color w:val="auto"/>
        </w:rPr>
      </w:pPr>
      <w:r>
        <w:rPr>
          <w:rFonts w:ascii="Arial" w:cs="Arial" w:eastAsia="Arial" w:hAnsi="Arial"/>
          <w:sz w:val="16"/>
          <w:szCs w:val="16"/>
          <w:color w:val="auto"/>
        </w:rPr>
        <w:t>On September 20, 2021, we were notified by Dialog, that it was recently acquired by Renesas Electronics Corporation and that it was terminating the Strategic Alliance Agreement, or the Alliance Agreement, between us and Dialog. The Alliance Agreement allows for a transition and separation period which will conclude in or prior to September 2024. During the wind down period, the Alliance Agreement’s terms will continue to apply to the Company’s products that are covered by certain existing customer relationships, except that the parties’ respective exclusivity rights have terminated. As a result of the termination, we have been developing our own internal capabilities, as well as developing a network of contract manufacturers.</w:t>
      </w:r>
    </w:p>
    <w:p>
      <w:pPr>
        <w:spacing w:after="0" w:line="161" w:lineRule="exact"/>
        <w:rPr>
          <w:sz w:val="20"/>
          <w:szCs w:val="20"/>
          <w:color w:val="auto"/>
        </w:rPr>
      </w:pPr>
    </w:p>
    <w:p>
      <w:pPr>
        <w:ind w:right="140" w:firstLine="589"/>
        <w:spacing w:after="0" w:line="311" w:lineRule="auto"/>
        <w:rPr>
          <w:sz w:val="20"/>
          <w:szCs w:val="20"/>
          <w:color w:val="auto"/>
        </w:rPr>
      </w:pPr>
      <w:r>
        <w:rPr>
          <w:rFonts w:ascii="Arial" w:cs="Arial" w:eastAsia="Arial" w:hAnsi="Arial"/>
          <w:sz w:val="16"/>
          <w:szCs w:val="16"/>
          <w:color w:val="auto"/>
        </w:rPr>
        <w:t>Our common stock is quoted on The Nasdaq Stock Market under the symbol “WATT”. We were incorporated in Delaware in 2012. Our corporate headquarters is located at 3590 North First Street, Suite 210, San Jose, CA 95134. Our website can be accessed at www.energous.com. The information contained on, or that may be obtained from our website, is not, and shall not be deemed to be, part of this Annual Report on Form 10-K.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We believe that a large market opportunity lies in wire-free low-power charging at-a-distance, which might develop as the Wi-Fi ecosystem developed. The goal is to ensure interoperability between transmitters and receivers that are based on our technology, regardless of who made them, installed them into finished goods, or marketed them. The implementation of previous ubiquitous solutions, such as Wi-Fi and Bluetooth, illustrates our goal. For example, Wi-Fi routers, regardless of their designer or manufacturer, work with Wi-Fi receivers installed in consumer electronics, regardless of manufacturer. We endeavor to:</w:t>
      </w:r>
    </w:p>
    <w:p>
      <w:pPr>
        <w:spacing w:after="0" w:line="80"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multiple ICs to advance the technology;</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license and manufacture a complete Transmitter solution to enable WPN growth;</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reference designs to reduce early adopter risks, enable easier integration at lower costs and foster adoption;</w:t>
      </w:r>
    </w:p>
    <w:p>
      <w:pPr>
        <w:spacing w:after="0" w:line="144" w:lineRule="exact"/>
        <w:rPr>
          <w:rFonts w:ascii="Arial" w:cs="Arial" w:eastAsia="Arial" w:hAnsi="Arial"/>
          <w:sz w:val="18"/>
          <w:szCs w:val="18"/>
          <w:color w:val="auto"/>
        </w:rPr>
      </w:pPr>
    </w:p>
    <w:p>
      <w:pPr>
        <w:ind w:left="880" w:right="240" w:hanging="440"/>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build additional value by converging networking, power and data to provide smarter vertical solution in retail, industrial and healthcare through our WattUp PowerBridge products designed for powering next generation IoT. First target applications include electronic shelf labels (ESLs) and RF tags;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 with leading technology and systems companies;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game-changing benefits to the consumer in terms of utility and convenience;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and execute on a strategy to gain global regulatory approval for ubiquitous unlimited distance charging; and</w:t>
      </w:r>
    </w:p>
    <w:p>
      <w:pPr>
        <w:spacing w:after="0" w:line="117" w:lineRule="exact"/>
        <w:rPr>
          <w:rFonts w:ascii="Arial" w:cs="Arial" w:eastAsia="Arial" w:hAnsi="Arial"/>
          <w:sz w:val="18"/>
          <w:szCs w:val="18"/>
          <w:color w:val="auto"/>
        </w:rPr>
      </w:pPr>
    </w:p>
    <w:p>
      <w:pPr>
        <w:ind w:left="880" w:right="40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 the AirFuel™ Alliance (AFA) that is expected to lead to a qualification process to ensure compatibility of our WattUp technology across vendors and develop a common user experience at the application level.</w:t>
      </w:r>
    </w:p>
    <w:p>
      <w:pPr>
        <w:spacing w:after="0" w:line="200" w:lineRule="exact"/>
        <w:rPr>
          <w:sz w:val="20"/>
          <w:szCs w:val="20"/>
          <w:color w:val="auto"/>
        </w:rPr>
      </w:pPr>
    </w:p>
    <w:p>
      <w:pPr>
        <w:spacing w:after="0" w:line="29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For our technology to become a ubiquitous solution for charging at-a-distance, we intend to pursue an ecosystem strategy for our technology, engaging not only potential customers for our transmitter, receiver and power amplifier IC’s but also their upstream and downstream value chain partners. We intend to capitalize on our first-to-market advantage and prioritize protection of our intellectual property portfolio, as we believe this strategy will make it less likely that a competing platform will be able to gain a solid foothold in the RF-based wireless charging market and compete with our technology in a meaningful way.</w:t>
      </w:r>
    </w:p>
    <w:p>
      <w:pPr>
        <w:spacing w:after="0" w:line="18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To engage with potential customers of the WattUp IC’s, we offer the Developer Kits consisting of a transmitter and a receiver along with the enabling software to allow potential strategic partners to test the technology in their labs. The kits form a base “building block” component that is scalable to meet the needs of specific applications. We are developing processes and support capabilities to assist potential customers as they evaluate the technology and develop specific designs to incorporate it.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 w:name="page6"/>
    <w:bookmarkEnd w:id="5"/>
    <w:p>
      <w:pPr>
        <w:ind w:right="100" w:firstLine="589"/>
        <w:spacing w:after="0" w:line="259" w:lineRule="auto"/>
        <w:rPr>
          <w:sz w:val="20"/>
          <w:szCs w:val="20"/>
          <w:color w:val="auto"/>
        </w:rPr>
      </w:pPr>
      <w:r>
        <w:rPr>
          <w:rFonts w:ascii="Arial" w:cs="Arial" w:eastAsia="Arial" w:hAnsi="Arial"/>
          <w:sz w:val="18"/>
          <w:szCs w:val="18"/>
          <w:color w:val="auto"/>
        </w:rPr>
        <w:t>To validate our technology, we originally sought out customers that were smaller, more nimble early adopters with relatively short product cycles and the ability to ship fully integrated WattUp enabled devices to the consumer as quickly as possible. At the same time, we began to engage with larger, top tier customers with the ability to ship WattUp enabled consumer and IoT devices in mass quantities. We are also engaged with companies that have much longer product cycles in multiple vertical markets.</w:t>
      </w:r>
    </w:p>
    <w:p>
      <w:pPr>
        <w:spacing w:after="0" w:line="18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Since we are developing a new electronics charging paradigm, we expect many operational details of our strategy to continue to evolve as our technology matures, engineering breakthroughs occur and new partner collaborations are formed.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89"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In March 2020, the World Health Organization declared the outbreak of COVID-19 as a pandemic. The pandemic continues to affect the United States and the world. We are monitoring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157" w:lineRule="exact"/>
        <w:rPr>
          <w:sz w:val="20"/>
          <w:szCs w:val="20"/>
          <w:color w:val="auto"/>
        </w:rPr>
      </w:pPr>
    </w:p>
    <w:p>
      <w:pPr>
        <w:ind w:firstLine="589"/>
        <w:spacing w:after="0" w:line="268" w:lineRule="auto"/>
        <w:rPr>
          <w:sz w:val="20"/>
          <w:szCs w:val="20"/>
          <w:color w:val="auto"/>
        </w:rPr>
      </w:pPr>
      <w:r>
        <w:rPr>
          <w:rFonts w:ascii="Arial" w:cs="Arial" w:eastAsia="Arial" w:hAnsi="Arial"/>
          <w:sz w:val="17"/>
          <w:szCs w:val="17"/>
          <w:color w:val="auto"/>
        </w:rPr>
        <w:t>The COVID-19 pandemic has delayed adoption of our technology by potential customers who have experienced workforce and supply chain disruptions, and who continue to evaluate their future prospects and business models, including partnerships with us. Further delays in this or other products could result from the ongoing pandemic. These changes are due in part to changes in how business is conducted as a result of the pandemic, including state executive orders, local shelter-in-place orders, government-imposed quarantines and work-from-home policies in China, the United States, and elsewhere around the world. We have implemented moderated work-from-home policies for our employees that will likely be in place through the end of 2022 and possibly longer.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over 2021 and through early 2022. Several new variants of COVID-19 have emerged, and were reported by health authorities to be more transmissible than other earlier variants. Vaccines approved to date have lower efficacy in combating the transmission of some of these new variants, though vaccines appear to protect against severe illness. Due to the continuing developments and fluidity of this situation, the magnitude and duration of the pandemic and its impact on our operations and liquidity, mainly due to supply chain shortages, are still uncertain as of the date of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The WattUp® technology enables wireless charging at contact as well as charging over the air, depending on application. An award-winning, RF-based, scalable technology, WattUp transforms the way electronic devices are charged and powered. WattUp® differs from older, rigid wireless charging systems because it supports charging in a variety of ways depending on the device and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6" w:name="page7"/>
    <w:bookmarkEnd w:id="6"/>
    <w:p>
      <w:pPr>
        <w:ind w:left="600"/>
        <w:spacing w:after="0"/>
        <w:rPr>
          <w:sz w:val="20"/>
          <w:szCs w:val="20"/>
          <w:color w:val="auto"/>
        </w:rPr>
      </w:pPr>
      <w:r>
        <w:rPr>
          <w:rFonts w:ascii="Arial" w:cs="Arial" w:eastAsia="Arial" w:hAnsi="Arial"/>
          <w:sz w:val="18"/>
          <w:szCs w:val="18"/>
          <w:b w:val="1"/>
          <w:bCs w:val="1"/>
          <w:color w:val="auto"/>
        </w:rPr>
        <w:t xml:space="preserve">Figure 1 below </w:t>
      </w:r>
      <w:r>
        <w:rPr>
          <w:rFonts w:ascii="Arial" w:cs="Arial" w:eastAsia="Arial" w:hAnsi="Arial"/>
          <w:sz w:val="18"/>
          <w:szCs w:val="18"/>
          <w:color w:val="auto"/>
        </w:rPr>
        <w:t>shows the current IC product line for Energous: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154305</wp:posOffset>
            </wp:positionV>
            <wp:extent cx="4783455" cy="2666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83455" cy="266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Our small form factor antennas and one transmitter to many receivers capabilities represent significant advantages over RF-beamforming transmitters, which are larger, and higher cost WPT implementations. Our current generation ICs have significantly reduced the size and cost of both transmitter technology and our receiver technology, and products under development are designed to further reduce size and cost. In addition, our ICs are designed for both lower-power and higher-power applications, efficiency and faster synchronization, while working within the constraints of multiple international regulatory environments.</w:t>
      </w:r>
    </w:p>
    <w:p>
      <w:pPr>
        <w:spacing w:after="0" w:line="8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2021 we began to leverage the growing ecosystem of investments made by a number of IoT leaders. While participating at the CES 2022, we demonstrated the world’s first IoT Wireless power network connecting Juniper Mist WiFi Access Points to multiple WattUp PowerBridge transmitters at 1W and 5W. We showed charging receiver device interoperability by simultaneously powering RF tags from Wiliot controlled by their Sensing as a Service Cloud Software, ESL tags using e-Peas devices, an IoT Device using Atmosic’s BLE chips, and network edge computing, driven by Syntiant’s Artificial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Intelligence voice recognition technology all of which were managed by WattUp Software</w:t>
      </w:r>
      <w:r>
        <w:rPr>
          <w:rFonts w:ascii="Arial" w:cs="Arial" w:eastAsia="Arial" w:hAnsi="Arial"/>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 xml:space="preserve">Figure 2 below </w:t>
      </w:r>
      <w:r>
        <w:rPr>
          <w:rFonts w:ascii="Arial" w:cs="Arial" w:eastAsia="Arial" w:hAnsi="Arial"/>
          <w:sz w:val="18"/>
          <w:szCs w:val="18"/>
          <w:color w:val="auto"/>
        </w:rPr>
        <w:t>shows the block diagram for our 1W WattUp PowerBridge Transmitter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154305</wp:posOffset>
            </wp:positionV>
            <wp:extent cx="4465955" cy="2306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65955"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2020, we released our WattUp PowerHub Developer Kit, which enables manufacturers to easily integrate charging-over-the-air technology into their products such as smart speakers, gaming consoles, access points and other devices to enable over-the-air charging of devices such as fitness bands, smartwatches, hearables, smart glasses, medical devices and more.</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Figure 3 below </w:t>
      </w:r>
      <w:r>
        <w:rPr>
          <w:rFonts w:ascii="Arial" w:cs="Arial" w:eastAsia="Arial" w:hAnsi="Arial"/>
          <w:sz w:val="18"/>
          <w:szCs w:val="18"/>
          <w:color w:val="auto"/>
        </w:rPr>
        <w:t>shows the WattUp PowerHub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154305</wp:posOffset>
            </wp:positionV>
            <wp:extent cx="1508760" cy="1097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876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In 2016, we introduced our WattUp Near Field Transmitter Technology and a small form factor receiver, which were developed as a result of our efforts to reduce cost and size. This contact-based charging solution, for which we have received FCC approval, allowed for low power charging at up to five millimeters. In 2017, we announced a higher-power version of our WattUp Near Field Transmitter technology, with the ability to charge on contact at levels of up to 10 watts. In February 2019, we announced that our latest WattUp Near Field High Power transmitter technology supports up to 20 watts of charging power. Due to its low cost and small size, the miniature transmitter can be bundled in-box with WattUp-enabled receiver devices, replacing alternative charging solutions like power adapters and charging cables. We expect adoption of our low cost, portable charging solution for receiver devices to continue to advance.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Competing methods for charging battery-powered devices include wall plug-in charging, inductive charging, magnetic resonance charging and more. To our knowledge, almost all consumer electronics equipped with a rechargeable battery come bundled with a charging method, such as a power cord. Studies indicate that consumers prefer wire-free, or untethered, charging solutions such as our WattUp technology. We believe the advantages of our WattUp technology including size, cost, mobility, foreign object detection and portability coupled with the unique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capability to charge devices both on contact as well as at-a-distance in a fully compatible ecosystem will foster broad adoption of the technology over time.</w:t>
      </w:r>
    </w:p>
    <w:p>
      <w:pPr>
        <w:spacing w:after="0" w:line="24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A variety of wireless charging technologies are on the market or under development today. These competitive technologies fall into the following categories:</w:t>
      </w:r>
    </w:p>
    <w:p>
      <w:pPr>
        <w:spacing w:after="0" w:line="170"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u w:val="single" w:color="auto"/>
          <w:color w:val="auto"/>
        </w:rPr>
        <w:t>Inductive Coil Charging.</w:t>
      </w:r>
      <w:r>
        <w:rPr>
          <w:rFonts w:ascii="Arial" w:cs="Arial" w:eastAsia="Arial" w:hAnsi="Arial"/>
          <w:sz w:val="17"/>
          <w:szCs w:val="17"/>
          <w:color w:val="auto"/>
        </w:rPr>
        <w:t xml:space="preserve"> Inductive coil charging uses a magnetic coil to create resonance, which can transmit energy over very short distances. Essentially this is a contact technology whereby the transmitter and receiver need to be closely aligned to charge. Power is delivered as a function of coil size (the larger the coil, the more power), and coils must be directly paired (one receiver coil to one transmitter coil = directly coupled pair). Products utilizing magnetic induction have been available for 10+ years in products such as rechargeable electronic toothbrushes.</w:t>
      </w:r>
    </w:p>
    <w:p>
      <w:pPr>
        <w:spacing w:after="0" w:line="171"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u w:val="single" w:color="auto"/>
          <w:color w:val="auto"/>
        </w:rPr>
        <w:t>Magnetic Resonance.</w:t>
      </w:r>
      <w:r>
        <w:rPr>
          <w:rFonts w:ascii="Arial" w:cs="Arial" w:eastAsia="Arial" w:hAnsi="Arial"/>
          <w:sz w:val="18"/>
          <w:szCs w:val="18"/>
          <w:color w:val="auto"/>
        </w:rPr>
        <w:t xml:space="preserve"> Magnetic resonance is similar to magnetic induction, as it uses magnetic coils to transmit energy. This technology uses coils that range in size depending on the power levels being transmitted. It has the ability to transmit power at distances up to ~11 inches (30cm) which can be increased with the use of resonance repeaters It also has more flexibility of placement than Magnetic.</w:t>
      </w:r>
    </w:p>
    <w:p>
      <w:pPr>
        <w:spacing w:after="0" w:line="184"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u w:val="single" w:color="auto"/>
          <w:color w:val="auto"/>
        </w:rPr>
        <w:t>Energy Harvesting.</w:t>
      </w:r>
      <w:r>
        <w:rPr>
          <w:rFonts w:ascii="Arial" w:cs="Arial" w:eastAsia="Arial" w:hAnsi="Arial"/>
          <w:sz w:val="17"/>
          <w:szCs w:val="17"/>
          <w:color w:val="auto"/>
        </w:rPr>
        <w:t xml:space="preserve"> There are multiple companies looking at harvesting energy that may be present in certain environments. The energy harvested may come from a variety of sources, including Solar, Kinetic and Passive RF. Passive RF harvesting refers to using antennas and devices to harvest RF that may already be present in an environment, such as Wi-Fi, mobile phones, cordless phones and other RF emitting devices.</w:t>
      </w:r>
    </w:p>
    <w:p>
      <w:pPr>
        <w:spacing w:after="0" w:line="165"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u w:val="single" w:color="auto"/>
          <w:color w:val="auto"/>
        </w:rPr>
        <w:t>Laser.</w:t>
      </w:r>
      <w:r>
        <w:rPr>
          <w:rFonts w:ascii="Arial" w:cs="Arial" w:eastAsia="Arial" w:hAnsi="Arial"/>
          <w:sz w:val="18"/>
          <w:szCs w:val="18"/>
          <w:color w:val="auto"/>
        </w:rPr>
        <w:t xml:space="preserve"> Laser charging technology uses very short wavelengths of light to create a collimated beam that maintains its size over distance, using what is described as distributed resonance to deliver power to an optical receiver.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categorize our target markets as transmitter markets and receiver markets.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Transmitter Target Markets</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Transmitters are devices that broadcast RF energy that can be accessed by WattUp-enabled receivers in consumer electronics. We believe our transmitter technology will be developed and released in three basic categories:</w:t>
      </w:r>
    </w:p>
    <w:p>
      <w:pPr>
        <w:spacing w:after="0" w:line="62"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Stand-alone transmitters that are either sold independently or bundled as part of a pairing with WattUp-enabled receiver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Transmitters that are integrated into third party industrial, medical and enterprise devices; and</w:t>
      </w:r>
    </w:p>
    <w:p>
      <w:pPr>
        <w:spacing w:after="0" w:line="11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Transmitters that could be integrated into Bridge and Wi-Fi routers to form a single device that provides both connectivity and wire-free power for a particular area.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plan to release stand-alone and integrated transmitter technology in three categories: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WattUp Near Field Transmitters: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Because of its advantages over other forms of contact-based wireless charging, including incorporation into multiple form factors and potential compatibility with future distance transmitters, we expect transmitters using our WattUp Near Field technology to be the first WattUp enabled transmitter products on the market. These contact-based charging solutions are ideally suited for many electronic devices in both consumer and industrial markets such as wearables, IoT devices and other small electronics that require a small form factor receiver and a low-cost charging solution. They are also suitable for larger, more power-hungry devices such as smart watches and tablets. Initially these transmitters will be one-to-one (one transmitter to one receiver), with future versions being single transmitters for multiple receivers.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ind w:left="600"/>
        <w:spacing w:after="0"/>
        <w:rPr>
          <w:sz w:val="20"/>
          <w:szCs w:val="20"/>
          <w:color w:val="auto"/>
        </w:rPr>
      </w:pPr>
      <w:r>
        <w:rPr>
          <w:rFonts w:ascii="Arial" w:cs="Arial" w:eastAsia="Arial" w:hAnsi="Arial"/>
          <w:sz w:val="18"/>
          <w:szCs w:val="18"/>
          <w:i w:val="1"/>
          <w:iCs w:val="1"/>
          <w:color w:val="auto"/>
        </w:rPr>
        <w:t>WattUp Mid Field Transmitter</w:t>
      </w:r>
    </w:p>
    <w:p>
      <w:pPr>
        <w:spacing w:after="0" w:line="117" w:lineRule="exact"/>
        <w:rPr>
          <w:sz w:val="20"/>
          <w:szCs w:val="20"/>
          <w:color w:val="auto"/>
        </w:rPr>
      </w:pPr>
    </w:p>
    <w:p>
      <w:pPr>
        <w:ind w:right="380" w:firstLine="589"/>
        <w:spacing w:after="0" w:line="293" w:lineRule="auto"/>
        <w:rPr>
          <w:sz w:val="20"/>
          <w:szCs w:val="20"/>
          <w:color w:val="auto"/>
        </w:rPr>
      </w:pPr>
      <w:r>
        <w:rPr>
          <w:rFonts w:ascii="Arial" w:cs="Arial" w:eastAsia="Arial" w:hAnsi="Arial"/>
          <w:sz w:val="16"/>
          <w:szCs w:val="16"/>
          <w:color w:val="auto"/>
        </w:rPr>
        <w:t>We expect that transmitters using our WattUp Mid Field technology, which we refer to as the WattUp PowerHub, will be geared to consumer desktop and industrial and medical markets and for charging at a range of a few centimeters to one meter. We also intend for the WattUp PowerHub transmitters to have tracking ability to support mobile applications and multiple receiving devices. WattUp PowerHub transmitters may include small transmitters designed to power industrial, medical, consumer electronics and IoT devices. The same technology may also be integrated into third party devices such as smart speakers, computer monitors, nightstand consumer electronics, accessories such as low voltage portable battery chargers and integrated automotive applications, as well as additional industrial, medical, and public safety applications.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WattUp Far Field Transmitters: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Transmitters based on WattUp Far Field technology, which we refer to as the WattUp PowerBridge, are expected to provide low power charging for multiple devices with the capability of extending the range through the deployment of multiple WattUp PowerBridges. We expect that WattUp PowerBridge transmitters will have the ability to broadcast wireless power creating a sphere of power within which WattUp enabled receiving devices can be charged. WattUp PowerBridge transmitters may play a significant role in the charging low power IoT devices in fixed locations – such as electronic shelf labels, RF tags, security cameras and sensors.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Transmitters Integrated into Third Party Devices:</w:t>
      </w:r>
    </w:p>
    <w:p>
      <w:pPr>
        <w:spacing w:after="0" w:line="11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“building block” core architecture developed for the WattUp technology is suited to a broad range of third party devices in both industrial and consumer markets. The flexibility of the architecture in terms of size, power, distance, and cost affords Energous customers the opportunity to match our technology with specific requirements and limitations typically found with complex integrations. For example, the WattUp transmit technology could be integrated into a WiFi router on the ceiling of a manufacturing floor or hospital ward providing both internet connectivity and wireless power to any devices within range.</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WattUp PowerBridges:</w:t>
      </w:r>
    </w:p>
    <w:p>
      <w:pPr>
        <w:spacing w:after="0" w:line="117"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We see the combination of wireless power router and the wireless bridges as a natural integration point and a synergistic application of both technologies. WattUp PowerBridges provide the bridge to Wi-Fi, 5G and other Wide Area network technologies while also providing wireless power to in-range receiver devices. WattUp PowerBridges share a number of technical characteristics with Wi-Fi routers in that; (1) both devices operate in the airwaves in the unlicensed industrial, scientific and medical bands, (2) both devices owe their success to the utility and convenience they bring to the consumer, (3) both devices rely on antennas, and (4) both devices “pair” or provide hand off capabilities which allow for networks to provision large sites.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Receiver Target Markets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there are many potential uses for our receiver technology, including:</w:t>
      </w:r>
    </w:p>
    <w:p>
      <w:pPr>
        <w:spacing w:after="0" w:line="117"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IOT devices including asset trackers, sensors, retail displays, security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Smart Home, Medical, Industrial, and other Sensors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shelf labels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Logistics and asset tracking tags and sensors</w:t>
      </w:r>
    </w:p>
    <w:p>
      <w:pPr>
        <w:spacing w:after="0" w:line="117" w:lineRule="exact"/>
        <w:rPr>
          <w:rFonts w:ascii="Arial" w:cs="Arial" w:eastAsia="Arial" w:hAnsi="Arial"/>
          <w:sz w:val="18"/>
          <w:szCs w:val="18"/>
          <w:color w:val="auto"/>
        </w:rPr>
      </w:pPr>
    </w:p>
    <w:p>
      <w:pPr>
        <w:ind w:left="1160" w:hanging="71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Peripheral devices such as computer mice and keyboards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Remote controls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Rechargeable lights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Gaming consoles and controllers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Hearing aids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Rechargeable batteries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Automotive accessories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0" w:name="page11"/>
    <w:bookmarkEnd w:id="10"/>
    <w:p>
      <w:pPr>
        <w:ind w:left="1160" w:hanging="71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Smart textiles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Wearables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devices</w:t>
      </w:r>
    </w:p>
    <w:p>
      <w:pPr>
        <w:spacing w:after="0" w:line="33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list is meant to be illustrative only; we cannot guarantee that we will address any of these markets, and we may decide to address a market that is not on the list. We intend to continue to evaluate our target markets and choose new markets based on factors including (but not limited to) time-to-market, market size and growth, and the strength of our value proposition for a specific application.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21"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Our most valuable asset is our intellectual property. This includes U.S. and foreign patents, patent applications and know-how. We have implemented an aggressive intellectual property strategy and are continuing to pursue patent protection for new innovations. As of March 10, 2022, the Energous IP portfolio contained over 200 issued patents organized along five (5) critical paths to implementation that we believe a competitor may have to navigate to commercialize WPT technology. The paths are: Processing Algorithms, Antenna Designs, Transmitter and Receiver ASICs, Other Software Controls (e.g., Bluetoothâ Management and Hardware (e.g., Board Layout). Further, we have additional pending patent applications in the U.S. and abroad. We intend to file for patent protection for the most valuable of our inventions, as well as for other new inventions that we expect to develop. This is a significant annual expense and we continually monitor the costs and benefits of each patent application and issued patent to ensure we pursue those that we believe are most protective for our business and expand our core value. So long as we make the business decision to continue paying maintenance and/or annuity fees, our issued patents have terms that would not expire earlier than 2030.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Our wire-free charging technology involves the transmission of power using RF energy, which is subject to regulation by the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WattUp technology can secure required domestic and international approvals.</w:t>
      </w:r>
    </w:p>
    <w:p>
      <w:pPr>
        <w:spacing w:after="0" w:line="15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part of the regulatory approval process, devices incorporating the WattUp technology must obtain approvals under FCC Part 15 and/or FCC Part 18 in the U.S., depending on the specific application. Energous has received Part 15 and Part 18 FCC approvals for WattUp enabled products and has received regulatory approvals from many international agencies.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60" w:type="dxa"/>
            <w:vAlign w:val="bottom"/>
          </w:tcPr>
          <w:p>
            <w:pPr>
              <w:ind w:left="220"/>
              <w:spacing w:after="0"/>
              <w:rPr>
                <w:sz w:val="20"/>
                <w:szCs w:val="20"/>
                <w:color w:val="auto"/>
              </w:rPr>
            </w:pPr>
            <w:r>
              <w:rPr>
                <w:rFonts w:ascii="Arial" w:cs="Arial" w:eastAsia="Arial" w:hAnsi="Arial"/>
                <w:sz w:val="18"/>
                <w:szCs w:val="18"/>
                <w:b w:val="1"/>
                <w:bCs w:val="1"/>
                <w:color w:val="auto"/>
              </w:rPr>
              <w:t>Current FCC Approvals for WattUp Technology</w:t>
            </w:r>
          </w:p>
        </w:tc>
        <w:tc>
          <w:tcPr>
            <w:tcW w:w="920" w:type="dxa"/>
            <w:vAlign w:val="bottom"/>
          </w:tcPr>
          <w:p>
            <w:pPr>
              <w:spacing w:after="0"/>
              <w:rPr>
                <w:sz w:val="20"/>
                <w:szCs w:val="20"/>
                <w:color w:val="auto"/>
              </w:rPr>
            </w:pPr>
          </w:p>
        </w:tc>
      </w:tr>
      <w:tr>
        <w:trPr>
          <w:trHeight w:val="405"/>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FCC ID</w:t>
            </w: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Description</w:t>
            </w:r>
          </w:p>
        </w:tc>
        <w:tc>
          <w:tcPr>
            <w:tcW w:w="636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Grant Date</w:t>
            </w: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2ADNG-MLA1599</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Bluetooth Accessory 2.4GHz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12/30/2014</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2ADNG-MT100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Close Coupled 5.8 GHz Charger Pad</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05/24/2016</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2ADNG-NF130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and Receiver 5.8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05/02/2017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2ADNG-NF130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05/02/2017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2ADNG-MS300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Wireless Charger 913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12/26/2017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2ADNG-MS300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12/26/2017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2ADNG-MS300A</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WPT Client Device 913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01/05/2018</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2ADNG-MS300A</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WPT Client Device with BLE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01/05/2018</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2ADNG-NF230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 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04/09/2018</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2ADNG-NF230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04/09/2018</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2ADNG-NF330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07/29/2019</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2ADNG-NF330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07/29/2019</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04/21/2020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04/21/2020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09/30/2020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2ADNG-MS550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09/30/2020</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2ADNG-VN15</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10/19/2021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2ADNG-VN15</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10/19/2021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2ADNG-VN1810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11/30/2021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2ADNG-VN1810</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11/30/2021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2ADNG-VN25</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RF Wireless Charger 918MHz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01/14/2022</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2ADNG-VN25</w:t>
            </w:r>
          </w:p>
        </w:tc>
        <w:tc>
          <w:tcPr>
            <w:tcW w:w="7940" w:type="dxa"/>
            <w:vAlign w:val="bottom"/>
            <w:gridSpan w:val="3"/>
          </w:tcPr>
          <w:p>
            <w:pPr>
              <w:ind w:left="520"/>
              <w:spacing w:after="0"/>
              <w:rPr>
                <w:sz w:val="20"/>
                <w:szCs w:val="20"/>
                <w:color w:val="auto"/>
              </w:rPr>
            </w:pPr>
            <w:r>
              <w:rPr>
                <w:rFonts w:ascii="Arial" w:cs="Arial" w:eastAsia="Arial" w:hAnsi="Arial"/>
                <w:sz w:val="18"/>
                <w:szCs w:val="18"/>
                <w:color w:val="auto"/>
              </w:rPr>
              <w:t>Digital Transmission System for Bluetooth 2.4 GHz</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01/14/2022</w:t>
            </w:r>
          </w:p>
        </w:tc>
      </w:tr>
    </w:tbl>
    <w:p>
      <w:pPr>
        <w:spacing w:after="0" w:line="20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In 2021, we announced completion of the regulatory process for our WattUp PowerBridge wireless charging technology in US, Canada, Europe and India, for unlimited distance wireless charging. As of March 10, 2022, products integrating WattUp® technology had received international regulatory approvals in 112 countries.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40" w:firstLine="864"/>
        <w:spacing w:after="0" w:line="277" w:lineRule="auto"/>
        <w:rPr>
          <w:sz w:val="20"/>
          <w:szCs w:val="20"/>
          <w:color w:val="auto"/>
        </w:rPr>
      </w:pPr>
      <w:r>
        <w:rPr>
          <w:rFonts w:ascii="Arial" w:cs="Arial" w:eastAsia="Arial" w:hAnsi="Arial"/>
          <w:sz w:val="18"/>
          <w:szCs w:val="18"/>
          <w:color w:val="auto"/>
        </w:rPr>
        <w:t>As a fabless semiconductor company in the research and development stage, we foresee our manufacturing strategy to follow an outsourced manufacturing process. We are engaged with contract manufacturing partners in the United States and internationally.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March 10, 2022, we had 48 full-time employees, 38 of whom are Engineers. None of these employees are covered by a collective bargaining agreement, and we believe our relationship with our employees is good. We also employ consultants, including technical advisors, on an as-needed basis for their technical expertise. Consultants and technical advisors provide us with expertise in electrical engineering, software development, market research and accounting.</w:t>
      </w:r>
    </w:p>
    <w:p>
      <w:pPr>
        <w:spacing w:after="0" w:line="79"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are committed to maintaining a workplace free from discrimination and harassment on the basis of color, race, gender, age, disability, sexual orientation, religion, expression, or any other status protected by applicable law. Our management and employees are expected to exhibit and promote honest, ethical and respectful conduct in the workplace.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864"/>
        <w:spacing w:after="0" w:line="342" w:lineRule="auto"/>
        <w:rPr>
          <w:sz w:val="20"/>
          <w:szCs w:val="20"/>
          <w:color w:val="auto"/>
        </w:rPr>
      </w:pPr>
      <w:r>
        <w:rPr>
          <w:rFonts w:ascii="Arial" w:cs="Arial" w:eastAsia="Arial" w:hAnsi="Arial"/>
          <w:sz w:val="16"/>
          <w:szCs w:val="16"/>
          <w:color w:val="auto"/>
        </w:rPr>
        <w:t>The industrial markets for which we are involved have minimal seasonal impact. The consumer markets for the commercial products that we anticipate our technology can be used in vary in their seasonal impact. Overall, we do not foresee a material seasonal impact to our revenue at this time.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2" w:name="page13"/>
    <w:bookmarkEnd w:id="12"/>
    <w:p>
      <w:pPr>
        <w:ind w:right="200" w:firstLine="864"/>
        <w:spacing w:after="0" w:line="275" w:lineRule="auto"/>
        <w:rPr>
          <w:sz w:val="20"/>
          <w:szCs w:val="20"/>
          <w:color w:val="auto"/>
        </w:rPr>
      </w:pPr>
      <w:r>
        <w:rPr>
          <w:rFonts w:ascii="Arial" w:cs="Arial" w:eastAsia="Arial" w:hAnsi="Arial"/>
          <w:sz w:val="17"/>
          <w:szCs w:val="17"/>
          <w:color w:val="auto"/>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set forth in this Annual Report on Form 10-K. We are subject to many risks and uncertainties that may harm our business, prospects, results of operations and financial condition. This discussion highlights some of the risks and uncertainties that might adversely affect our business, prospects, results of operations and financial condition in material ways. We believe that these are the most important risks and uncertainties that we face. We cannot be certain that we will successfully address these risks and uncertainties, and if we are unable to address them, our business may not grow, our stock price may suffer and you could lose all or part of your investment in us. Other risks and uncertainties that we have not yet identified, that we do not currently consider to be material,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history of generating meaningful product revenue, and we may never achieve or maintain profitability.</w:t>
      </w:r>
    </w:p>
    <w:p>
      <w:pPr>
        <w:spacing w:after="0" w:line="185"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have a limited operating history upon which investors may rely in evaluating our business and prospects. We have generated limited revenues to date, and as of December 31, 2021, we had an accumulated deficit of approximately $336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business, our losses will continue and we may not achieve profitability, which could negatively impact the value of your investment in our securities.</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will likely need additional financings to achieve our long-term business plans, and there is no guarantee that it will be available on acceptable terms, or at all.</w:t>
      </w:r>
    </w:p>
    <w:p>
      <w:pPr>
        <w:spacing w:after="0" w:line="130"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We may not have sufficient funds to fully implement our long-term business plans. It is likely that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ability to borrow from other sources. In addition, such securities may contain rights, preferences or privileges senior to those of current stockholders. As a result of economic conditions, general global economic uncertainty (including as a result of actual or perceived disruption caused by COVID-19, including the “delta”, “omicron” or any other variants, or other infectious diseases), political change, and other factors, we do not know whether additional capital will be available when needed, or that, if available, we will be able to obtain additional capital on reasonable terms. If we are unable to raise additional capital due to the volatile global financial markets, general economic uncertainty or other factors, we may be required to curtail development of our technology or reduce operations as a result, or to sell or dispose of assets. Any inability to raise adequate funds on commercially reasonable terms could have a material adverse effect on our business, results of operations and financial condition, including the possibility that a lack of funds could cause our business to fail and liquidate with little or no return to investors.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Related to Our Technology and Products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all the features we seek to include in our technology.</w:t>
      </w:r>
    </w:p>
    <w:p>
      <w:pPr>
        <w:spacing w:after="0" w:line="185" w:lineRule="exact"/>
        <w:rPr>
          <w:sz w:val="20"/>
          <w:szCs w:val="20"/>
          <w:color w:val="auto"/>
        </w:rPr>
      </w:pPr>
    </w:p>
    <w:p>
      <w:pPr>
        <w:ind w:right="480" w:firstLine="589"/>
        <w:spacing w:after="0" w:line="296" w:lineRule="auto"/>
        <w:rPr>
          <w:sz w:val="20"/>
          <w:szCs w:val="20"/>
          <w:color w:val="auto"/>
        </w:rPr>
      </w:pPr>
      <w:r>
        <w:rPr>
          <w:rFonts w:ascii="Arial" w:cs="Arial" w:eastAsia="Arial" w:hAnsi="Arial"/>
          <w:sz w:val="16"/>
          <w:szCs w:val="16"/>
          <w:color w:val="auto"/>
        </w:rPr>
        <w:t>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over time. However, there can be no assurance that we will be successful in achieving all the features we are targeting, and our inability to do so may limit the appeal of our technology to consumers.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demonstrate the commercial feasibility of the full capability of our technology.</w:t>
      </w:r>
    </w:p>
    <w:p>
      <w:pPr>
        <w:spacing w:after="0" w:line="198"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w:t>
      </w:r>
    </w:p>
    <w:p>
      <w:pPr>
        <w:spacing w:after="0" w:line="126"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our Company. If we fail to develop practical and economical commercial products based on our technology, our business may fail and you could lose all or part of the value of your investment in our stock.</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health epidemics, such as COVID-19, has and may further adversely affect our business, results of operations and financial condition.</w:t>
      </w:r>
    </w:p>
    <w:p>
      <w:pPr>
        <w:spacing w:after="0" w:line="260"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Any outbreaks of contagious diseases and other adverse public health developments in countries where we, our customers and suppliers operate could have a material and adverse effect on our business, results of operations and financial condition. For example, the COVID-19 pandemic has resulted in significant governmental measures being implemented to control the spread of the virus, including quarantines, travel restrictions, manufacturing restrictions, declarations of states of emergency, business shutdown and restrictions on the movement of employees in China, the United States and many other countries. A majority of our potential customers have a significant dependence on the Chinese manufacturing and supply chain infrastructure. We believe the COVID-19 pandemic has delayed adoption of our technology by potential customers who temporarily shut down their workforces and supply chains based in China or elsewhere around the world. In the United States, COVID-19 has resulted in travel and other restrictions in order to reduce the spread of the disease, including executive orders in California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As a result of these developments, we have implemented work-from-home policies for our employees. The effects of state executive orders, local shelter-in-place orders, government-imposed quarantines and our work-from-home policies could negatively impact productivity, disrupt our research and development or other operations and delay the planned launch of our customers’ new products that incorporate our technology, the magnitude of which will depend, in part, on the length and severity of the continuing restrictions and other limitations on our ability to conduct our business in the ordinary course. Several vaccines have been approved for use since the fourth quarter of 2020, with vaccination rates increasing through the first quarter of 2022. Several new variants of COVID-19 have emerged and may be more transmissible than other variants. Vaccines approved to date have lower efficacy in combating the transmission of some of these new variants, though vaccines appear to protect against severe illness. Due to the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t>continuing developments and fluidity of this situation, the magnitude and duration of the pandemic and its impact on our operations and liquidity are still uncertain as of the date of this report.</w:t>
      </w:r>
    </w:p>
    <w:p>
      <w:pPr>
        <w:spacing w:after="0" w:line="170"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In addition, COVID-19 and any variants thereof, has resulted and may continue to result in a widespread health crisis that could contribute to increased market volatility and adversely affect the economies and financial markets of many countries, resulting in a global economic downturn that could affect interest in our products or demand by potential customers. Any of these events could materially and adversely affect our business, results of operations and financial condition. The extent of the impact will depend on future developments, which are highly uncertain and cannot be predicted.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Expanding our business operations as we intend will impose new demands on our financial, technical, operational and management resources.</w:t>
      </w:r>
    </w:p>
    <w:p>
      <w:pPr>
        <w:spacing w:after="0" w:line="20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To date we have operated primarily in the research and development phase of our business. If we are successful, we will need to expand our business operations, which will impose new demands on our financial, technical, operational and management resources. If we do not upgrade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but do not achieve widespread market acceptance, we will not be able to generate the revenue necessary to support our business.</w:t>
      </w:r>
    </w:p>
    <w:p>
      <w:pPr>
        <w:spacing w:after="0" w:line="130" w:lineRule="exact"/>
        <w:rPr>
          <w:sz w:val="20"/>
          <w:szCs w:val="20"/>
          <w:color w:val="auto"/>
        </w:rPr>
      </w:pPr>
    </w:p>
    <w:p>
      <w:pPr>
        <w:ind w:right="620" w:firstLine="589"/>
        <w:spacing w:after="0" w:line="277" w:lineRule="auto"/>
        <w:rPr>
          <w:sz w:val="20"/>
          <w:szCs w:val="20"/>
          <w:color w:val="auto"/>
        </w:rPr>
      </w:pPr>
      <w:r>
        <w:rPr>
          <w:rFonts w:ascii="Arial" w:cs="Arial" w:eastAsia="Arial" w:hAnsi="Arial"/>
          <w:sz w:val="18"/>
          <w:szCs w:val="18"/>
          <w:color w:val="auto"/>
        </w:rPr>
        <w:t>Market acceptance of a RF-based charging system as a preferred method for charging electronic devices will be crucial to our success. The following factors, among others, may affect the level of market acceptance of products in our industry:</w:t>
      </w:r>
    </w:p>
    <w:p>
      <w:pPr>
        <w:spacing w:after="0" w:line="62"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products incorporating our technology relative to other products or competing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user perceptions of the convenience, safety, efficiency and benefits of our technology;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of our commercialization partners;</w:t>
      </w:r>
    </w:p>
    <w:p>
      <w:pPr>
        <w:spacing w:after="0" w:line="144"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support and rate of acceptance of our technology and solutions with our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press and blog coverage, social media coverage, and other publicity factors that are not within our control;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developments.</w:t>
      </w:r>
    </w:p>
    <w:p>
      <w:pPr>
        <w:spacing w:after="0" w:line="185"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If we are unable to achieve or maintain market acceptance of our technology, and if related products do not win widespread market acceptance, our business will be significantly harmed.</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products incorporating our technology are launched commercially, we may experience seasonality or other unevenness in our financial results in consumer markets or a long and variable sales cycle in enterprise markets.</w:t>
      </w:r>
    </w:p>
    <w:p>
      <w:pPr>
        <w:spacing w:after="0" w:line="130"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strategy depends on our customers developing successful commercial products using our technology and selling them into the consumer, enterprise and commercial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w:t>
      </w:r>
    </w:p>
    <w:p>
      <w:pPr>
        <w:spacing w:after="0" w:line="12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Future products based on our technology may require the user to purchase additional products to use with existing devices. To the extent these additional purchases are inconvenient, the adoption of our technology under development or other future products could be slowed, which would harm our business.</w:t>
      </w:r>
    </w:p>
    <w:p>
      <w:pPr>
        <w:spacing w:after="0" w:line="157" w:lineRule="exact"/>
        <w:rPr>
          <w:sz w:val="20"/>
          <w:szCs w:val="20"/>
          <w:color w:val="auto"/>
        </w:rPr>
      </w:pPr>
    </w:p>
    <w:p>
      <w:pPr>
        <w:jc w:val="both"/>
        <w:ind w:right="80" w:firstLine="589"/>
        <w:spacing w:after="0" w:line="263" w:lineRule="auto"/>
        <w:rPr>
          <w:sz w:val="20"/>
          <w:szCs w:val="20"/>
          <w:color w:val="auto"/>
        </w:rPr>
      </w:pPr>
      <w:r>
        <w:rPr>
          <w:rFonts w:ascii="Arial" w:cs="Arial" w:eastAsia="Arial" w:hAnsi="Arial"/>
          <w:sz w:val="18"/>
          <w:szCs w:val="18"/>
          <w:color w:val="auto"/>
        </w:rPr>
        <w:t>For rechargeable devices that utilize our receiver technology, the technology may be embedded in a sleeve, case or other enclosure. For example, products such as remote controls or toys equipped with replaceable AA size or other batteries would need to be outfitted with enhanced batteries and other hardware enabling the devices to be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t>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Laboratory conditions differ from field conditions, which could reduce the effectiveness of our technology under development or other future products.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Failures to move from laboratory to the field effectively would harm our business.</w:t>
      </w:r>
    </w:p>
    <w:p>
      <w:pPr>
        <w:spacing w:after="0" w:line="170"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concerns and legal action by private parties may affect our business.</w:t>
      </w:r>
    </w:p>
    <w:p>
      <w:pPr>
        <w:spacing w:after="0" w:line="200" w:lineRule="exact"/>
        <w:rPr>
          <w:sz w:val="20"/>
          <w:szCs w:val="20"/>
          <w:color w:val="auto"/>
        </w:rPr>
      </w:pPr>
    </w:p>
    <w:p>
      <w:pPr>
        <w:spacing w:after="0" w:line="214"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w:t>
      </w:r>
    </w:p>
    <w:p>
      <w:pPr>
        <w:spacing w:after="0" w:line="16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b w:val="1"/>
          <w:bCs w:val="1"/>
          <w:i w:val="1"/>
          <w:iCs w:val="1"/>
          <w:color w:val="auto"/>
        </w:rPr>
        <w:t>Our industry is subject to intense competition and rapid technological change, which may result in technology that is superior to ours. If we do not keep pace with changes in the marketplace and the direction of technological innovation and customer demands, our technology and products may become less useful or obsolete and our operating results will suffer.</w:t>
      </w:r>
    </w:p>
    <w:p>
      <w:pPr>
        <w:spacing w:after="0" w:line="143"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The consumer electronics industry in general, and the charging segments in particular, are subject to intense competition and rapidly evolving technologies.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firstLine="589"/>
        <w:spacing w:after="0" w:line="293" w:lineRule="auto"/>
        <w:rPr>
          <w:sz w:val="20"/>
          <w:szCs w:val="20"/>
          <w:color w:val="auto"/>
        </w:rPr>
      </w:pPr>
      <w:r>
        <w:rPr>
          <w:rFonts w:ascii="Arial" w:cs="Arial" w:eastAsia="Arial" w:hAnsi="Arial"/>
          <w:sz w:val="16"/>
          <w:szCs w:val="16"/>
          <w:color w:val="auto"/>
        </w:rPr>
        <w:t>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or commercially attractive than our products or that would render our technologies and products obsolete. We may not have the financial resources, technical expertise, marketing, distribution or support capabilities to compete successfully in the future. Our success will depend in large part on our ability to maintain a competitive position with our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Our competitive position also depends on our ability to:</w:t>
      </w:r>
    </w:p>
    <w:p>
      <w:pPr>
        <w:spacing w:after="0" w:line="117" w:lineRule="exact"/>
        <w:rPr>
          <w:sz w:val="20"/>
          <w:szCs w:val="20"/>
          <w:color w:val="auto"/>
        </w:rPr>
      </w:pPr>
    </w:p>
    <w:p>
      <w:pPr>
        <w:ind w:left="880" w:right="26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generate widespread awareness, acceptance and adoption by the consumer and enterprise markets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a product that may be sold at an acceptable price point;</w:t>
      </w:r>
    </w:p>
    <w:p>
      <w:pPr>
        <w:spacing w:after="0" w:line="117"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new or enhanced technologies or features that improve the convenience, efficiency, safety or perceived safety, and productivity of our technology under development and future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identify customer needs and deliver new products or product enhancements to address those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time required from proof of feasibility to routine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the timing and cost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protect our inventions with patents or otherwise develop proprietary products and processes;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secure sufficient capital resources to expand both our continued research and development, and sales and marketing efforts.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our technology does not compete well based on these or other factors, our business could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data security risks, including security breaches.</w:t>
      </w:r>
    </w:p>
    <w:p>
      <w:pPr>
        <w:spacing w:after="0" w:line="185"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w:t>
      </w:r>
    </w:p>
    <w:p>
      <w:pPr>
        <w:spacing w:after="0" w:line="152"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Any actual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Our insurance policies may not be adequate to reimburse us for direct losses caused by any such security breach or indirect losses due to resulting customer attrition.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7" w:name="page18"/>
    <w:bookmarkEnd w:id="17"/>
    <w:p>
      <w:pPr>
        <w:ind w:firstLine="589"/>
        <w:spacing w:after="0" w:line="296" w:lineRule="auto"/>
        <w:rPr>
          <w:sz w:val="20"/>
          <w:szCs w:val="20"/>
          <w:color w:val="auto"/>
        </w:rPr>
      </w:pPr>
      <w:r>
        <w:rPr>
          <w:rFonts w:ascii="Arial" w:cs="Arial" w:eastAsia="Arial" w:hAnsi="Arial"/>
          <w:sz w:val="16"/>
          <w:szCs w:val="16"/>
          <w:color w:val="auto"/>
        </w:rPr>
        <w:t>We rely on email and other electronic means on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Any of these events or circumstances could materially adversely affect our business, financial condition and operating results.</w:t>
      </w:r>
    </w:p>
    <w:p>
      <w:pPr>
        <w:spacing w:after="0" w:line="16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b w:val="1"/>
          <w:bCs w:val="1"/>
          <w:i w:val="1"/>
          <w:iCs w:val="1"/>
          <w:color w:val="auto"/>
        </w:rPr>
        <w:t>Our strategic relationship with Dialog Semiconductor, a provider of electronics products, has been terminated, and there can be no assurance that we will find a suitable replacement or be able to conduct the same activities internally.</w:t>
      </w:r>
    </w:p>
    <w:p>
      <w:pPr>
        <w:spacing w:after="0" w:line="143"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We were historically party to a strategic alliance agreement with Dialog Semiconductor, a provider of electronics products, pursuant to which we licensed our WattUp technology to Dialog and it became the exclusive provider of our technology. In November 2021, we were informed that Dialog Semiconductor was acquired by the Japanese chipmaker, Renesas Electronics, and that Dialog, under the control of Renesas Electronics would not be continuing our relationship. We have been developing our own internal capabilities, as well as developing a network of contract manufacturers and as a result of the termination we will be enhancing those capabilities. However, such development may take time which could result in manufacturing delays, increases in manufacturing or sales costs or reduced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Other Legal Risks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08"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Our success depends significantly on our ability to obtain, maintain and protect our proprietary rights to the technologies used in products incorporating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We depend upon a combination of patent, trade secrets, copyright and trademark laws to protect our intellectual property and technology.</w:t>
      </w:r>
    </w:p>
    <w:p>
      <w:pPr>
        <w:spacing w:after="0" w:line="196" w:lineRule="exact"/>
        <w:rPr>
          <w:sz w:val="20"/>
          <w:szCs w:val="20"/>
          <w:color w:val="auto"/>
        </w:rPr>
      </w:pPr>
    </w:p>
    <w:p>
      <w:pPr>
        <w:ind w:right="160" w:firstLine="589"/>
        <w:spacing w:after="0" w:line="270" w:lineRule="auto"/>
        <w:rPr>
          <w:sz w:val="20"/>
          <w:szCs w:val="20"/>
          <w:color w:val="auto"/>
        </w:rPr>
      </w:pPr>
      <w:r>
        <w:rPr>
          <w:rFonts w:ascii="Arial" w:cs="Arial" w:eastAsia="Arial" w:hAnsi="Arial"/>
          <w:sz w:val="17"/>
          <w:szCs w:val="17"/>
          <w:color w:val="auto"/>
        </w:rPr>
        <w:t>We rely on a combination of patents, trade secrets, copyright and trademark laws, nondisclosure agreements and other contractual provisions and technical security measures to protect our intellectual property rights. These measures may not be adequate to safeguard our technology. If they do not protect our rights adequately, third parties could use our technology, and our ability to compete in the market would be reduced. 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w:t>
      </w:r>
    </w:p>
    <w:p>
      <w:pPr>
        <w:spacing w:after="0" w:line="154" w:lineRule="exact"/>
        <w:rPr>
          <w:sz w:val="20"/>
          <w:szCs w:val="20"/>
          <w:color w:val="auto"/>
        </w:rPr>
      </w:pPr>
    </w:p>
    <w:p>
      <w:pPr>
        <w:ind w:right="100" w:firstLine="589"/>
        <w:spacing w:after="0" w:line="290" w:lineRule="auto"/>
        <w:rPr>
          <w:sz w:val="20"/>
          <w:szCs w:val="20"/>
          <w:color w:val="auto"/>
        </w:rPr>
      </w:pPr>
      <w:r>
        <w:rPr>
          <w:rFonts w:ascii="Arial" w:cs="Arial" w:eastAsia="Arial" w:hAnsi="Arial"/>
          <w:sz w:val="16"/>
          <w:szCs w:val="16"/>
          <w:color w:val="auto"/>
        </w:rPr>
        <w:t>Similarly, even if patents are issued based on our applications or future applications, any issued patents may not provide us with any competitive advantages.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w:t>
      </w:r>
    </w:p>
    <w:p>
      <w:pPr>
        <w:spacing w:after="0" w:line="125"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w:t>
      </w:r>
    </w:p>
    <w:p>
      <w:pPr>
        <w:spacing w:after="0" w:line="143"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The policies we use to protect our trade secrets might not be effective in preventing misappropriation of our trade secrets by others. In addition, confidentiality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patent infringement or other intellectual property lawsuits that could be costly to defend.</w:t>
      </w:r>
    </w:p>
    <w:p>
      <w:pPr>
        <w:spacing w:after="0" w:line="19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may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which we are unaware. As the number of competitors in the market for wire-free power and alternative recharging solutions increases, and as the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18"/>
          <w:szCs w:val="18"/>
          <w:color w:val="auto"/>
        </w:rPr>
        <w:t>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60"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b w:val="1"/>
          <w:bCs w:val="1"/>
          <w:i w:val="1"/>
          <w:iCs w:val="1"/>
          <w:color w:val="auto"/>
        </w:rPr>
        <w:t>We could become subject to product liability claims, product recalls, and warranty claims that could be expensive, divert management’s attention and harm our business.</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or possibly prove defects (some of which could be alleged or proved to cause harm to users or others) because we design our technology to perform complex functions involving RF energy, possibly in close proximity to users. A product liability claim, regardless of its merit or eventual outcome, could result in significant legal defense costs.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w:t>
      </w:r>
    </w:p>
    <w:p>
      <w:pPr>
        <w:spacing w:after="0" w:line="382"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In addition, if a product that we or a strategic partner design is defective, whether due to design or manufacturing defects, improper use of the product or other reasons, we or our strategic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secure advantageous license agreements for our technology, our business and results of operations will be adversely affected.</w:t>
      </w:r>
    </w:p>
    <w:p>
      <w:pPr>
        <w:spacing w:after="0" w:line="208"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There can be no assurance that we will be able to gain access to potential licensing partners, or that they will ultimately decide to integrate our technology with their products.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Domestic and international regulators may deny approval for our technology, and future legislative or regulatory changes may impair our business.</w:t>
      </w:r>
    </w:p>
    <w:p>
      <w:pPr>
        <w:spacing w:after="0" w:line="208"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charging technology involves power transmission using radio frequency (RF) energy, which is subject to regulation by the Federal Communications Commission in the United States and by comparable regulatory agencies worldwide. It may also be subject to regulation by other agencies. Regulatory concerns include whether human exposure to radio frequency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Risks Related to Personnel</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highly dependent on key members of our executive management team. Our inability to retain these individuals could impede our business plan and growth strategies, which could have a negative impact on our business and the value of your investment.</w:t>
      </w:r>
    </w:p>
    <w:p>
      <w:pPr>
        <w:spacing w:after="0" w:line="146"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ability to implement our business plan depends, to a critical extent, on the continued efforts and services of a very small number of key executives. If we lose the services of any of these persons, we could be required to expend significant time and money in the pursuit of replacements, which may result in a delay in the implementation of our business plan and plan of operations. If necessary,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and growth depend on our ability to attract, integrate and retain high-level engineering talent.</w:t>
      </w:r>
    </w:p>
    <w:p>
      <w:pPr>
        <w:spacing w:after="0" w:line="198"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investment in recruiting and training them. Volatility or lack of performance in our stock price may also affect our ability to attract and retain qualified personnel.</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utilization of engineering consultants.</w:t>
      </w:r>
    </w:p>
    <w:p>
      <w:pPr>
        <w:spacing w:after="0" w:line="18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To improve productivity and accelerate our development efforts while we build out our own engineering team, we may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could make our common stock less attractive to investors.</w:t>
      </w:r>
    </w:p>
    <w:p>
      <w:pPr>
        <w:spacing w:after="0" w:line="143"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37"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maintain effective internal control over financial reporting, investors may lose confidence in the accuracy of our financial reports.</w:t>
      </w:r>
    </w:p>
    <w:p>
      <w:pPr>
        <w:spacing w:after="0" w:line="233"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Although our management has determined that our internal control over financial reporting was effective as of December 31, 2021, we cannot assure you that we will not identify any material weakness in our internal control in the future.</w:t>
      </w:r>
    </w:p>
    <w:p>
      <w:pPr>
        <w:spacing w:after="0" w:line="143"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qualify as a “smaller reporting company” under new SEC rules such that we are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or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which could adversely affect our business.</w:t>
      </w:r>
    </w:p>
    <w:p>
      <w:pPr>
        <w:spacing w:after="0" w:line="125"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In addition, our internal control over 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might lose all or part of your investment.</w:t>
      </w:r>
    </w:p>
    <w:p>
      <w:pPr>
        <w:spacing w:after="0" w:line="198"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Investing in our common stock involves a high degree of risk. As an investor, you might never recoup all, or even part of, your investment and you may never realize any return on your investment. You must be prepared to lose all your investment.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continue to be volatile.</w:t>
      </w:r>
    </w:p>
    <w:p>
      <w:pPr>
        <w:spacing w:after="0" w:line="185"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The market price of our common stock has fluctuated significantly since our initial public offering in 2014. The price of our common stock is likely to continue to fluctuate significantly in response to many factors that are beyond our control, including:</w:t>
      </w:r>
    </w:p>
    <w:p>
      <w:pPr>
        <w:spacing w:after="0" w:line="62"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announcements;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860" w:right="80" w:hanging="420"/>
        <w:spacing w:after="0" w:line="263"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perceptions of future economic growth prospectus in the economy at large, including as a result of the impact of the COVID-19 pandemic, including in particular the “delta” and “omicron” variants or global economic repercussions such as the Russia-Ukraine conflict and sanctions imposed by the United States and other countries;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number of holders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economic performance and/or market valuations of other technology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announcements of significant strategic partnerships, regulatory developments and other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articles published or rumors circulated by third parties regarding our business, technology or development partners;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or other transactions involving our capital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dividends in the past and have no immediate plans to pay dividends.</w:t>
      </w:r>
    </w:p>
    <w:p>
      <w:pPr>
        <w:spacing w:after="0" w:line="198"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expect to continue to incur significant costs as a result of being a public reporting company and our management will be required to devote substantial time to meet our compliance obligations.</w:t>
      </w:r>
    </w:p>
    <w:p>
      <w:pPr>
        <w:spacing w:after="0" w:line="13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a public reporting company, we incur significant legal, accounting and other expenses. We are subject to reporting requirements of the Securities Exchange Act of 1934, as amended, and rules subsequently implemented by the Securities and Exchange Commission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can be expected to increase as we emerged from emerging growth company status and will increase significantly if we no longer qualify as a smaller reporting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ability to use Federal net operating loss carry forwards to reduce future tax payments may be limited if our taxable income does not reach sufficient levels.</w:t>
      </w:r>
    </w:p>
    <w:p>
      <w:pPr>
        <w:spacing w:after="0" w:line="143"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of December 31, 2021, we had a Federal net operating loss (“NOL”) carryforward of approximately $241,988,000. Under the U.S. Tax Code,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2021, based on our history of operating losses it is possible that a portion of our NOLs will not be fully realizable.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198" w:lineRule="exact"/>
        <w:rPr>
          <w:sz w:val="20"/>
          <w:szCs w:val="20"/>
          <w:color w:val="auto"/>
        </w:rPr>
      </w:pPr>
    </w:p>
    <w:p>
      <w:pPr>
        <w:jc w:val="both"/>
        <w:ind w:right="40" w:firstLine="589"/>
        <w:spacing w:after="0" w:line="311" w:lineRule="auto"/>
        <w:rPr>
          <w:sz w:val="20"/>
          <w:szCs w:val="20"/>
          <w:color w:val="auto"/>
        </w:rPr>
      </w:pPr>
      <w:r>
        <w:rPr>
          <w:rFonts w:ascii="Arial" w:cs="Arial" w:eastAsia="Arial" w:hAnsi="Arial"/>
          <w:sz w:val="16"/>
          <w:szCs w:val="16"/>
          <w:color w:val="auto"/>
        </w:rPr>
        <w:t>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41" w:lineRule="exact"/>
        <w:rPr>
          <w:sz w:val="20"/>
          <w:szCs w:val="20"/>
          <w:color w:val="auto"/>
        </w:rPr>
      </w:pPr>
    </w:p>
    <w:p>
      <w:pPr>
        <w:ind w:left="880" w:hanging="440"/>
        <w:spacing w:after="0" w:line="26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w:t>
      </w:r>
    </w:p>
    <w:p>
      <w:pPr>
        <w:spacing w:after="0" w:line="7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permit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 not provide for cumulative voting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that all vacancies may be filled by the affirmative vote of a majority of directors then in office, even if less than a quorum.</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maintained.</w:t>
      </w:r>
    </w:p>
    <w:p>
      <w:pPr>
        <w:spacing w:after="0" w:line="185"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Our stock is currently traded on Nasdaq, but we can provide no assurance that we will be able to maintain an active trading market on Nasdaq or any other exchange in the future, including if we no longer meet the applicable listing standards of Nasdaq. If an active market for our common stock is not maintained, or if we no longer qualify to be listed on Nasdaq, it may be difficult for our stockholders to sell or purchase shares on such a national securities exchange, or otherwise. An inactive market may also impair our ability to raise capital to continue to fund operations by selling shares and impair our ability to acquire other companies or technologies by using our shares as consideration.</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0"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In 2014, we entered into a lease agreement for our corporate headquarters located at Northpointe Business Center, 3590 North First Street in San Jose, California. A new lease on this same property was signed in July 2019 for a term of three years starting from October 1, 2019. This space, with a total of 21,188 square feet, is used for our headquarters and for research and development efforts. In September 2021, we entered into a lease agreement for office space in Costa Mesa, CA which is utilized by our engineers residing in Southern California, starting from October 1, 2021 and has a total of 1,387 square feet.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480" w:firstLine="589"/>
        <w:spacing w:after="0" w:line="342" w:lineRule="auto"/>
        <w:rPr>
          <w:sz w:val="20"/>
          <w:szCs w:val="20"/>
          <w:color w:val="auto"/>
        </w:rPr>
      </w:pPr>
      <w:r>
        <w:rPr>
          <w:rFonts w:ascii="Arial" w:cs="Arial" w:eastAsia="Arial" w:hAnsi="Arial"/>
          <w:sz w:val="16"/>
          <w:szCs w:val="16"/>
          <w:color w:val="auto"/>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60"/>
        <w:spacing w:after="0" w:line="42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spacing w:after="0" w:line="71"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Our common stock began trading on The Nasdaq Stock Market under the symbol “WATT” on March 31, 2014. Prior to that date, there was no public trading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March 10, 2022, there were 11 stockholders of record of our common stock, and we believe we have significantly more beneficial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The information regarding the securities authorized for issuance under our equity compensation plans will be included in an amendment to this Annual Report on Form 10-K or incorporated by reference from our Proxy Statement to be filed with the SEC for our 2022 Annual Meeting of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right="3820"/>
        <w:spacing w:after="0" w:line="407"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7" w:lineRule="exact"/>
        <w:rPr>
          <w:sz w:val="20"/>
          <w:szCs w:val="20"/>
          <w:color w:val="auto"/>
        </w:rPr>
      </w:pPr>
    </w:p>
    <w:p>
      <w:pPr>
        <w:ind w:right="80" w:firstLine="864"/>
        <w:spacing w:after="0" w:line="272" w:lineRule="auto"/>
        <w:rPr>
          <w:sz w:val="20"/>
          <w:szCs w:val="20"/>
          <w:color w:val="auto"/>
        </w:rPr>
      </w:pPr>
      <w:r>
        <w:rPr>
          <w:rFonts w:ascii="Arial" w:cs="Arial" w:eastAsia="Arial" w:hAnsi="Arial"/>
          <w:sz w:val="17"/>
          <w:szCs w:val="17"/>
          <w:color w:val="auto"/>
        </w:rPr>
        <w:t>We have developed our WattUp® wireless power technology, consisting of semiconductor chipsets, software controls, hardware designs and antennas, that enables radio frequency (“RF”) based charging for electronic devices. The WattUp technology has a broad spectrum of capabilities to enable the next generation of wireless power networks, delivering power and data in a seamless device portfolio. This includes near field and at-a-distance wireless charging with multiple power levels at various distances. We believe our WattUp technologies will help facilitate the deployment of the growing IoT applications. According to the recent report of the International Data Corporation, or the IDC, titled “Worldwide Global DataSphere IoT Device and Data Forecast, 2021–2025,” the IoT market is forecasted to grow to 39.3 billion devices by 2025. The initial IoT applications that we are targeting are in the area of RF tags and electronic shelf labeling (“ESL”) for retail, industrial and healthcare markets.</w:t>
      </w:r>
    </w:p>
    <w:p>
      <w:pPr>
        <w:spacing w:after="0" w:line="177" w:lineRule="exact"/>
        <w:rPr>
          <w:sz w:val="20"/>
          <w:szCs w:val="20"/>
          <w:color w:val="auto"/>
        </w:rPr>
      </w:pPr>
    </w:p>
    <w:p>
      <w:pPr>
        <w:ind w:right="220" w:firstLine="864"/>
        <w:spacing w:after="0" w:line="286" w:lineRule="auto"/>
        <w:rPr>
          <w:sz w:val="20"/>
          <w:szCs w:val="20"/>
          <w:color w:val="auto"/>
        </w:rPr>
      </w:pPr>
      <w:r>
        <w:rPr>
          <w:rFonts w:ascii="Arial" w:cs="Arial" w:eastAsia="Arial" w:hAnsi="Arial"/>
          <w:sz w:val="16"/>
          <w:szCs w:val="16"/>
          <w:color w:val="auto"/>
        </w:rPr>
        <w:t>We believe our technology is innovative in its approach, in that we are developing solutions that charge electronic devices using RF. To-date, we have developed multiple transmitters and receivers, including prototypes as well as partner production designs. The transmitters vary based on form factor, power specifications and frequencies, while the receivers support a myriad of applications including Bluetooth tracking tags, IoT sensors, ESLs, beacons, stock management devices, security cameras, handheld devices, smart automation, wearables, hearables, and more.</w:t>
      </w:r>
    </w:p>
    <w:p>
      <w:pPr>
        <w:spacing w:after="0" w:line="1" w:lineRule="exact"/>
        <w:rPr>
          <w:sz w:val="20"/>
          <w:szCs w:val="20"/>
          <w:color w:val="auto"/>
        </w:rPr>
      </w:pPr>
    </w:p>
    <w:p>
      <w:pPr>
        <w:ind w:right="140" w:firstLine="864"/>
        <w:spacing w:after="0" w:line="255" w:lineRule="auto"/>
        <w:rPr>
          <w:sz w:val="20"/>
          <w:szCs w:val="20"/>
          <w:color w:val="auto"/>
        </w:rPr>
      </w:pPr>
      <w:r>
        <w:rPr>
          <w:rFonts w:ascii="Arial" w:cs="Arial" w:eastAsia="Arial" w:hAnsi="Arial"/>
          <w:sz w:val="18"/>
          <w:szCs w:val="18"/>
          <w:color w:val="auto"/>
        </w:rPr>
        <w:t>The first end product featuring our technology entered the market in 2019. We started shipping our first at-a-distance WattUp PowerBridge enabled transmitters for commercial IoT applications in the fourth quarter of 2021, and we expect additional WattUp-enabled products to be announced as we move our business forward.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98"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We are monitoring the ongoing effects of COVID-19 (including continued outbreaks) and the related business and travel restrictions and changes to behavior intended to reduce its spread, and its impact on our operations, financial position, cash flows, inventory, supply chains, global regulatory approvals, purchasing trends, customer payments, and the industry in general, in addition to the impact on our employees.</w:t>
      </w:r>
    </w:p>
    <w:p>
      <w:pPr>
        <w:spacing w:after="0" w:line="273" w:lineRule="exact"/>
        <w:rPr>
          <w:sz w:val="20"/>
          <w:szCs w:val="20"/>
          <w:color w:val="auto"/>
        </w:rPr>
      </w:pPr>
    </w:p>
    <w:p>
      <w:pPr>
        <w:ind w:right="360" w:firstLine="589"/>
        <w:spacing w:after="0" w:line="296" w:lineRule="auto"/>
        <w:rPr>
          <w:sz w:val="20"/>
          <w:szCs w:val="20"/>
          <w:color w:val="auto"/>
        </w:rPr>
      </w:pPr>
      <w:r>
        <w:rPr>
          <w:rFonts w:ascii="Arial" w:cs="Arial" w:eastAsia="Arial" w:hAnsi="Arial"/>
          <w:sz w:val="16"/>
          <w:szCs w:val="16"/>
          <w:color w:val="auto"/>
        </w:rPr>
        <w:t>The COVID-19 pandemic has delayed adoption of our technology by potential customers who have experienced workforce and supply chain disruptions, and who continue to evaluate their future prospects and business models, including partnerships with us. Further delays in this or other products could result from the ongoing pandemic. We have implemented moderated work-from-home policies for our employees that will likely be in place through the end of 2022 and possibly longer. Due to the continuing developments and fluidity of this situation, the magnitude and duration of the pandemic and its impact on our operations and liquidity, mainly due to supply chain shortages, are still uncertain as of the date of this report.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80" w:firstLine="589"/>
        <w:spacing w:after="0" w:line="253" w:lineRule="auto"/>
        <w:rPr>
          <w:sz w:val="20"/>
          <w:szCs w:val="20"/>
          <w:color w:val="auto"/>
        </w:rPr>
      </w:pPr>
      <w:r>
        <w:rPr>
          <w:rFonts w:ascii="Arial" w:cs="Arial" w:eastAsia="Arial" w:hAnsi="Arial"/>
          <w:sz w:val="18"/>
          <w:szCs w:val="18"/>
          <w:color w:val="auto"/>
        </w:rPr>
        <w:t>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 available from other outside sources, as appropriate. Please see Note 3 to our financial statements for a more complete description of our significant accounting policies.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100" w:firstLine="589"/>
        <w:spacing w:after="0" w:line="26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accompanying audited financial statements and footnotes for the years ended December 31, 2021 and 2020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prepared in accordance with generally accepted accounting principles in the United States of America (“U.S. GAAP”) and applicable rules and regulations of the SEC regarding financial information.</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follow Accounting Standards Update No. 2014-09, "Revenue from Contracts with Customers" (Topic 606).</w:t>
      </w:r>
    </w:p>
    <w:p>
      <w:pPr>
        <w:spacing w:after="0" w:line="18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accordance with Topic 606, we recognize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revenue primarily consists of product development projects revenue. We also provided contract services revenue for Dialog in 2020.</w:t>
      </w:r>
    </w:p>
    <w:p>
      <w:pPr>
        <w:spacing w:after="0" w:line="196"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We record revenue associated with product development projects that we enter into with certain customers. In general, these product development projects are complex, and we do not have certainty about our ability to achieve the project milestones. The achievement of a milestone is dependent on our performance obligation and requires acceptance by the customer. We recognize this revenue at a point in time based on when the performance obligation is met. The payment associated with achieving the performance obligation is generally commensurate with our effort or the value of the deliverable and is nonrefundable. We record the expenses related to these product development projects in research and development expense, in the periods such expenses were incurred.</w:t>
      </w:r>
    </w:p>
    <w:p>
      <w:pPr>
        <w:spacing w:after="0" w:line="19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recognized contract services revenue from Dialog over a period of time as the services are performed. The costs associated with this revenue were recognized as the services were performed and were included in cost of services revenue.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2021 and 2020, we recorded revenue of $756,793 and $327,350, respectively.</w:t>
      </w:r>
    </w:p>
    <w:p>
      <w:pPr>
        <w:spacing w:after="0" w:line="22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are charged to operations as incurred. For internally developed patents, all patent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costs are expensed as incurred as research and development expense. Patent application costs, generally legal costs, are expensed as research and development costs until such time as the future economic benefits of such patents become more certain. Also included in research and development costs are payroll costs and stock-based compensation for employees within the department. We incurred research and development costs of $20,572,580 and $17,066,122 for 2021 and 2020, respectively.</w:t>
      </w:r>
    </w:p>
    <w:p>
      <w:pPr>
        <w:spacing w:after="0" w:line="188"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recognize deferred tax assets and liabilities for the expected future tax consequences of items that have been included in or</w:t>
      </w:r>
      <w:r>
        <w:rPr>
          <w:rFonts w:ascii="Arial" w:cs="Arial" w:eastAsia="Arial" w:hAnsi="Arial"/>
          <w:sz w:val="18"/>
          <w:szCs w:val="18"/>
          <w:i w:val="1"/>
          <w:iCs w:val="1"/>
          <w:color w:val="auto"/>
        </w:rPr>
        <w:t xml:space="preserve"> </w:t>
      </w:r>
      <w:r>
        <w:rPr>
          <w:rFonts w:ascii="Arial" w:cs="Arial" w:eastAsia="Arial" w:hAnsi="Arial"/>
          <w:sz w:val="18"/>
          <w:szCs w:val="18"/>
          <w:color w:val="auto"/>
        </w:rPr>
        <w:t>excluded from our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w:t>
      </w:r>
    </w:p>
    <w:p>
      <w:pPr>
        <w:spacing w:after="0" w:line="18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For 2021 and 2020, we had $13,820,144 and $12,848,719, respectively, of research and development expenses capitalized for federal income tax purposes, with amortization commencing upon our receiving an economic benefit from the related research. As of December 31, 2021, we had approximately $241,988,000 gross federal net operating loss carryforwards (“NOLs”) and federal and state research and development tax credit carryforwards of approximately $5,748,000 and $4,718,000, respectively. As of December 31, 2021 and 2020, deferred tax assets consisted principally of net operating loss and tax credit carryforwards, the research and development costs and stock-based compensation, and such deferred tax assets were fully reserved. Accordingly, our effective tax rate for 2021 and 2020 was nil.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220" w:firstLine="589"/>
        <w:spacing w:after="0" w:line="301" w:lineRule="auto"/>
        <w:rPr>
          <w:sz w:val="20"/>
          <w:szCs w:val="20"/>
          <w:color w:val="auto"/>
        </w:rPr>
      </w:pPr>
      <w:r>
        <w:rPr>
          <w:rFonts w:ascii="Arial" w:cs="Arial" w:eastAsia="Arial" w:hAnsi="Arial"/>
          <w:sz w:val="16"/>
          <w:szCs w:val="16"/>
          <w:color w:val="auto"/>
        </w:rPr>
        <w:t>Internal Revenue Code Section 382 imposes limitations on the use of net operating loss carryforwards when the stock ownership of one or more 5% stockholders (stockholders owning 5% or more of our outstanding capital stock) has increased on a cumulative basis by more than 50 percentage points. Accordingly, an ownership change could trigger a limitation of the use of the loss carryforward. We completed a Section 382 analysis as of December 31, 2021 and determined that none of our federal net operating loss carryforwards or federal research and development tax credits are limited.</w:t>
      </w:r>
    </w:p>
    <w:p>
      <w:pPr>
        <w:spacing w:after="0" w:line="15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all or some portion of the deferred tax assets will be realized. The ultimate realization of deferred tax assets is dependent upon the future generation of taxable income during the periods in which those temporary differences become deductible. Management considers the scheduled reversal of deferred tax liabilities, projected future taxable income, and taxing strategies in making this assessment. Based on this assessment, management has established a full valuation allowance against all of the net deferred tax assets for each period, since it is more likely than not that all of the deferred tax assets will not be realized.</w:t>
      </w:r>
    </w:p>
    <w:p>
      <w:pPr>
        <w:spacing w:after="0" w:line="161"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our tax returns that do not meet these recognition and measurement standards. As of December 31, 2021 and 2020, no liability for unrecognized tax benefits was required to be reported. The guidance also discusses the classification of related interest and penalties on income taxes. Our policy is to record interest and penalties on uncertain tax positions as a component of income tax expense. No interest or penalties were recorded for 2021 and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0" w:firstLine="864"/>
        <w:spacing w:after="0" w:line="254" w:lineRule="auto"/>
        <w:rPr>
          <w:sz w:val="20"/>
          <w:szCs w:val="20"/>
          <w:color w:val="auto"/>
        </w:rPr>
      </w:pPr>
      <w:r>
        <w:rPr>
          <w:rFonts w:ascii="Arial" w:cs="Arial" w:eastAsia="Arial" w:hAnsi="Arial"/>
          <w:sz w:val="18"/>
          <w:szCs w:val="18"/>
          <w:color w:val="auto"/>
        </w:rPr>
        <w:t>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December 31, 2021 and 2020</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During 2021 and 2020, we recorded revenue of $756,793 and $327,350, respectively. The increase in revenue is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non-recurring engineering revenue and the sales of transmitters.</w:t>
      </w:r>
    </w:p>
    <w:p>
      <w:pPr>
        <w:spacing w:after="0" w:line="170" w:lineRule="exact"/>
        <w:rPr>
          <w:sz w:val="20"/>
          <w:szCs w:val="20"/>
          <w:color w:val="auto"/>
        </w:rPr>
      </w:pPr>
    </w:p>
    <w:p>
      <w:pPr>
        <w:ind w:right="340" w:firstLine="589"/>
        <w:spacing w:after="0" w:line="342" w:lineRule="auto"/>
        <w:rPr>
          <w:sz w:val="20"/>
          <w:szCs w:val="20"/>
          <w:color w:val="auto"/>
        </w:rPr>
      </w:pPr>
      <w:r>
        <w:rPr>
          <w:rFonts w:ascii="Arial" w:cs="Arial" w:eastAsia="Arial" w:hAnsi="Arial"/>
          <w:sz w:val="16"/>
          <w:szCs w:val="16"/>
          <w:i w:val="1"/>
          <w:iCs w:val="1"/>
          <w:color w:val="auto"/>
        </w:rPr>
        <w:t xml:space="preserve">Operating Expenses and loss from operations. </w:t>
      </w:r>
      <w:r>
        <w:rPr>
          <w:rFonts w:ascii="Arial" w:cs="Arial" w:eastAsia="Arial" w:hAnsi="Arial"/>
          <w:sz w:val="16"/>
          <w:szCs w:val="16"/>
          <w:color w:val="auto"/>
        </w:rPr>
        <w:t>Operating expenses are made up of research and development, sales and marketing,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and cost of services revenue. Operating expenses for 2021 and 2020 were $42,189,578 and $32,226,514, respectively.</w:t>
      </w:r>
    </w:p>
    <w:p>
      <w:pPr>
        <w:spacing w:after="0" w:line="124" w:lineRule="exact"/>
        <w:rPr>
          <w:sz w:val="20"/>
          <w:szCs w:val="20"/>
          <w:color w:val="auto"/>
        </w:rPr>
      </w:pPr>
    </w:p>
    <w:p>
      <w:pPr>
        <w:ind w:right="220" w:firstLine="589"/>
        <w:spacing w:after="0" w:line="29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costs for 2021 and 2020 were $20,572,580 and $17,066,122,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$3,506,458 increase in research and development expenses is primarily due to a $2,642,449 increase in compensation, primarily due to a $2,649,581 increase in stock-based compensation from PSU awards being granted and earned, an $825,569 increase in engineering supplies, components and chip development due to project timing, a $132,309 increase in regulatory testing and a $116,125 increase in consulting and third-party services expense, partially offset by a $126,552 decrease in rent expense and a $116,810 decrease in depreciation expense.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ind w:right="120" w:firstLine="589"/>
        <w:spacing w:after="0" w:line="255"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for 2021 and 2020 were $8,598,343 and $5,880,350, respectively. The $2,717,993</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and marketing expenses is primarily due to a $2,167,906 increase in compensation, consisting of a $1,594,508 increase in stock-based compensation from PSU awards being granted and earned and a $573,398 increase in payroll costs from a higher headcount within the department, a $194,579 increase in marketing and promotional costs, a $118,394 increase in legal fees pertaining to marketing and trademarks, a $77,994 increase in engineering supplies and components used by sales and marketing staff for customer demonstrations and a $70,163 increase in public relations, consulting and third-party services expense.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costs for 2021 and 2020 were $9,001,483 and $9,153,503, respectively.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$152,020 decrease in general and administrative expense is primarily due to a $539,218 decrease in compensation, including a $495,865 decrease in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from equity awards becoming fully vested during the previous year and a $43,353 decrease in payroll costs, a $133,516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and audit fees, an $87,057 decrease in board stipends and a $50,547 decrease in annual meeting costs, partially offset by a $280,900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recruiting expense, a $247,208 increase in insurance premiums, an $87,033 increase in general corporate legal fees and a $44,706 increase in training, dues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subscriptions.</w:t>
      </w:r>
    </w:p>
    <w:p>
      <w:pPr>
        <w:spacing w:after="0" w:line="211"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i w:val="1"/>
          <w:iCs w:val="1"/>
          <w:color w:val="auto"/>
        </w:rPr>
        <w:t xml:space="preserve">Severance Expense. </w:t>
      </w:r>
      <w:r>
        <w:rPr>
          <w:rFonts w:ascii="Arial" w:cs="Arial" w:eastAsia="Arial" w:hAnsi="Arial"/>
          <w:sz w:val="18"/>
          <w:szCs w:val="18"/>
          <w:color w:val="auto"/>
        </w:rPr>
        <w:t>Severance expense for 2021 was $4,017,172 from the separation agreement of former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Stephen Rizzone, consisting of expected cash payments and estimated payroll taxes of $3,732,178 and stock-based compensation of $284,994 from the extension of the exercise period for his stock options.</w:t>
      </w:r>
    </w:p>
    <w:p>
      <w:pPr>
        <w:spacing w:after="0" w:line="184"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During 2021 and 2020, we recorded cost of services revenue of $0 and $126,539, respectively. These costs were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our contract services performed for Dialog.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Loss from Operations. </w:t>
      </w:r>
      <w:r>
        <w:rPr>
          <w:rFonts w:ascii="Arial" w:cs="Arial" w:eastAsia="Arial" w:hAnsi="Arial"/>
          <w:sz w:val="18"/>
          <w:szCs w:val="18"/>
          <w:color w:val="auto"/>
        </w:rPr>
        <w:t>Loss from operations for 2021 and 2020 was $41,432,785 and $31,899,164, respectively.</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for 2021 was $5,492, compared to $71,212 for 2020, primarily due to lower interest rates for the savings account.</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As a result of the above, net loss for 2021 was $41,427,293, compared to $31,832,086 for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During 2021 and 2020, we recorded revenue of $756,793 and $327,350, respectively. We incurred a net loss of $41,427,293 and $31,832,086 for 2021 and 2020, respectively. Net cash used in operating activities was $28,720,389 and $24,791,545 for 2021 and 2020, respectively. We are currently meeting our liquidity requirements through the proceeds of securities offerings that raised net proceeds of $53,556,202 during 2020 and $27,043,751 during the fourth quarter of 2021, proceeds from contributions to the employee stock purchase plan (“ESPP”), along with payments received from customers.</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We believe our current cash on hand, together with anticipated revenues, will be sufficient to fund our operations through March 2023. 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spacing w:after="0" w:line="149"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During 2021, cash flows used in operating activities were $28,720,389, consisting of a net loss of $41,427,293, less non-cash expenses aggregating $12,874,593 (representing principally stock-based compensation of $11,931,188, decrease in right-of-use lease assets of $674,306 and depreciation and amortization expense of $258,249), a $733,473 decrease in operating lease liabilities, a $238,184 increase in prepaid expenses and other current assets and a $218,602 increase in accounts receivable, partially offset by a $975,439 increase in accrued severance expense and a $109,118 increase in accounts payable. During 2020, cash flows used in operating activities were $24,791,545, consisting of a net loss of $31,832,086, less non-cash expenses aggregating $9,044,076 (representing principally stock-based compensation of $7,897,970, decrease in right-of-use lease assets of $764,285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400"/>
        <w:spacing w:after="0" w:line="277" w:lineRule="auto"/>
        <w:rPr>
          <w:sz w:val="20"/>
          <w:szCs w:val="20"/>
          <w:color w:val="auto"/>
        </w:rPr>
      </w:pPr>
      <w:r>
        <w:rPr>
          <w:rFonts w:ascii="Arial" w:cs="Arial" w:eastAsia="Arial" w:hAnsi="Arial"/>
          <w:sz w:val="18"/>
          <w:szCs w:val="18"/>
          <w:color w:val="auto"/>
        </w:rPr>
        <w:t>and depreciation and amortization expense of $356,310), a $722,291 decrease in operating lease liabilities, a $574,680 decrease in accounts payable, a $486,810 decrease in accrued expenses and a $186,471 increase in prepaid expenses and other current assets.</w:t>
      </w:r>
    </w:p>
    <w:p>
      <w:pPr>
        <w:spacing w:after="0" w:line="170" w:lineRule="exact"/>
        <w:rPr>
          <w:sz w:val="20"/>
          <w:szCs w:val="20"/>
          <w:color w:val="auto"/>
        </w:rPr>
      </w:pPr>
    </w:p>
    <w:p>
      <w:pPr>
        <w:ind w:right="420" w:firstLine="589"/>
        <w:spacing w:after="0" w:line="286" w:lineRule="auto"/>
        <w:rPr>
          <w:sz w:val="20"/>
          <w:szCs w:val="20"/>
          <w:color w:val="auto"/>
        </w:rPr>
      </w:pPr>
      <w:r>
        <w:rPr>
          <w:rFonts w:ascii="Arial" w:cs="Arial" w:eastAsia="Arial" w:hAnsi="Arial"/>
          <w:sz w:val="17"/>
          <w:szCs w:val="17"/>
          <w:color w:val="auto"/>
        </w:rPr>
        <w:t>During 2021 and 2020, cash flows used in investing activities were $365,735 and $136,631, respectively. The cash used in 2021 primarily consisted of the purchases of components to build new testing equipment, new lab equipment purchases, as well as costs incurred for designing a new corporate website. The cash used in 2020 primarily consisted of the purchases of new lab equipment.</w:t>
      </w:r>
    </w:p>
    <w:p>
      <w:pPr>
        <w:spacing w:after="0" w:line="165"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During 2021, cash flows provided by financing activities were $27,427,877, which consisted of $27,043,751 in net proceeds from the sale of shares of our common stock to the public in an at-the-market (“ATM”) offering and proceeds from contributions to the employee stock purchase program (“ESPP”) of $384,126. During 2020, cash flows provided by financing activities were $53,973,748, which consisted of $53,556,202 in net proceeds from the sale of shares of our common stock to the public in ATM offerings and proceeds from contributions to the employee stock purchase program (“ESPP”) of $417,546.</w:t>
      </w:r>
    </w:p>
    <w:p>
      <w:pPr>
        <w:spacing w:after="0" w:line="188" w:lineRule="exact"/>
        <w:rPr>
          <w:sz w:val="20"/>
          <w:szCs w:val="20"/>
          <w:color w:val="auto"/>
        </w:rPr>
      </w:pPr>
    </w:p>
    <w:p>
      <w:pPr>
        <w:ind w:right="500" w:firstLine="589"/>
        <w:spacing w:after="0" w:line="263" w:lineRule="auto"/>
        <w:rPr>
          <w:sz w:val="20"/>
          <w:szCs w:val="20"/>
          <w:color w:val="auto"/>
        </w:rPr>
      </w:pPr>
      <w:r>
        <w:rPr>
          <w:rFonts w:ascii="Arial" w:cs="Arial" w:eastAsia="Arial" w:hAnsi="Arial"/>
          <w:sz w:val="18"/>
          <w:szCs w:val="18"/>
          <w:color w:val="auto"/>
        </w:rPr>
        <w:t>Research and development of new technologies is, by its nature, unpredictable. Although we intend to continue our research and undertake development activities, there can be no assurance that our available resources will be sufficient to enable us to generate revenues sufficient to sustain operations.</w:t>
      </w:r>
    </w:p>
    <w:p>
      <w:pPr>
        <w:spacing w:after="0" w:line="184"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color w:val="auto"/>
        </w:rPr>
        <w:t>Furthermore, since we have no committed source of financing, there can be no assurance that we will be able to raise capital as and when we need it to continue our operations.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60" w:firstLine="589"/>
        <w:spacing w:after="0" w:line="259" w:lineRule="auto"/>
        <w:rPr>
          <w:sz w:val="20"/>
          <w:szCs w:val="20"/>
          <w:color w:val="auto"/>
        </w:rPr>
      </w:pPr>
      <w:r>
        <w:rPr>
          <w:rFonts w:ascii="Arial" w:cs="Arial" w:eastAsia="Arial" w:hAnsi="Arial"/>
          <w:sz w:val="18"/>
          <w:szCs w:val="18"/>
          <w:color w:val="auto"/>
        </w:rPr>
        <w:t>In the ordinary course of business, we may be exposed to certain market risks, such as interest rates. The annual impact of our results of operations of a 100 basis point interest rate change on December 31, 2021 would be minimal. After an assessment of these risks to our operations, we believe that the primary market risk exposures (within the meaning of Regulation S-K Item 305) are not material and are not expected to have any material adverse impact on our financial position, results of operations or cash flows for the next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Energous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40" w:type="dxa"/>
            <w:vAlign w:val="bottom"/>
            <w:gridSpan w:val="8"/>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688)</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55"/>
        </w:trPr>
        <w:tc>
          <w:tcPr>
            <w:tcW w:w="10340" w:type="dxa"/>
            <w:vAlign w:val="bottom"/>
            <w:gridSpan w:val="8"/>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Balance Sheets as of December 31, 2021 and 2020</w:t>
              </w:r>
            </w:hyperlink>
          </w:p>
        </w:tc>
        <w:tc>
          <w:tcPr>
            <w:tcW w:w="1960" w:type="dxa"/>
            <w:vAlign w:val="bottom"/>
            <w:tcBorders>
              <w:top w:val="single" w:sz="8" w:color="auto"/>
            </w:tcBorders>
            <w:gridSpan w:val="3"/>
          </w:tcPr>
          <w:p>
            <w:pPr>
              <w:spacing w:after="0"/>
              <w:rPr>
                <w:sz w:val="18"/>
                <w:szCs w:val="18"/>
                <w:color w:val="auto"/>
              </w:rPr>
            </w:pPr>
          </w:p>
        </w:tc>
        <w:tc>
          <w:tcPr>
            <w:tcW w:w="4160" w:type="dxa"/>
            <w:vAlign w:val="bottom"/>
            <w:gridSpan w:val="2"/>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Statements of Operations for the years ended December 31, 2021 and 2020</w:t>
              </w:r>
            </w:hyperlink>
          </w:p>
        </w:tc>
        <w:tc>
          <w:tcPr>
            <w:tcW w:w="4920" w:type="dxa"/>
            <w:vAlign w:val="bottom"/>
            <w:gridSpan w:val="4"/>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340" w:type="dxa"/>
            <w:vAlign w:val="bottom"/>
            <w:gridSpan w:val="8"/>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Statement of Changes in Stockholders’ Equity for the years ended December 31, 2021 and 2020</w:t>
              </w:r>
            </w:hyperlink>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Statements of Cash Flows for the years ended December 31, 2021 and 2020</w:t>
              </w:r>
            </w:hyperlink>
          </w:p>
        </w:tc>
        <w:tc>
          <w:tcPr>
            <w:tcW w:w="342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4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Notes to Financial Statements</w:t>
              </w:r>
            </w:hyperlink>
          </w:p>
        </w:tc>
        <w:tc>
          <w:tcPr>
            <w:tcW w:w="488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669"/>
        </w:trPr>
        <w:tc>
          <w:tcPr>
            <w:tcW w:w="2160" w:type="dxa"/>
            <w:vAlign w:val="bottom"/>
            <w:tcBorders>
              <w:top w:val="single" w:sz="8" w:color="0000EE"/>
            </w:tcBorders>
          </w:tcPr>
          <w:p>
            <w:pPr>
              <w:spacing w:after="0"/>
              <w:rPr>
                <w:sz w:val="24"/>
                <w:szCs w:val="24"/>
                <w:color w:val="auto"/>
              </w:rPr>
            </w:pPr>
          </w:p>
        </w:tc>
        <w:tc>
          <w:tcPr>
            <w:tcW w:w="4020" w:type="dxa"/>
            <w:vAlign w:val="bottom"/>
            <w:gridSpan w:val="5"/>
          </w:tcPr>
          <w:p>
            <w:pPr>
              <w:jc w:val="right"/>
              <w:ind w:right="46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Energous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sheets of Energous Corporation (the “Company”) as of December 31, 2021 and 2020, the related statements of operations, changes in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matters below, providing a separate opinion on the critical audit matter or on the accounts or disclosures to which they relate.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Matter</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discussed in Note 7 to the financial statements, the Company sold shares and raised net proceeds of $27,043,751. The Company will rely on these proceeds to fund the Company’s operations for the near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Based on the significant dollar amount, significant disclosures and use of capital raises to fund its operations, capital transactions is considered to be a critical audit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reviewed terms and provisions of the At Market Issuance Sales Agreement. We tested the net proceeds raised, shares sold to underlying stock transfer documents and confirmed share amounts to stock transfer agent.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57" w:right="679" w:bottom="1440" w:gutter="0" w:footer="0" w:header="0"/>
        </w:sectPr>
      </w:pPr>
    </w:p>
    <w:bookmarkStart w:id="35" w:name="page36"/>
    <w:bookmarkEnd w:id="35"/>
    <w:p>
      <w:pPr>
        <w:ind w:left="476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BALANCE SHEETS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color w:val="auto"/>
              </w:rPr>
              <w:t>As of</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7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right"/>
              <w:ind w:right="540"/>
              <w:spacing w:after="0" w:line="137"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right"/>
              <w:ind w:right="292"/>
              <w:spacing w:after="0" w:line="137"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1"/>
                <w:szCs w:val="11"/>
                <w:color w:val="auto"/>
              </w:rPr>
            </w:pPr>
          </w:p>
        </w:tc>
      </w:tr>
      <w:tr>
        <w:trPr>
          <w:trHeight w:val="167"/>
        </w:trPr>
        <w:tc>
          <w:tcPr>
            <w:tcW w:w="7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49,071,414</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50,729,661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283,602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75,850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874,886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636,702</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50,229,902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51,442,213</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402,711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Operating right-of-use lease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618,985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1,293,291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51,371,075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53,139,825</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1,205,957</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1,096,839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1,523,317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1,576,287</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severance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628,307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825,431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24"/>
        </w:trPr>
        <w:tc>
          <w:tcPr>
            <w:tcW w:w="77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4,346,384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3,510,557</w:t>
            </w:r>
          </w:p>
        </w:tc>
        <w:tc>
          <w:tcPr>
            <w:tcW w:w="100" w:type="dxa"/>
            <w:vAlign w:val="bottom"/>
          </w:tcPr>
          <w:p>
            <w:pPr>
              <w:spacing w:after="0"/>
              <w:rPr>
                <w:sz w:val="19"/>
                <w:szCs w:val="19"/>
                <w:color w:val="auto"/>
              </w:rPr>
            </w:pPr>
          </w:p>
        </w:tc>
      </w:tr>
      <w:tr>
        <w:trPr>
          <w:trHeight w:val="229"/>
        </w:trPr>
        <w:tc>
          <w:tcPr>
            <w:tcW w:w="7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long-term portion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576,762</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4,386,797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4,087,319</w:t>
            </w:r>
          </w:p>
        </w:tc>
        <w:tc>
          <w:tcPr>
            <w:tcW w:w="100" w:type="dxa"/>
            <w:vAlign w:val="bottom"/>
            <w:shd w:val="clear" w:color="auto" w:fill="CFF0FC"/>
          </w:tcPr>
          <w:p>
            <w:pPr>
              <w:spacing w:after="0"/>
              <w:rPr>
                <w:sz w:val="19"/>
                <w:szCs w:val="19"/>
                <w:color w:val="auto"/>
              </w:rPr>
            </w:pPr>
          </w:p>
        </w:tc>
      </w:tr>
      <w:tr>
        <w:trPr>
          <w:trHeight w:val="45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rPr>
              <w:t>Preferred Stock, $0.00001 par value, 10,000,000 shares authorized at</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380"/>
              <w:spacing w:after="0"/>
              <w:rPr>
                <w:sz w:val="20"/>
                <w:szCs w:val="20"/>
                <w:color w:val="auto"/>
              </w:rPr>
            </w:pPr>
            <w:r>
              <w:rPr>
                <w:rFonts w:ascii="Arial" w:cs="Arial" w:eastAsia="Arial" w:hAnsi="Arial"/>
                <w:sz w:val="18"/>
                <w:szCs w:val="18"/>
                <w:color w:val="auto"/>
              </w:rPr>
              <w:t>December 31, 2021 and December 31, 2020; no shares issued or</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$0.00001 par value, 200,000,000 shares authorized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December 31, 2021 and December 31, 2020; 76,667,205 and</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61,292,412 shares issued and outstanding at December 31, 2021</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2020, respectively.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383,383,550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344,024,638</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(336,400,039)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(294,972,746)</w:t>
            </w: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46,984,278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49,052,506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51,371,075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53,139,825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6"/>
          </w:tcPr>
          <w:p>
            <w:pPr>
              <w:jc w:val="right"/>
              <w:ind w:right="82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756,793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20,572,580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17,066,122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8,598,343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5,880,350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9,001,483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9,153,503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Severance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4,017,172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revenue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42,189,578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32,226,514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(41,432,785)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(31,899,164)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(41,427,293)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(31,832,086)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loss per common share</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64,926,524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41,639,916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20" w:type="dxa"/>
            <w:vAlign w:val="bottom"/>
          </w:tcPr>
          <w:p>
            <w:pPr>
              <w:spacing w:after="0"/>
              <w:rPr>
                <w:sz w:val="13"/>
                <w:szCs w:val="13"/>
                <w:color w:val="auto"/>
              </w:rPr>
            </w:pPr>
          </w:p>
        </w:tc>
        <w:tc>
          <w:tcPr>
            <w:tcW w:w="1940" w:type="dxa"/>
            <w:vAlign w:val="bottom"/>
            <w:tcBorders>
              <w:bottom w:val="single" w:sz="8" w:color="auto"/>
            </w:tcBorders>
            <w:gridSpan w:val="3"/>
          </w:tcPr>
          <w:p>
            <w:pPr>
              <w:jc w:val="right"/>
              <w:ind w:right="385"/>
              <w:spacing w:after="0"/>
              <w:rPr>
                <w:sz w:val="20"/>
                <w:szCs w:val="20"/>
                <w:color w:val="auto"/>
              </w:rPr>
            </w:pPr>
            <w:r>
              <w:rPr>
                <w:rFonts w:ascii="Arial" w:cs="Arial" w:eastAsia="Arial" w:hAnsi="Arial"/>
                <w:sz w:val="13"/>
                <w:szCs w:val="13"/>
                <w:color w:val="auto"/>
              </w:rPr>
              <w:t>Common Stock</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Total</w:t>
            </w:r>
          </w:p>
        </w:tc>
      </w:tr>
      <w:tr>
        <w:trPr>
          <w:trHeight w:val="128"/>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460"/>
              <w:spacing w:after="0" w:line="128" w:lineRule="exact"/>
              <w:rPr>
                <w:sz w:val="20"/>
                <w:szCs w:val="20"/>
                <w:color w:val="auto"/>
              </w:rPr>
            </w:pPr>
            <w:r>
              <w:rPr>
                <w:rFonts w:ascii="Arial" w:cs="Arial" w:eastAsia="Arial" w:hAnsi="Arial"/>
                <w:sz w:val="13"/>
                <w:szCs w:val="13"/>
                <w:color w:val="auto"/>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308"/>
              <w:spacing w:after="0" w:line="128" w:lineRule="exact"/>
              <w:rPr>
                <w:sz w:val="20"/>
                <w:szCs w:val="20"/>
                <w:color w:val="auto"/>
              </w:rPr>
            </w:pPr>
            <w:r>
              <w:rPr>
                <w:rFonts w:ascii="Arial" w:cs="Arial" w:eastAsia="Arial" w:hAnsi="Arial"/>
                <w:sz w:val="13"/>
                <w:szCs w:val="13"/>
                <w:color w:val="auto"/>
                <w:w w:val="93"/>
              </w:rPr>
              <w:t>Accumulated</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Arial" w:cs="Arial" w:eastAsia="Arial" w:hAnsi="Arial"/>
                <w:sz w:val="13"/>
                <w:szCs w:val="13"/>
                <w:color w:val="auto"/>
                <w:w w:val="89"/>
              </w:rPr>
              <w:t>Stockholders’</w:t>
            </w:r>
          </w:p>
        </w:tc>
      </w:tr>
      <w:tr>
        <w:trPr>
          <w:trHeight w:val="149"/>
        </w:trPr>
        <w:tc>
          <w:tcPr>
            <w:tcW w:w="5220" w:type="dxa"/>
            <w:vAlign w:val="bottom"/>
          </w:tcPr>
          <w:p>
            <w:pPr>
              <w:spacing w:after="0"/>
              <w:rPr>
                <w:sz w:val="12"/>
                <w:szCs w:val="12"/>
                <w:color w:val="auto"/>
              </w:rPr>
            </w:pPr>
          </w:p>
        </w:tc>
        <w:tc>
          <w:tcPr>
            <w:tcW w:w="1220" w:type="dxa"/>
            <w:vAlign w:val="bottom"/>
            <w:gridSpan w:val="2"/>
          </w:tcPr>
          <w:p>
            <w:pPr>
              <w:ind w:left="320"/>
              <w:spacing w:after="0"/>
              <w:rPr>
                <w:sz w:val="20"/>
                <w:szCs w:val="20"/>
                <w:color w:val="auto"/>
              </w:rPr>
            </w:pPr>
            <w:r>
              <w:rPr>
                <w:rFonts w:ascii="Arial" w:cs="Arial" w:eastAsia="Arial" w:hAnsi="Arial"/>
                <w:sz w:val="13"/>
                <w:szCs w:val="13"/>
                <w:color w:val="auto"/>
              </w:rPr>
              <w:t>Shares</w:t>
            </w:r>
          </w:p>
        </w:tc>
        <w:tc>
          <w:tcPr>
            <w:tcW w:w="720" w:type="dxa"/>
            <w:vAlign w:val="bottom"/>
          </w:tcPr>
          <w:p>
            <w:pPr>
              <w:jc w:val="right"/>
              <w:spacing w:after="0"/>
              <w:rPr>
                <w:sz w:val="20"/>
                <w:szCs w:val="20"/>
                <w:color w:val="auto"/>
              </w:rPr>
            </w:pPr>
            <w:r>
              <w:rPr>
                <w:rFonts w:ascii="Arial" w:cs="Arial" w:eastAsia="Arial" w:hAnsi="Arial"/>
                <w:sz w:val="13"/>
                <w:szCs w:val="13"/>
                <w:color w:val="auto"/>
              </w:rPr>
              <w:t>Amount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68"/>
              <w:spacing w:after="0"/>
              <w:rPr>
                <w:sz w:val="20"/>
                <w:szCs w:val="20"/>
                <w:color w:val="auto"/>
              </w:rPr>
            </w:pPr>
            <w:r>
              <w:rPr>
                <w:rFonts w:ascii="Arial" w:cs="Arial" w:eastAsia="Arial" w:hAnsi="Arial"/>
                <w:sz w:val="13"/>
                <w:szCs w:val="13"/>
                <w:color w:val="auto"/>
              </w:rPr>
              <w:t>Deficit</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Equity</w:t>
            </w:r>
          </w:p>
        </w:tc>
      </w:tr>
      <w:tr>
        <w:trPr>
          <w:trHeight w:val="155"/>
        </w:trPr>
        <w:tc>
          <w:tcPr>
            <w:tcW w:w="52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33,203,806</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ind w:right="6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333</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282,153,201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(263,140,660)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19,012,874</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 - restricted stock units (“RSUs”)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7,656,857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7,656,857</w:t>
            </w:r>
          </w:p>
        </w:tc>
        <w:tc>
          <w:tcPr>
            <w:tcW w:w="100" w:type="dxa"/>
            <w:vAlign w:val="bottom"/>
          </w:tcPr>
          <w:p>
            <w:pPr>
              <w:spacing w:after="0"/>
              <w:rPr>
                <w:sz w:val="14"/>
                <w:szCs w:val="14"/>
                <w:color w:val="auto"/>
              </w:rPr>
            </w:pPr>
          </w:p>
        </w:tc>
      </w:tr>
      <w:tr>
        <w:trPr>
          <w:trHeight w:val="143"/>
        </w:trPr>
        <w:tc>
          <w:tcPr>
            <w:tcW w:w="5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 compensation - employee stock purchase plan</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(“ESPP”)</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329,461</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329,461</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 - performance share units (“PSUs”)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(88,348)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(88,348)</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for RSUs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1,194,439</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Shares purchased from contributions to the ESPP</w:t>
            </w:r>
          </w:p>
        </w:tc>
        <w:tc>
          <w:tcPr>
            <w:tcW w:w="1000" w:type="dxa"/>
            <w:vAlign w:val="bottom"/>
          </w:tcPr>
          <w:p>
            <w:pPr>
              <w:jc w:val="right"/>
              <w:spacing w:after="0"/>
              <w:rPr>
                <w:sz w:val="20"/>
                <w:szCs w:val="20"/>
                <w:color w:val="auto"/>
              </w:rPr>
            </w:pPr>
            <w:r>
              <w:rPr>
                <w:rFonts w:ascii="Arial" w:cs="Arial" w:eastAsia="Arial" w:hAnsi="Arial"/>
                <w:sz w:val="14"/>
                <w:szCs w:val="14"/>
                <w:color w:val="auto"/>
              </w:rPr>
              <w:t>275,312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417,543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417,546</w:t>
            </w:r>
          </w:p>
        </w:tc>
        <w:tc>
          <w:tcPr>
            <w:tcW w:w="100" w:type="dxa"/>
            <w:vAlign w:val="bottom"/>
          </w:tcPr>
          <w:p>
            <w:pPr>
              <w:spacing w:after="0"/>
              <w:rPr>
                <w:sz w:val="14"/>
                <w:szCs w:val="14"/>
                <w:color w:val="auto"/>
              </w:rPr>
            </w:pPr>
          </w:p>
        </w:tc>
      </w:tr>
      <w:tr>
        <w:trPr>
          <w:trHeight w:val="143"/>
        </w:trPr>
        <w:tc>
          <w:tcPr>
            <w:tcW w:w="5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in an at-the-market ("ATM") placement, net</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$1,545,139 in issuance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26,618,855</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53,555,936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53,556,202</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(31,832,086)</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(31,832,086)</w:t>
            </w:r>
          </w:p>
        </w:tc>
      </w:tr>
      <w:tr>
        <w:trPr>
          <w:trHeight w:val="156"/>
        </w:trPr>
        <w:tc>
          <w:tcPr>
            <w:tcW w:w="52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2020</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61,292,412</w:t>
            </w:r>
          </w:p>
        </w:tc>
        <w:tc>
          <w:tcPr>
            <w:tcW w:w="220" w:type="dxa"/>
            <w:vAlign w:val="bottom"/>
            <w:tcBorders>
              <w:top w:val="single" w:sz="8" w:color="CFF0FC"/>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614</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344,024,638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(294,972,746)</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49,052,506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 - stock options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284,994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284,994</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 restricted stock units (“RSUs”)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5,561,698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5,561,698</w:t>
            </w:r>
          </w:p>
        </w:tc>
        <w:tc>
          <w:tcPr>
            <w:tcW w:w="100" w:type="dxa"/>
            <w:vAlign w:val="bottom"/>
            <w:shd w:val="clear" w:color="auto" w:fill="CFF0FC"/>
          </w:tcPr>
          <w:p>
            <w:pPr>
              <w:spacing w:after="0"/>
              <w:rPr>
                <w:sz w:val="14"/>
                <w:szCs w:val="14"/>
                <w:color w:val="auto"/>
              </w:rPr>
            </w:pPr>
          </w:p>
        </w:tc>
      </w:tr>
      <w:tr>
        <w:trPr>
          <w:trHeight w:val="143"/>
        </w:trPr>
        <w:tc>
          <w:tcPr>
            <w:tcW w:w="5220" w:type="dxa"/>
            <w:vAlign w:val="bottom"/>
          </w:tcPr>
          <w:p>
            <w:pPr>
              <w:spacing w:after="0" w:line="143" w:lineRule="exact"/>
              <w:rPr>
                <w:sz w:val="20"/>
                <w:szCs w:val="20"/>
                <w:color w:val="auto"/>
              </w:rPr>
            </w:pPr>
            <w:r>
              <w:rPr>
                <w:rFonts w:ascii="Arial" w:cs="Arial" w:eastAsia="Arial" w:hAnsi="Arial"/>
                <w:sz w:val="14"/>
                <w:szCs w:val="14"/>
                <w:color w:val="auto"/>
              </w:rPr>
              <w:t>Stock-based compensation - employee stock purchase plan</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220" w:type="dxa"/>
            <w:vAlign w:val="bottom"/>
          </w:tcPr>
          <w:p>
            <w:pPr>
              <w:ind w:left="120"/>
              <w:spacing w:after="0"/>
              <w:rPr>
                <w:sz w:val="20"/>
                <w:szCs w:val="20"/>
                <w:color w:val="auto"/>
              </w:rPr>
            </w:pPr>
            <w:r>
              <w:rPr>
                <w:rFonts w:ascii="Arial" w:cs="Arial" w:eastAsia="Arial" w:hAnsi="Arial"/>
                <w:sz w:val="14"/>
                <w:szCs w:val="14"/>
                <w:color w:val="auto"/>
              </w:rPr>
              <w:t>(“ESPP”)</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252,568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252,568</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 performance share units (“PSUs”)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5,831,928</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5,831,928</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Issuance of shares for RSUs</w:t>
            </w:r>
          </w:p>
        </w:tc>
        <w:tc>
          <w:tcPr>
            <w:tcW w:w="1000" w:type="dxa"/>
            <w:vAlign w:val="bottom"/>
          </w:tcPr>
          <w:p>
            <w:pPr>
              <w:jc w:val="right"/>
              <w:spacing w:after="0"/>
              <w:rPr>
                <w:sz w:val="20"/>
                <w:szCs w:val="20"/>
                <w:color w:val="auto"/>
              </w:rPr>
            </w:pPr>
            <w:r>
              <w:rPr>
                <w:rFonts w:ascii="Arial" w:cs="Arial" w:eastAsia="Arial" w:hAnsi="Arial"/>
                <w:sz w:val="14"/>
                <w:szCs w:val="14"/>
                <w:color w:val="auto"/>
              </w:rPr>
              <w:t>1,431,532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Issuance of shares for PSUs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1,420,938</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Shares purchased from contributions to the ESPP</w:t>
            </w:r>
          </w:p>
        </w:tc>
        <w:tc>
          <w:tcPr>
            <w:tcW w:w="1000" w:type="dxa"/>
            <w:vAlign w:val="bottom"/>
          </w:tcPr>
          <w:p>
            <w:pPr>
              <w:jc w:val="right"/>
              <w:spacing w:after="0"/>
              <w:rPr>
                <w:sz w:val="20"/>
                <w:szCs w:val="20"/>
                <w:color w:val="auto"/>
              </w:rPr>
            </w:pPr>
            <w:r>
              <w:rPr>
                <w:rFonts w:ascii="Arial" w:cs="Arial" w:eastAsia="Arial" w:hAnsi="Arial"/>
                <w:sz w:val="14"/>
                <w:szCs w:val="14"/>
                <w:color w:val="auto"/>
              </w:rPr>
              <w:t>292,890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384,123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384,126</w:t>
            </w:r>
          </w:p>
        </w:tc>
        <w:tc>
          <w:tcPr>
            <w:tcW w:w="100" w:type="dxa"/>
            <w:vAlign w:val="bottom"/>
          </w:tcPr>
          <w:p>
            <w:pPr>
              <w:spacing w:after="0"/>
              <w:rPr>
                <w:sz w:val="14"/>
                <w:szCs w:val="14"/>
                <w:color w:val="auto"/>
              </w:rPr>
            </w:pPr>
          </w:p>
        </w:tc>
      </w:tr>
      <w:tr>
        <w:trPr>
          <w:trHeight w:val="143"/>
        </w:trPr>
        <w:tc>
          <w:tcPr>
            <w:tcW w:w="52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in an at-the-market ("ATM") placement, net</w:t>
            </w: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52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of $868,122 in issuance costs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12,229,433</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27,043,629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27,043,751</w:t>
            </w:r>
          </w:p>
        </w:tc>
        <w:tc>
          <w:tcPr>
            <w:tcW w:w="100" w:type="dxa"/>
            <w:vAlign w:val="bottom"/>
            <w:shd w:val="clear" w:color="auto" w:fill="CFF0FC"/>
          </w:tcPr>
          <w:p>
            <w:pPr>
              <w:spacing w:after="0"/>
              <w:rPr>
                <w:sz w:val="14"/>
                <w:szCs w:val="14"/>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(41,427,293)</w:t>
            </w: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(41,427,293)</w:t>
            </w:r>
          </w:p>
        </w:tc>
      </w:tr>
      <w:tr>
        <w:trPr>
          <w:trHeight w:val="155"/>
        </w:trPr>
        <w:tc>
          <w:tcPr>
            <w:tcW w:w="52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2021</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76,667,205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ind w:right="60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383,383,550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(336,400,039</w:t>
            </w:r>
          </w:p>
        </w:tc>
        <w:tc>
          <w:tcPr>
            <w:tcW w:w="220" w:type="dxa"/>
            <w:vAlign w:val="bottom"/>
            <w:tcBorders>
              <w:top w:val="single" w:sz="8" w:color="CFF0FC"/>
              <w:bottom w:val="single" w:sz="8" w:color="CFF0FC"/>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46,984,278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20" w:type="dxa"/>
            <w:vAlign w:val="bottom"/>
            <w:gridSpan w:val="5"/>
          </w:tcPr>
          <w:p>
            <w:pPr>
              <w:jc w:val="right"/>
              <w:ind w:right="940"/>
              <w:spacing w:after="0"/>
              <w:rPr>
                <w:sz w:val="20"/>
                <w:szCs w:val="20"/>
                <w:color w:val="auto"/>
              </w:rPr>
            </w:pPr>
            <w:r>
              <w:rPr>
                <w:rFonts w:ascii="Arial" w:cs="Arial" w:eastAsia="Arial" w:hAnsi="Arial"/>
                <w:sz w:val="13"/>
                <w:szCs w:val="13"/>
                <w:color w:val="auto"/>
              </w:rPr>
              <w:t>For the Year Ended December 31,</w:t>
            </w:r>
          </w:p>
        </w:tc>
        <w:tc>
          <w:tcPr>
            <w:tcW w:w="0" w:type="dxa"/>
            <w:vAlign w:val="bottom"/>
          </w:tcPr>
          <w:p>
            <w:pPr>
              <w:spacing w:after="0"/>
              <w:rPr>
                <w:sz w:val="1"/>
                <w:szCs w:val="1"/>
                <w:color w:val="auto"/>
              </w:rPr>
            </w:pPr>
          </w:p>
        </w:tc>
      </w:tr>
      <w:tr>
        <w:trPr>
          <w:trHeight w:val="142"/>
        </w:trPr>
        <w:tc>
          <w:tcPr>
            <w:tcW w:w="776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85"/>
              <w:spacing w:after="0" w:line="142" w:lineRule="exact"/>
              <w:rPr>
                <w:sz w:val="20"/>
                <w:szCs w:val="20"/>
                <w:color w:val="auto"/>
              </w:rPr>
            </w:pPr>
            <w:r>
              <w:rPr>
                <w:rFonts w:ascii="Arial" w:cs="Arial" w:eastAsia="Arial" w:hAnsi="Arial"/>
                <w:sz w:val="13"/>
                <w:szCs w:val="13"/>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84"/>
              <w:spacing w:after="0" w:line="142" w:lineRule="exact"/>
              <w:rPr>
                <w:sz w:val="20"/>
                <w:szCs w:val="20"/>
                <w:color w:val="auto"/>
              </w:rPr>
            </w:pPr>
            <w:r>
              <w:rPr>
                <w:rFonts w:ascii="Arial" w:cs="Arial" w:eastAsia="Arial" w:hAnsi="Arial"/>
                <w:sz w:val="13"/>
                <w:szCs w:val="13"/>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flows from operating activities:</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Net loss</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(41,427,293)</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(31,832,086)</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500"/>
              <w:spacing w:after="0"/>
              <w:rPr>
                <w:sz w:val="20"/>
                <w:szCs w:val="20"/>
                <w:color w:val="auto"/>
              </w:rPr>
            </w:pPr>
            <w:r>
              <w:rPr>
                <w:rFonts w:ascii="Arial" w:cs="Arial" w:eastAsia="Arial" w:hAnsi="Arial"/>
                <w:sz w:val="15"/>
                <w:szCs w:val="15"/>
                <w:color w:val="auto"/>
              </w:rPr>
              <w:t>Net cash used in operating activities: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258,249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356,310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740"/>
              <w:spacing w:after="0"/>
              <w:rPr>
                <w:sz w:val="20"/>
                <w:szCs w:val="20"/>
                <w:color w:val="auto"/>
              </w:rPr>
            </w:pPr>
            <w:r>
              <w:rPr>
                <w:rFonts w:ascii="Arial" w:cs="Arial" w:eastAsia="Arial" w:hAnsi="Arial"/>
                <w:sz w:val="15"/>
                <w:szCs w:val="15"/>
                <w:color w:val="auto"/>
              </w:rPr>
              <w:t>Stock based compensation</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11,931,188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7,897,970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Change in operating lease right-of-use assets</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674,306</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764,285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tcPr>
          <w:p>
            <w:pPr>
              <w:ind w:left="740"/>
              <w:spacing w:after="0"/>
              <w:rPr>
                <w:sz w:val="20"/>
                <w:szCs w:val="20"/>
                <w:color w:val="auto"/>
              </w:rPr>
            </w:pPr>
            <w:r>
              <w:rPr>
                <w:rFonts w:ascii="Arial" w:cs="Arial" w:eastAsia="Arial" w:hAnsi="Arial"/>
                <w:sz w:val="15"/>
                <w:szCs w:val="15"/>
                <w:color w:val="auto"/>
              </w:rPr>
              <w:t>Bad debt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10,850</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21,377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Loss on disposal of property and equipment</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Changes in operating assets and liabilities: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Accounts receivable</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(218,602)</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(34,083)</w:t>
            </w: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Prepaid expenses and other current assets</w:t>
            </w:r>
          </w:p>
        </w:tc>
        <w:tc>
          <w:tcPr>
            <w:tcW w:w="360" w:type="dxa"/>
            <w:vAlign w:val="bottom"/>
          </w:tcPr>
          <w:p>
            <w:pPr>
              <w:spacing w:after="0"/>
              <w:rPr>
                <w:sz w:val="15"/>
                <w:szCs w:val="15"/>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5"/>
                <w:szCs w:val="15"/>
                <w:color w:val="auto"/>
              </w:rPr>
              <w:t>(238,184)</w:t>
            </w: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(186,471)</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Other assets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(10,381)</w:t>
            </w: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109,118</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(574,680)</w:t>
            </w: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Accrued expenses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(52,970)</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(486,810)</w:t>
            </w:r>
          </w:p>
        </w:tc>
        <w:tc>
          <w:tcPr>
            <w:tcW w:w="0" w:type="dxa"/>
            <w:vAlign w:val="bottom"/>
          </w:tcPr>
          <w:p>
            <w:pPr>
              <w:spacing w:after="0"/>
              <w:rPr>
                <w:sz w:val="1"/>
                <w:szCs w:val="1"/>
                <w:color w:val="auto"/>
              </w:rPr>
            </w:pPr>
          </w:p>
        </w:tc>
      </w:tr>
      <w:tr>
        <w:trPr>
          <w:trHeight w:val="176"/>
        </w:trPr>
        <w:tc>
          <w:tcPr>
            <w:tcW w:w="7760" w:type="dxa"/>
            <w:vAlign w:val="bottom"/>
          </w:tcPr>
          <w:p>
            <w:pPr>
              <w:ind w:left="740"/>
              <w:spacing w:after="0"/>
              <w:rPr>
                <w:sz w:val="20"/>
                <w:szCs w:val="20"/>
                <w:color w:val="auto"/>
              </w:rPr>
            </w:pPr>
            <w:r>
              <w:rPr>
                <w:rFonts w:ascii="Arial" w:cs="Arial" w:eastAsia="Arial" w:hAnsi="Arial"/>
                <w:sz w:val="15"/>
                <w:szCs w:val="15"/>
                <w:color w:val="auto"/>
              </w:rPr>
              <w:t>Accrued severance expense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975,439</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Operating lease liabilities</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(733,473)</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(722,291)</w:t>
            </w:r>
          </w:p>
        </w:tc>
        <w:tc>
          <w:tcPr>
            <w:tcW w:w="0" w:type="dxa"/>
            <w:vAlign w:val="bottom"/>
          </w:tcPr>
          <w:p>
            <w:pPr>
              <w:spacing w:after="0"/>
              <w:rPr>
                <w:sz w:val="1"/>
                <w:szCs w:val="1"/>
                <w:color w:val="auto"/>
              </w:rPr>
            </w:pPr>
          </w:p>
        </w:tc>
      </w:tr>
      <w:tr>
        <w:trPr>
          <w:trHeight w:val="175"/>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5"/>
                <w:szCs w:val="15"/>
                <w:color w:val="auto"/>
              </w:rPr>
              <w:t>Deferred revenue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1,364</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used in operating activities</w:t>
            </w:r>
          </w:p>
        </w:tc>
        <w:tc>
          <w:tcPr>
            <w:tcW w:w="3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(28,720,389)</w:t>
            </w:r>
          </w:p>
        </w:tc>
        <w:tc>
          <w:tcPr>
            <w:tcW w:w="3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(24,791,545)</w:t>
            </w:r>
          </w:p>
        </w:tc>
        <w:tc>
          <w:tcPr>
            <w:tcW w:w="0" w:type="dxa"/>
            <w:vAlign w:val="bottom"/>
          </w:tcPr>
          <w:p>
            <w:pPr>
              <w:spacing w:after="0"/>
              <w:rPr>
                <w:sz w:val="1"/>
                <w:szCs w:val="1"/>
                <w:color w:val="auto"/>
              </w:rPr>
            </w:pPr>
          </w:p>
        </w:tc>
      </w:tr>
      <w:tr>
        <w:trPr>
          <w:trHeight w:val="169"/>
        </w:trPr>
        <w:tc>
          <w:tcPr>
            <w:tcW w:w="7760" w:type="dxa"/>
            <w:vAlign w:val="bottom"/>
          </w:tcPr>
          <w:p>
            <w:pPr>
              <w:spacing w:after="0" w:line="169" w:lineRule="exact"/>
              <w:rPr>
                <w:sz w:val="20"/>
                <w:szCs w:val="20"/>
                <w:color w:val="auto"/>
              </w:rPr>
            </w:pPr>
            <w:r>
              <w:rPr>
                <w:rFonts w:ascii="Arial" w:cs="Arial" w:eastAsia="Arial" w:hAnsi="Arial"/>
                <w:sz w:val="15"/>
                <w:szCs w:val="15"/>
                <w:color w:val="auto"/>
              </w:rPr>
              <w:t>Cash flows used in investing activities:</w:t>
            </w: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(365,735)</w:t>
            </w:r>
          </w:p>
        </w:tc>
        <w:tc>
          <w:tcPr>
            <w:tcW w:w="3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(136,631)</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500"/>
              <w:spacing w:after="0"/>
              <w:rPr>
                <w:sz w:val="20"/>
                <w:szCs w:val="20"/>
                <w:color w:val="auto"/>
              </w:rPr>
            </w:pPr>
            <w:r>
              <w:rPr>
                <w:rFonts w:ascii="Arial" w:cs="Arial" w:eastAsia="Arial" w:hAnsi="Arial"/>
                <w:sz w:val="15"/>
                <w:szCs w:val="15"/>
                <w:color w:val="auto"/>
              </w:rPr>
              <w:t>Net cash used in investing activities</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(365,735)</w:t>
            </w:r>
          </w:p>
        </w:tc>
        <w:tc>
          <w:tcPr>
            <w:tcW w:w="360" w:type="dxa"/>
            <w:vAlign w:val="bottom"/>
          </w:tcPr>
          <w:p>
            <w:pPr>
              <w:spacing w:after="0"/>
              <w:rPr>
                <w:sz w:val="14"/>
                <w:szCs w:val="14"/>
                <w:color w:val="auto"/>
              </w:rPr>
            </w:pPr>
          </w:p>
        </w:tc>
        <w:tc>
          <w:tcPr>
            <w:tcW w:w="13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(136,631)</w:t>
            </w:r>
          </w:p>
        </w:tc>
        <w:tc>
          <w:tcPr>
            <w:tcW w:w="0" w:type="dxa"/>
            <w:vAlign w:val="bottom"/>
          </w:tcPr>
          <w:p>
            <w:pPr>
              <w:spacing w:after="0"/>
              <w:rPr>
                <w:sz w:val="1"/>
                <w:szCs w:val="1"/>
                <w:color w:val="auto"/>
              </w:rPr>
            </w:pPr>
          </w:p>
        </w:tc>
      </w:tr>
      <w:tr>
        <w:trPr>
          <w:trHeight w:val="169"/>
        </w:trPr>
        <w:tc>
          <w:tcPr>
            <w:tcW w:w="77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Cash flows from financing activities:</w:t>
            </w:r>
          </w:p>
        </w:tc>
        <w:tc>
          <w:tcPr>
            <w:tcW w:w="36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60" w:type="dxa"/>
            <w:vAlign w:val="bottom"/>
          </w:tcPr>
          <w:p>
            <w:pPr>
              <w:ind w:left="260"/>
              <w:spacing w:after="0"/>
              <w:rPr>
                <w:sz w:val="20"/>
                <w:szCs w:val="20"/>
                <w:color w:val="auto"/>
              </w:rPr>
            </w:pPr>
            <w:r>
              <w:rPr>
                <w:rFonts w:ascii="Arial" w:cs="Arial" w:eastAsia="Arial" w:hAnsi="Arial"/>
                <w:sz w:val="15"/>
                <w:szCs w:val="15"/>
                <w:color w:val="auto"/>
              </w:rPr>
              <w:t>Net proceeds from an at-the-market ("ATM") offerings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27,043,751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53,556,202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Proceeds from contributions to employee stock purchase</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plan</w:t>
            </w:r>
          </w:p>
        </w:tc>
        <w:tc>
          <w:tcPr>
            <w:tcW w:w="36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384,126</w:t>
            </w:r>
          </w:p>
        </w:tc>
        <w:tc>
          <w:tcPr>
            <w:tcW w:w="2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417,546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27,427,877</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53,973,748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(decrease) increase in cash and cash equivalents</w:t>
            </w:r>
          </w:p>
        </w:tc>
        <w:tc>
          <w:tcPr>
            <w:tcW w:w="3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(1,658,247)</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29,045,572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Cash and cash equivalents - beginning</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50,729,661</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21,684,089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60" w:type="dxa"/>
            <w:vAlign w:val="bottom"/>
            <w:tcBorders>
              <w:bottom w:val="single" w:sz="8" w:color="CFF0FC"/>
            </w:tcBorders>
            <w:shd w:val="clear" w:color="auto" w:fill="CFF0FC"/>
          </w:tcPr>
          <w:p>
            <w:pPr>
              <w:ind w:left="260"/>
              <w:spacing w:after="0" w:line="169" w:lineRule="exact"/>
              <w:rPr>
                <w:sz w:val="20"/>
                <w:szCs w:val="20"/>
                <w:color w:val="auto"/>
              </w:rPr>
            </w:pPr>
            <w:r>
              <w:rPr>
                <w:rFonts w:ascii="Arial" w:cs="Arial" w:eastAsia="Arial" w:hAnsi="Arial"/>
                <w:sz w:val="15"/>
                <w:szCs w:val="15"/>
                <w:color w:val="auto"/>
              </w:rPr>
              <w:t>Cash and cash equivalents - ending</w:t>
            </w: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49,071,414</w:t>
            </w:r>
          </w:p>
        </w:tc>
        <w:tc>
          <w:tcPr>
            <w:tcW w:w="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204"/>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50,729,661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5"/>
                <w:szCs w:val="15"/>
                <w:color w:val="auto"/>
              </w:rPr>
              <w:t>Supplemental disclosure of non-cash financing activities: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5"/>
                <w:szCs w:val="15"/>
                <w:color w:val="auto"/>
              </w:rPr>
              <w:t>Common stock issued for RSUs</w:t>
            </w: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ind w:left="260"/>
              <w:spacing w:after="0"/>
              <w:rPr>
                <w:sz w:val="20"/>
                <w:szCs w:val="20"/>
                <w:color w:val="auto"/>
              </w:rPr>
            </w:pPr>
            <w:r>
              <w:rPr>
                <w:rFonts w:ascii="Arial" w:cs="Arial" w:eastAsia="Arial" w:hAnsi="Arial"/>
                <w:sz w:val="15"/>
                <w:szCs w:val="15"/>
                <w:color w:val="auto"/>
              </w:rPr>
              <w:t>Common stock issued for PSUs</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60" w:type="dxa"/>
            <w:vAlign w:val="bottom"/>
            <w:vMerge w:val="continue"/>
          </w:tcPr>
          <w:p>
            <w:pPr>
              <w:spacing w:after="0"/>
              <w:rPr>
                <w:sz w:val="13"/>
                <w:szCs w:val="13"/>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14</w:t>
            </w:r>
          </w:p>
        </w:tc>
        <w:tc>
          <w:tcPr>
            <w:tcW w:w="280" w:type="dxa"/>
            <w:vAlign w:val="bottom"/>
          </w:tcPr>
          <w:p>
            <w:pPr>
              <w:spacing w:after="0"/>
              <w:rPr>
                <w:sz w:val="13"/>
                <w:szCs w:val="13"/>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left="4420"/>
        <w:spacing w:after="0"/>
        <w:rPr>
          <w:sz w:val="20"/>
          <w:szCs w:val="20"/>
          <w:color w:val="auto"/>
        </w:rPr>
      </w:pPr>
      <w:r>
        <w:rPr>
          <w:rFonts w:ascii="Arial" w:cs="Arial" w:eastAsia="Arial" w:hAnsi="Arial"/>
          <w:sz w:val="18"/>
          <w:szCs w:val="18"/>
          <w:b w:val="1"/>
          <w:bCs w:val="1"/>
          <w:color w:val="auto"/>
        </w:rPr>
        <w:t>ENERGOUS CORPORATION</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Notes to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Business Organization, Nature of Operations</w:t>
      </w:r>
    </w:p>
    <w:p>
      <w:pPr>
        <w:spacing w:after="0" w:line="121"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Energous Corporation (the “Company”) was incorporated in Delaware on October 30, 2012. The Company has developed its WattUp® wireless power technology, consisting of proprietary semiconductor chipsets, software controls, hardware designs and antennas, that enables radio frequency (“RF”) based charging for electronic devices. The WattUp technology has a broad spectrum of capabilities, including near field wireless charging and at-a-distance wireless charging at various distances. The Company believes its proprietary WattUp technologies are well suited for many applications, including building and home automation, electronic shelf labels, industrial IoT sensors, surface and implanted medial devices, tracking devices, hearables, wearables, consumer electronics and public safety applications. Potential future applications include smartphones, commercial and industrial robotics, as well as automotive solutions and other devices with charging requirements that would otherwise require battery replacement or a wired power connection.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Liquidity and Management Plans</w:t>
      </w:r>
    </w:p>
    <w:p>
      <w:pPr>
        <w:spacing w:after="0" w:line="121"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During the years ended December 31, 2021 and 2020, the Company has recorded revenue of $756,793 and $327,350, respectively. The Company incurred a net loss of $41,427,293 and $31,832,086 for the years ended December 31, 2021 and 2020, respectively. Net cash used in operating activities was $28,720,389 and $24,791,545 for the years ended December 31, 2021 and 2020, respectively. The Company is currently meeting its liquidity requirements through the proceeds of securities offerings that raised net proceeds of $53,556,202 during 2020 and $27,043,751 during the fourth quarter of 2021, proceeds from contributions to the employee stock purchase plan (“ESPP”), along with payments received from customers.</w:t>
      </w:r>
    </w:p>
    <w:p>
      <w:pPr>
        <w:spacing w:after="0" w:line="161"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As of December 31, 2021, the Company had cash on hand of $49,071,414. The Company expects that cash on hand as of December 31, 2021, together with anticipated revenues, will be sufficient to fund the Company’s operations into March 2023.</w:t>
      </w:r>
    </w:p>
    <w:p>
      <w:pPr>
        <w:spacing w:after="0" w:line="1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the Company would find acceptable, or at all.</w:t>
      </w:r>
    </w:p>
    <w:p>
      <w:pPr>
        <w:spacing w:after="0" w:line="176"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continued</w:t>
      </w:r>
    </w:p>
    <w:p>
      <w:pPr>
        <w:spacing w:after="0" w:line="225"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The Company’s significant estimates and assumptions include the valuation of stock-based compensation instruments, recognition of revenue, the useful lives of long-lived assets and valuation of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follows Accounting Standards Update No. 2014-09, "Revenue from Contracts with Customers" (Topic 606).</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accordance with Topic 606, the Company recognizes revenue using the following five-step approach:</w:t>
      </w:r>
    </w:p>
    <w:p>
      <w:pPr>
        <w:spacing w:after="0" w:line="131"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Determine the transaction price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of the contract.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 revenue when the performance obligations are met or delivered.</w:t>
      </w:r>
    </w:p>
    <w:p>
      <w:pPr>
        <w:spacing w:after="0" w:line="225" w:lineRule="exact"/>
        <w:rPr>
          <w:sz w:val="20"/>
          <w:szCs w:val="20"/>
          <w:color w:val="auto"/>
        </w:rPr>
      </w:pPr>
    </w:p>
    <w:p>
      <w:pPr>
        <w:jc w:val="both"/>
        <w:ind w:right="220" w:firstLine="589"/>
        <w:spacing w:after="0" w:line="311" w:lineRule="auto"/>
        <w:rPr>
          <w:sz w:val="20"/>
          <w:szCs w:val="20"/>
          <w:color w:val="auto"/>
        </w:rPr>
      </w:pPr>
      <w:r>
        <w:rPr>
          <w:rFonts w:ascii="Arial" w:cs="Arial" w:eastAsia="Arial" w:hAnsi="Arial"/>
          <w:sz w:val="16"/>
          <w:szCs w:val="16"/>
          <w:color w:val="auto"/>
        </w:rPr>
        <w:t>The Company’s revenue primarily consists of product development projects revenue. The Company also provided contract services revenue for Dialog in 2020. During the years ended December 31, 2021 and 2020, the Company recognized $756,793 and $197,350 in product development projects revenue, respectively. During the years ended December 31, 2021 and 2020, the Company recognized $0 and $130,000 in contract services revenue.</w:t>
      </w:r>
    </w:p>
    <w:p>
      <w:pPr>
        <w:spacing w:after="0" w:line="108" w:lineRule="exact"/>
        <w:rPr>
          <w:sz w:val="20"/>
          <w:szCs w:val="20"/>
          <w:color w:val="auto"/>
        </w:rPr>
      </w:pPr>
    </w:p>
    <w:p>
      <w:pPr>
        <w:ind w:right="120" w:firstLine="589"/>
        <w:spacing w:after="0" w:line="293" w:lineRule="auto"/>
        <w:rPr>
          <w:sz w:val="20"/>
          <w:szCs w:val="20"/>
          <w:color w:val="auto"/>
        </w:rPr>
      </w:pPr>
      <w:r>
        <w:rPr>
          <w:rFonts w:ascii="Arial" w:cs="Arial" w:eastAsia="Arial" w:hAnsi="Arial"/>
          <w:sz w:val="16"/>
          <w:szCs w:val="16"/>
          <w:color w:val="auto"/>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a point in time based on when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spacing w:after="0" w:line="137"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The Company recognized contract services revenue from Dialog over the period of time that the services are performed. The costs associated with this revenue were recognized as the services are performed and were included in cost of services revenue.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$20,572,580 and $17,066,122 for the years ended December 31, 2021 and 2020,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20" w:firstLine="589"/>
        <w:spacing w:after="0" w:line="286" w:lineRule="auto"/>
        <w:rPr>
          <w:sz w:val="20"/>
          <w:szCs w:val="20"/>
          <w:color w:val="auto"/>
        </w:rPr>
      </w:pPr>
      <w:r>
        <w:rPr>
          <w:rFonts w:ascii="Arial" w:cs="Arial" w:eastAsia="Arial" w:hAnsi="Arial"/>
          <w:sz w:val="17"/>
          <w:szCs w:val="17"/>
          <w:color w:val="auto"/>
        </w:rPr>
        <w:t>The Company accounts for equity instruments issued to employees in accordance with accounting guidance that requires awards to be recorded at their fair value on the date of grant and are amortized over the vesting period of the award. The Company recognizes compensation costs on a straight line basis over the requisite service period of the award, which is typically the vesting term of the equity instrument issued.</w:t>
      </w:r>
    </w:p>
    <w:p>
      <w:pPr>
        <w:spacing w:after="0" w:line="165" w:lineRule="exact"/>
        <w:rPr>
          <w:sz w:val="20"/>
          <w:szCs w:val="20"/>
          <w:color w:val="auto"/>
        </w:rPr>
      </w:pPr>
    </w:p>
    <w:p>
      <w:pPr>
        <w:ind w:right="20" w:firstLine="589"/>
        <w:spacing w:after="0" w:line="286" w:lineRule="auto"/>
        <w:rPr>
          <w:sz w:val="20"/>
          <w:szCs w:val="20"/>
          <w:color w:val="auto"/>
        </w:rPr>
      </w:pPr>
      <w:r>
        <w:rPr>
          <w:rFonts w:ascii="Arial" w:cs="Arial" w:eastAsia="Arial" w:hAnsi="Arial"/>
          <w:sz w:val="17"/>
          <w:szCs w:val="17"/>
          <w:color w:val="auto"/>
        </w:rPr>
        <w:t>Under the Company’s Employee Stock Purchase Plan (“ESPP”), employees may purchase a limited number of shares of the Company’s stock at a 15% discount from the lower of the closing market prices measured on the first and last days of each half-year period. The Company recognizes stock-based compensation expense for the fair value of the purchase options, as measured on the grant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2021,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2021 and 2020. The Company files income tax returns with the United States and California governments.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5,519,068 and 5,256,942 for the years ended December 31, 2021 and 2020, respectively, because their inclusion would be antidilutive.</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3 – Summary of Significant Accounting Policies,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 continued</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Potentially dilutive securities outlined in the table below have been excluded from the computation of diluted net loss per share because the effect of their inclusion would have been anti-dilutive.</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2760" w:type="dxa"/>
            <w:vAlign w:val="bottom"/>
            <w:gridSpan w:val="4"/>
          </w:tcPr>
          <w:p>
            <w:pPr>
              <w:ind w:left="320"/>
              <w:spacing w:after="0"/>
              <w:rPr>
                <w:sz w:val="20"/>
                <w:szCs w:val="20"/>
                <w:color w:val="auto"/>
              </w:rPr>
            </w:pPr>
            <w:r>
              <w:rPr>
                <w:rFonts w:ascii="Arial" w:cs="Arial" w:eastAsia="Arial" w:hAnsi="Arial"/>
                <w:sz w:val="14"/>
                <w:szCs w:val="14"/>
                <w:color w:val="auto"/>
              </w:rPr>
              <w:t>For the Years Ended December 31,</w:t>
            </w:r>
          </w:p>
        </w:tc>
      </w:tr>
      <w:tr>
        <w:trPr>
          <w:trHeight w:val="156"/>
        </w:trPr>
        <w:tc>
          <w:tcPr>
            <w:tcW w:w="622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Warrants issued to private investors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3,284,789</w:t>
            </w:r>
          </w:p>
        </w:tc>
        <w:tc>
          <w:tcPr>
            <w:tcW w:w="80" w:type="dxa"/>
            <w:vAlign w:val="bottom"/>
            <w:shd w:val="clear" w:color="auto" w:fill="CFF0FC"/>
          </w:tcPr>
          <w:p>
            <w:pPr>
              <w:spacing w:after="0"/>
              <w:rPr>
                <w:sz w:val="19"/>
                <w:szCs w:val="19"/>
                <w:color w:val="auto"/>
              </w:rPr>
            </w:pPr>
          </w:p>
        </w:tc>
      </w:tr>
      <w:tr>
        <w:trPr>
          <w:trHeight w:val="229"/>
        </w:trPr>
        <w:tc>
          <w:tcPr>
            <w:tcW w:w="62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20" w:type="dxa"/>
            <w:vAlign w:val="bottom"/>
          </w:tcPr>
          <w:p>
            <w:pPr>
              <w:jc w:val="right"/>
              <w:spacing w:after="0"/>
              <w:rPr>
                <w:sz w:val="20"/>
                <w:szCs w:val="20"/>
                <w:color w:val="auto"/>
              </w:rPr>
            </w:pPr>
            <w:r>
              <w:rPr>
                <w:rFonts w:ascii="Arial" w:cs="Arial" w:eastAsia="Arial" w:hAnsi="Arial"/>
                <w:sz w:val="18"/>
                <w:szCs w:val="18"/>
                <w:color w:val="auto"/>
              </w:rPr>
              <w:t>525,006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550,985</w:t>
            </w:r>
          </w:p>
        </w:tc>
        <w:tc>
          <w:tcPr>
            <w:tcW w:w="80" w:type="dxa"/>
            <w:vAlign w:val="bottom"/>
          </w:tcPr>
          <w:p>
            <w:pPr>
              <w:spacing w:after="0"/>
              <w:rPr>
                <w:sz w:val="19"/>
                <w:szCs w:val="19"/>
                <w:color w:val="auto"/>
              </w:rPr>
            </w:pPr>
          </w:p>
        </w:tc>
      </w:tr>
      <w:tr>
        <w:trPr>
          <w:trHeight w:val="22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1,709,273</w:t>
            </w:r>
          </w:p>
        </w:tc>
        <w:tc>
          <w:tcPr>
            <w:tcW w:w="2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80" w:type="dxa"/>
            <w:vAlign w:val="bottom"/>
            <w:shd w:val="clear" w:color="auto" w:fill="CFF0FC"/>
          </w:tcPr>
          <w:p>
            <w:pPr>
              <w:spacing w:after="0"/>
              <w:rPr>
                <w:sz w:val="19"/>
                <w:szCs w:val="19"/>
                <w:color w:val="auto"/>
              </w:rPr>
            </w:pPr>
          </w:p>
        </w:tc>
      </w:tr>
      <w:tr>
        <w:trPr>
          <w:trHeight w:val="223"/>
        </w:trPr>
        <w:tc>
          <w:tcPr>
            <w:tcW w:w="6220" w:type="dxa"/>
            <w:vAlign w:val="bottom"/>
          </w:tcPr>
          <w:p>
            <w:pPr>
              <w:ind w:left="240"/>
              <w:spacing w:after="0"/>
              <w:rPr>
                <w:sz w:val="20"/>
                <w:szCs w:val="20"/>
                <w:color w:val="auto"/>
              </w:rPr>
            </w:pPr>
            <w:r>
              <w:rPr>
                <w:rFonts w:ascii="Arial" w:cs="Arial" w:eastAsia="Arial" w:hAnsi="Arial"/>
                <w:sz w:val="18"/>
                <w:szCs w:val="18"/>
                <w:color w:val="auto"/>
              </w:rPr>
              <w:t>Total potentially dilutive securities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5,519,068</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5,256,942</w:t>
            </w: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table above includes 1,618,123 warrants expiring October 6, 2022, with an exercise price of $23.00 and 1,666,666 warrants expiring March 1, 2024, with an exercise price of $10.00.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jc w:val="both"/>
        <w:ind w:right="180" w:firstLine="589"/>
        <w:spacing w:after="0" w:line="259" w:lineRule="auto"/>
        <w:rPr>
          <w:sz w:val="20"/>
          <w:szCs w:val="20"/>
          <w:color w:val="auto"/>
        </w:rPr>
      </w:pPr>
      <w:r>
        <w:rPr>
          <w:rFonts w:ascii="Arial" w:cs="Arial" w:eastAsia="Arial" w:hAnsi="Arial"/>
          <w:sz w:val="18"/>
          <w:szCs w:val="18"/>
          <w:color w:val="auto"/>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spacing w:after="0" w:line="22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Arial" w:cs="Arial" w:eastAsia="Arial" w:hAnsi="Arial"/>
          <w:sz w:val="16"/>
          <w:szCs w:val="16"/>
          <w:i w:val="1"/>
          <w:iCs w:val="1"/>
          <w:color w:val="auto"/>
        </w:rPr>
        <w:t>Operating Leases</w:t>
      </w:r>
      <w:r>
        <w:rPr>
          <w:rFonts w:ascii="Arial" w:cs="Arial" w:eastAsia="Arial" w:hAnsi="Arial"/>
          <w:sz w:val="16"/>
          <w:szCs w:val="16"/>
          <w:color w:val="auto"/>
        </w:rPr>
        <w:t xml:space="preserve"> for further discussion of the Company’s operating leases.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In May 2021, the FASB issued ASU No.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(a consensus of the FASB Emerging Issues Task Force).” ASU 2021-04 clarifies accounting for modifications or exchanges of equity-classified warrants. This standard is effective for annual reporting periods beginning after December 15, 2021. The Company is currently evaluating the impact the planned adoption of this standard will have on its financial statements.</w:t>
      </w:r>
    </w:p>
    <w:p>
      <w:pPr>
        <w:spacing w:after="0" w:line="19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requires business entities to disclose certain types of government assistance they receive in the notes to the financial statements. This standard is effective for annual reporting periods beginning after December 15, 2021. The Company does not believe the adoption of this standard will have a material impact on its financial statements.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Subsequent Events</w:t>
      </w:r>
    </w:p>
    <w:p>
      <w:pPr>
        <w:spacing w:after="0" w:line="117"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The Company evaluates events that have occurred after the balance sheet date of December 31, 2021, through the date which the financial statements are issued.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4 – Property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are as follows:</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4"/>
                <w:szCs w:val="14"/>
                <w:color w:val="auto"/>
              </w:rPr>
              <w:t>As of December 31,</w:t>
            </w:r>
          </w:p>
        </w:tc>
      </w:tr>
      <w:tr>
        <w:trPr>
          <w:trHeight w:val="155"/>
        </w:trPr>
        <w:tc>
          <w:tcPr>
            <w:tcW w:w="52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916,498</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862,343</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Computer hardware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2,211,490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2,012,041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484,186</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508,371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782,538</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776,563</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4,394,712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4,159,318</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Less –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(3,884,515)</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(3,756,607)</w:t>
            </w: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402,711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Company currently uses the following expected life terms for depreciating property and equipment: computer software – 1-2 years, computer hardware – 3 years, furniture and fixtures – 7 years, leasehold improvements – remaining life of the lease.</w:t>
      </w:r>
    </w:p>
    <w:p>
      <w:pPr>
        <w:spacing w:after="0" w:line="170"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 disposed of $130,341 and $631,608 in property and equipment during the years ended December 31, 2021 and 2020, respectively. Total depreciation and amortization expense of the Company’s property and equipment was $258,249 and $356,310 for the years ended December 31, 2021 and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consist of the following:</w:t>
      </w:r>
    </w:p>
    <w:p>
      <w:pPr>
        <w:spacing w:after="0" w:line="329"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380"/>
              <w:spacing w:after="0"/>
              <w:rPr>
                <w:sz w:val="20"/>
                <w:szCs w:val="20"/>
                <w:color w:val="auto"/>
              </w:rPr>
            </w:pPr>
            <w:r>
              <w:rPr>
                <w:rFonts w:ascii="Arial" w:cs="Arial" w:eastAsia="Arial" w:hAnsi="Arial"/>
                <w:sz w:val="14"/>
                <w:szCs w:val="14"/>
                <w:color w:val="auto"/>
              </w:rPr>
              <w:t>As of December 31,</w:t>
            </w:r>
          </w:p>
        </w:tc>
      </w:tr>
      <w:tr>
        <w:trPr>
          <w:trHeight w:val="156"/>
        </w:trPr>
        <w:tc>
          <w:tcPr>
            <w:tcW w:w="53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1,217,176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1,246,151</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Accrued legal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178,236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205,579</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127,905</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124,557</w:t>
            </w:r>
          </w:p>
        </w:tc>
        <w:tc>
          <w:tcPr>
            <w:tcW w:w="8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1,523,317</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1,576,287</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San Jose Lease</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On July 1, 2019, the Company signed a new lease agreement for the lease of its office space at its corporate headquarters in San Jose, California for an additional three years. Upon expiration of the original lease on September 30, 2019, the new monthly lease payment starting October 1, 2019 was $52,970 and is subject to annual escalations up to a maximum monthly lease payment of $64,941.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Costa Mesa Lease</w:t>
      </w:r>
    </w:p>
    <w:p>
      <w:pPr>
        <w:spacing w:after="0" w:line="117"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On July 15, 2019, the Company signed a new lease agreement for the lease of office space in Costa Mesa, California for an additional two years. Upon expiration of the original lease on September 30, 2019, the new monthly lease payment starting October 1, 2019 was $9,773 and is subject to an annual escalation up to a maximum monthly lease payment of $10,200.</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September 22, 2021, the Company signed a new Costa Mesa lease to lease a new, distinct office space in a different building with the same landlord. Per the lease, the stated commencement date was October 1, 2021 and concludes on September 30, 2023, and the Company did not take control of the new office space until October 2021, at which time the Company recorded a new right-of-use asset of $104,563 and operating lease liability of $104,563. The new Costa Mesa lease had an initial monthly lease payment of $4,369 which started on October 1, 2021 and is subject to an annual escalation up to a maximum monthly lease payment of $4,522.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 Commitments</w:t>
      </w:r>
    </w:p>
    <w:p>
      <w:pPr>
        <w:spacing w:after="0" w:line="225"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In February 2016, the FASB issued its updated standard on lease accounting, ASU No. 2016-02, “Leases (Topic 842),” which superseded Topic 840, “Leases,” which was further modified in ASU No. 2018-10, “Codification Improvements” to clarify the implementation guidance. The new accounting standard was effective for the Company beginning on January 1, 2019 and required the recognition on the balance sheet of right-of-use assets and lease liabilities. The Company elected the optional transition method and adopted the new guidance on January 1, 2019 on a modified retrospective basis with no restatement of prior period amounts. The Company’s adoption of the new standard resulted in the recognition of right-of-use assets of $414,426 and operating lease liabilities of $485,747, with no material cumulative effect adjustment to equity as of the date of adoption. The Company anticipates having future total lease payments of $678,050 during the period from the first quarter of 2022 to the third quarter of 2023. As of December 31, 2021, the Company has total operating lease right-of-use assets of $618,985, current portion operating lease liabilities of $628,307 and long-term portion of operating lease liabilities of $40,413. The weighted average remaining lease term is 0.9 years as of December 31, 2021.</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future minimum lease payments for leased locations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81"/>
        </w:trPr>
        <w:tc>
          <w:tcPr>
            <w:tcW w:w="4480" w:type="dxa"/>
            <w:vAlign w:val="bottom"/>
            <w:gridSpan w:val="2"/>
          </w:tcPr>
          <w:p>
            <w:pPr>
              <w:spacing w:after="0"/>
              <w:rPr>
                <w:sz w:val="20"/>
                <w:szCs w:val="20"/>
                <w:color w:val="auto"/>
              </w:rPr>
            </w:pPr>
            <w:r>
              <w:rPr>
                <w:rFonts w:ascii="Arial" w:cs="Arial" w:eastAsia="Arial" w:hAnsi="Arial"/>
                <w:sz w:val="14"/>
                <w:szCs w:val="14"/>
                <w:color w:val="auto"/>
              </w:rPr>
              <w:t>For the Year Ended December 31,</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color w:val="auto"/>
              </w:rPr>
              <w:t>Amount</w:t>
            </w:r>
          </w:p>
        </w:tc>
      </w:tr>
      <w:tr>
        <w:trPr>
          <w:trHeight w:val="216"/>
        </w:trPr>
        <w:tc>
          <w:tcPr>
            <w:tcW w:w="1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5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637,355</w:t>
            </w: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1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5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40,695</w:t>
            </w:r>
          </w:p>
        </w:tc>
        <w:tc>
          <w:tcPr>
            <w:tcW w:w="80" w:type="dxa"/>
            <w:vAlign w:val="bottom"/>
            <w:tcBorders>
              <w:bottom w:val="single" w:sz="8" w:color="CFF0FC"/>
            </w:tcBorders>
          </w:tcPr>
          <w:p>
            <w:pPr>
              <w:spacing w:after="0"/>
              <w:rPr>
                <w:sz w:val="19"/>
                <w:szCs w:val="19"/>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678,050</w:t>
            </w:r>
          </w:p>
        </w:tc>
        <w:tc>
          <w:tcPr>
            <w:tcW w:w="80" w:type="dxa"/>
            <w:vAlign w:val="bottom"/>
            <w:shd w:val="clear" w:color="auto" w:fill="CFF0FC"/>
          </w:tcPr>
          <w:p>
            <w:pPr>
              <w:spacing w:after="0"/>
              <w:rPr>
                <w:sz w:val="19"/>
                <w:szCs w:val="19"/>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Present value discount (3.7% weighted average)</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(9,330)</w:t>
            </w:r>
          </w:p>
        </w:tc>
      </w:tr>
      <w:tr>
        <w:trPr>
          <w:trHeight w:val="223"/>
        </w:trPr>
        <w:tc>
          <w:tcPr>
            <w:tcW w:w="44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Hosted Design Solution Agreement</w:t>
      </w:r>
    </w:p>
    <w:p>
      <w:pPr>
        <w:spacing w:after="0" w:line="117"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On June 25, 2015, the Company entered into a three-year agreement to license electronic design automation software in a hosted environment. Pursuant to the agreement, under which services began July 2015, the Company is required to remit quarterly payments in the amount of approximately $101,000 with the last payment due March 30, 2018. On December 18, 2015, the agreement was amended to redefine the hardware and software configuration and the quarterly payments increased to approximately $198,000. In July 2018, the Company renewed the agreement for an additional three years, and the Company is required to remit quarterly payments of approximately $218,000. In June 2021, the Company renewed the agreement for an additional three years, and the Company is required to remit quarterly payments of approximately $233,000 through the second quarter of 2024.</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Litigations, Claims, and Assessments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MBO Bonus Plan</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and in good standing, and achieve the performance objectives selected by the Compensation Committee.</w:t>
      </w:r>
    </w:p>
    <w:p>
      <w:pPr>
        <w:spacing w:after="0" w:line="187"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w:t>
      </w:r>
    </w:p>
    <w:p>
      <w:pPr>
        <w:spacing w:after="0" w:line="124"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During the years ended December 31, 2021 and 2020, the Company recognized a total of $1,433,990 and $1,305,723, respectively, in expense under the Bonus Plan. As of December 31, 2021, $346,457 of the 2021 amount was not yet paid and is included in accrued expenses. The expense under the Bonus Plan is recorded under operating expenses on the Company’s Statement of Operations within each executive’s department.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Agreement</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On March 15, 2018, the Compensation Committee approved a form of Severance and Change in Control Agreement (“Severance Agreement”) that the Company may enter into with executive officers (“Executive”).</w:t>
      </w:r>
    </w:p>
    <w:p>
      <w:pPr>
        <w:spacing w:after="0" w:line="170" w:lineRule="exact"/>
        <w:rPr>
          <w:sz w:val="20"/>
          <w:szCs w:val="20"/>
          <w:color w:val="auto"/>
        </w:rPr>
      </w:pPr>
    </w:p>
    <w:p>
      <w:pPr>
        <w:ind w:right="340" w:firstLine="589"/>
        <w:spacing w:after="0" w:line="301" w:lineRule="auto"/>
        <w:rPr>
          <w:sz w:val="20"/>
          <w:szCs w:val="20"/>
          <w:color w:val="auto"/>
        </w:rPr>
      </w:pPr>
      <w:r>
        <w:rPr>
          <w:rFonts w:ascii="Arial" w:cs="Arial" w:eastAsia="Arial" w:hAnsi="Arial"/>
          <w:sz w:val="16"/>
          <w:szCs w:val="16"/>
          <w:color w:val="auto"/>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5" w:right="379" w:bottom="1440" w:gutter="0" w:footer="0" w:header="0"/>
        </w:sectPr>
      </w:pPr>
    </w:p>
    <w:bookmarkStart w:id="46" w:name="page47"/>
    <w:bookmarkEnd w:id="4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Employee Agreement – Cesar Johnston</w:t>
      </w:r>
    </w:p>
    <w:p>
      <w:pPr>
        <w:spacing w:after="0" w:line="189" w:lineRule="exact"/>
        <w:rPr>
          <w:sz w:val="20"/>
          <w:szCs w:val="20"/>
          <w:color w:val="auto"/>
        </w:rPr>
      </w:pPr>
    </w:p>
    <w:p>
      <w:pPr>
        <w:ind w:right="80" w:firstLine="864"/>
        <w:spacing w:after="0" w:line="263" w:lineRule="auto"/>
        <w:rPr>
          <w:sz w:val="20"/>
          <w:szCs w:val="20"/>
          <w:color w:val="auto"/>
        </w:rPr>
      </w:pPr>
      <w:r>
        <w:rPr>
          <w:rFonts w:ascii="Arial" w:cs="Arial" w:eastAsia="Arial" w:hAnsi="Arial"/>
          <w:sz w:val="18"/>
          <w:szCs w:val="18"/>
          <w:color w:val="auto"/>
        </w:rPr>
        <w:t>On December 9, 2021, the Company announced that Cesar Johnston had been appointed as the Company’s Chief Executive Officer. In connection with Mr. Johnston’s appointment as Chief Executive Officer, the Company and Mr. Johnston executed an offer letter dated as of December 6, 2021.</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Under the offer letter, Mr. Johnston will receive an annual base salary of $400,000 per year. Beginning in year 2022, he will be eligible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receive a discretionary annual bonus of up to 100% of his base salary, at the recommendation of the Company’s Compensation Committee,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Company’s Board of Directors. In addition, as an inducement to accept his appointment as Chief Executive Officer, Mr. Johnston will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 subject to continued employment, (a) a special one-time sign-on bonus in the amount of $120,000, payable in two equal installments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$60,000 each on the first payroll date in 2022 and the first payroll date after December 6, 2022, (b) a grant of 150,000 restricted stock units to acquire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the Company’s common stock, one third of which will vest on December 6, 2022 and the remaining two thirds of which will vest in eight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equal installments of 12,500 each on each quarterly anniversary thereafter and (c) a grant of an option to purchase 300,000 shares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at an exercise price equal to the fair market value of the Company’s common stock on the grant date, half of which shall vest 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a quarter of which shall vest on December 31, 2024 and the remainder of which shall vest on December 31, 2025.</w:t>
      </w:r>
    </w:p>
    <w:p>
      <w:pPr>
        <w:spacing w:after="0" w:line="211" w:lineRule="exact"/>
        <w:rPr>
          <w:sz w:val="20"/>
          <w:szCs w:val="20"/>
          <w:color w:val="auto"/>
        </w:rPr>
      </w:pPr>
    </w:p>
    <w:p>
      <w:pPr>
        <w:ind w:right="200" w:firstLine="849"/>
        <w:spacing w:after="0" w:line="275" w:lineRule="auto"/>
        <w:rPr>
          <w:sz w:val="20"/>
          <w:szCs w:val="20"/>
          <w:color w:val="auto"/>
        </w:rPr>
      </w:pPr>
      <w:r>
        <w:rPr>
          <w:rFonts w:ascii="Arial" w:cs="Arial" w:eastAsia="Arial" w:hAnsi="Arial"/>
          <w:sz w:val="17"/>
          <w:szCs w:val="17"/>
          <w:color w:val="auto"/>
        </w:rPr>
        <w:t>Mr. Johnston will further be eligible for (a) an additional equity award in the amount of 287,000 performance share units to acquire shares of the Company’s common stock, which will vest up to one third per year over a three year period commencing January 1, 2022 and ending December 31, 2024, upon the achievement of performance criteria to be mutually established by Mr. Johnston and the Compensation Committee, and (b) an additional equity award of up to 25,000 performance share units per calendar year for 2022, 2023 and 2024, respectively, based on outperformance per calendar year, as determined by the Compensation Committee with approval of the Board of Directors.</w:t>
      </w:r>
    </w:p>
    <w:p>
      <w:pPr>
        <w:spacing w:after="0" w:line="122" w:lineRule="exact"/>
        <w:rPr>
          <w:sz w:val="20"/>
          <w:szCs w:val="20"/>
          <w:color w:val="auto"/>
        </w:rPr>
      </w:pPr>
    </w:p>
    <w:p>
      <w:pPr>
        <w:ind w:firstLine="864"/>
        <w:spacing w:after="0" w:line="271" w:lineRule="auto"/>
        <w:rPr>
          <w:sz w:val="20"/>
          <w:szCs w:val="20"/>
          <w:color w:val="auto"/>
        </w:rPr>
      </w:pPr>
      <w:r>
        <w:rPr>
          <w:rFonts w:ascii="Arial" w:cs="Arial" w:eastAsia="Arial" w:hAnsi="Arial"/>
          <w:sz w:val="17"/>
          <w:szCs w:val="17"/>
          <w:color w:val="auto"/>
        </w:rPr>
        <w:t>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the Consolidated Omnibus Budget Reconciliation Act of 1985, as amended (“COBRA”), the Company or its successor will pay the full amount of Mr. Johnston’s COBRA premiums on his behalf for 18 months.</w:t>
      </w:r>
    </w:p>
    <w:p>
      <w:pPr>
        <w:spacing w:after="0" w:line="124" w:lineRule="exact"/>
        <w:rPr>
          <w:sz w:val="20"/>
          <w:szCs w:val="20"/>
          <w:color w:val="auto"/>
        </w:rPr>
      </w:pPr>
    </w:p>
    <w:p>
      <w:pPr>
        <w:ind w:right="120" w:firstLine="843"/>
        <w:spacing w:after="0" w:line="255" w:lineRule="auto"/>
        <w:rPr>
          <w:sz w:val="20"/>
          <w:szCs w:val="20"/>
          <w:color w:val="auto"/>
        </w:rPr>
      </w:pPr>
      <w:r>
        <w:rPr>
          <w:rFonts w:ascii="Arial" w:cs="Arial" w:eastAsia="Arial" w:hAnsi="Arial"/>
          <w:sz w:val="18"/>
          <w:szCs w:val="18"/>
          <w:color w:val="auto"/>
        </w:rPr>
        <w:t>The Johnston A&amp;R CIC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Mr. Johnston is also eligible to receive all customary and usual benefits generally available to senior executives of the Company.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Transition Agreement – Stephen Rizzone</w:t>
      </w:r>
    </w:p>
    <w:p>
      <w:pPr>
        <w:spacing w:after="0" w:line="185" w:lineRule="exact"/>
        <w:rPr>
          <w:sz w:val="20"/>
          <w:szCs w:val="20"/>
          <w:color w:val="auto"/>
        </w:rPr>
      </w:pPr>
    </w:p>
    <w:p>
      <w:pPr>
        <w:ind w:right="460" w:firstLine="864"/>
        <w:spacing w:after="0" w:line="277" w:lineRule="auto"/>
        <w:rPr>
          <w:sz w:val="20"/>
          <w:szCs w:val="20"/>
          <w:color w:val="auto"/>
        </w:rPr>
      </w:pPr>
      <w:r>
        <w:rPr>
          <w:rFonts w:ascii="Arial" w:cs="Arial" w:eastAsia="Arial" w:hAnsi="Arial"/>
          <w:sz w:val="18"/>
          <w:szCs w:val="18"/>
          <w:color w:val="auto"/>
        </w:rPr>
        <w:t>On April 3, 2015, the Company entered into an Amended and Restated Executive Employment Agreement with Stephen R. Rizzone, the Company’s President and Chief Executive Officer (“Employment Agreement”).</w:t>
      </w:r>
    </w:p>
    <w:p>
      <w:pPr>
        <w:spacing w:after="0" w:line="130" w:lineRule="exact"/>
        <w:rPr>
          <w:sz w:val="20"/>
          <w:szCs w:val="20"/>
          <w:color w:val="auto"/>
        </w:rPr>
      </w:pPr>
    </w:p>
    <w:p>
      <w:pPr>
        <w:ind w:right="300" w:firstLine="864"/>
        <w:spacing w:after="0" w:line="259" w:lineRule="auto"/>
        <w:rPr>
          <w:sz w:val="20"/>
          <w:szCs w:val="20"/>
          <w:color w:val="auto"/>
        </w:rPr>
      </w:pPr>
      <w:r>
        <w:rPr>
          <w:rFonts w:ascii="Arial" w:cs="Arial" w:eastAsia="Arial" w:hAnsi="Arial"/>
          <w:sz w:val="18"/>
          <w:szCs w:val="18"/>
          <w:color w:val="auto"/>
        </w:rPr>
        <w:t>The Employment Agreement effective as of January 1, 2015, has an initial term of four years and automatically renews each year after the initial term. The Employment Agreement provides for an annual base salary of $365,000, and Mr. Rizzone is eligible to receive quarterly cash bonuses from the MBO Bonus Plan with a total target amount equal to 100% of his base salary based upon achievement of performance-based objectives established by the Board.</w:t>
      </w:r>
    </w:p>
    <w:p>
      <w:pPr>
        <w:spacing w:after="0" w:line="18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On July 9, 2021, the Company announced that Stephen R. Rizzone has retired from his position as the Company’s President and Chief Executive Officer and as a member of the Board.</w:t>
      </w:r>
    </w:p>
    <w:p>
      <w:pPr>
        <w:spacing w:after="0" w:line="17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connection with Mr. Rizzone’s retirement, the Company and Mr. Rizzone entered into an Executive Transition Agreement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restricted stock units and an extension of the exercise periods of all stock options held by Mr. Rizzone until the one year anniversary of his termination date, and additional benefits related to Mr. Rizzone’s medical insurance. In addition, the Company will pay-off all amounts owed under a lease agreement relating to a Company Car and Mr. Rizzone will receive the title to the vehicle. All compensation under the Separation Agreement will be subject to applicable withholding.</w:t>
      </w:r>
    </w:p>
    <w:p>
      <w:pPr>
        <w:spacing w:after="0" w:line="166"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During the year ended December 31, 2021, the Company recognized $4,017,172 in severance expense associated with the separation agreement, including $284,994 in additional stock-based compensation as a result of the extension of the exercise periods on the stock options. As of December 31, 2021, the Company had unpaid accrued severance expense of $975,439.</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6 – Commitments and Contingencies,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Alliance Agreement</w:t>
      </w:r>
    </w:p>
    <w:p>
      <w:pPr>
        <w:spacing w:after="0" w:line="117"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In November 2016, the Company and Dialog Semiconductor plc (“Dialog”), a related party (see Note 10—Related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w:t>
      </w:r>
    </w:p>
    <w:p>
      <w:pPr>
        <w:spacing w:after="0" w:line="17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Alliance Agreement has an initial term of seven years and will automatically renew annually thereafter unless terminated by either party upon 180 days’ prior written notice. The Company may terminate the Alliance Agreement at any time after the third anniversary of the Agreement upon 180 days’ prior written notice to Dialog, or if Dialog breaches certain exclusivity obligations. Dialog may terminate the Alliance Agreement if sales of Licensed Products do not meet specified targets. The Company Exclusivity Requirement will terminate upon the earlier of January 1, 2021 or the occurrence of certain events relating to the Company’s pre-existing exclusivity obligations. The Company Exclusivity Requirement renews automatically on an annual basis unless the Company and Dialog agree to terminate the requirement.</w:t>
      </w:r>
    </w:p>
    <w:p>
      <w:pPr>
        <w:spacing w:after="0" w:line="178"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On September 20, 2021, the Company was notified by Dialog, recently acquired by Renesas Electronics Corporation, that it was terminating the Alliance Agreement between the Company and Dialog.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w:t>
      </w:r>
    </w:p>
    <w:p>
      <w:pPr>
        <w:spacing w:after="0" w:line="117" w:lineRule="exact"/>
        <w:rPr>
          <w:sz w:val="20"/>
          <w:szCs w:val="20"/>
          <w:color w:val="auto"/>
        </w:rPr>
      </w:pPr>
    </w:p>
    <w:p>
      <w:pPr>
        <w:ind w:right="500" w:firstLine="589"/>
        <w:spacing w:after="0" w:line="311" w:lineRule="auto"/>
        <w:rPr>
          <w:sz w:val="20"/>
          <w:szCs w:val="20"/>
          <w:color w:val="auto"/>
        </w:rPr>
      </w:pPr>
      <w:r>
        <w:rPr>
          <w:rFonts w:ascii="Arial" w:cs="Arial" w:eastAsia="Arial" w:hAnsi="Arial"/>
          <w:sz w:val="16"/>
          <w:szCs w:val="16"/>
          <w:color w:val="auto"/>
        </w:rPr>
        <w:t>The holders of the Company’s common stock are entitled to one vote per share. Holders of common stock are entitled to receive ratably such dividends, if any, as may be declared by the board of directors out of legally available funds. Upon the liquidation, dissolution or winding up of the Company, holders of common stock are entitled to share ratably in all assets of the Company that are legally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7 – Stockholders’ Equity,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On August 9, 2018, the Company filed a shelf registration statement on Form S-3, which became effective on August 17, 2018. This shelf registration statement allows the Company to sell, from time to time, any combination of debt or equity securities described in the registration statement up to aggregate proceeds of $75,000,000. Pursuant to this registration statement, in March 2019 the Company raised $23,319,156 (net of $1,680,844 in issuance costs) from an offering of shares of its common stock and warrants to purchase 1,666,666 shares of common stock at an exercise price of $10.00 per share. The Company also raised $4,557,693 (net of $339,081 in issuance costs) during the fourth quarter of 2019, $5,506,880 (net of $141,322 in issuance costs) during the first quarter of 2020 and $9,216,611 (net of $236,528 in issuance costs) during the second quarter of 2020, pursuant to this shelf registration statement.</w:t>
      </w:r>
    </w:p>
    <w:p>
      <w:pPr>
        <w:spacing w:after="0" w:line="195"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On September 15, 2020, the Company filed a shelf registration statement on Form S-3 with the SEC, which became effective on September 24, 2020,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 sales agreement prospectus covering the offering, issuance and sale by the Company of up to a maximum aggregate offering price of $40,000,000 of its common stock that may be issued and sold under a sales agreement. The $40,000,000 of common stock that may be offered, issued and sold under the sales agreement prospectus is included in the $75,000,000 of securities that may be offered, issued and sold by the Company under the base prospectus. Pursuant to this shelf registration statement, the Company sold shares which raised net proceeds of $38,832,711 (net of $1,167,289 in issuance costs) during the third and fourth quarter of 2020. On October 4, 2021, the Company filed a prospectus supplement covering the issuance and sale of shares of the Company’s common stock having an additional aggregate offering price of $35,000,000 pursuant to the Company’s at-the-market (“ATM”) securities offering. The Company raised net proceeds of $27,043,751 (net of $868,122 in issuance costs), during the fourth quarter of 2021 under the ATM.</w:t>
      </w:r>
    </w:p>
    <w:p>
      <w:pPr>
        <w:spacing w:after="0" w:line="172"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$100,000,000.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Outstanding</w:t>
      </w:r>
    </w:p>
    <w:p>
      <w:pPr>
        <w:spacing w:after="0" w:line="117"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Our outstanding common shares typically include shares that are deemed delivered under U.S. GAAP. Shares that are deemed delivered currently include shares that have vested, but have not yet been delivered, under tax-deferred equity awards, as well as shares purchased under our Employee Stock Purchase Program (“ESPP”) where actual transfer of shares normally occurs a few days after the completion of the purchase periods. There are no voting rights for shares that are deemed delivered under U.S. GAAP until the actual delivery of shares takes place. On July 24, 2020, the stockholders of the Company approved an increase of common shares authorized from 50,000,000 shares to 200,000,000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8 – Stock 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Equity Incentive Plan</w:t>
      </w:r>
    </w:p>
    <w:p>
      <w:pPr>
        <w:spacing w:after="0" w:line="117"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2013 Equity Incentive Plan to increase the number of shares reserved for issuance thereunder by 1,500,000 shares, bringing to 8,785,967 the total number of shares approved for issuance under that plan.</w:t>
      </w:r>
    </w:p>
    <w:p>
      <w:pPr>
        <w:spacing w:after="0" w:line="18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of December 31, 2021, 1,779,806 shares of common stock remain eligible to be issued through equity-based instruments under the 2013 Equity Incentive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Non-Employee Equity Compensation Plan</w:t>
      </w:r>
    </w:p>
    <w:p>
      <w:pPr>
        <w:spacing w:after="0" w:line="117"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Effective on May 26, 2020, the Company’s stockholders approved the amendment and restatement of the 2014 Non-employee Equity Compensation Plan to increase the number of shares reserved for issuance through equity-based instruments thereunder by 800,000 shares, bringing to 1,650,000 the total number of shares approved for issuance under that plan.</w:t>
      </w:r>
    </w:p>
    <w:p>
      <w:pPr>
        <w:spacing w:after="0" w:line="184"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As of December 31, 2021, 872,422 shares of common stock remain eligible to be issued through equity-based instruments under the 2014 Non-Employee Equity Compensation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Performance Share Unit Plan</w:t>
      </w:r>
    </w:p>
    <w:p>
      <w:pPr>
        <w:spacing w:after="0" w:line="117"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Effective on June 16, 2021, the Company’s stockholders approved the amendment and restatement of the 2015 Performance Share Unit Plan to increase the number of shares reserved for issuance through equity-based instruments thereunder by 1,700,000 shares, bringing to 5,110,104 the total number of shares approved for issuance under that plan.</w:t>
      </w:r>
    </w:p>
    <w:p>
      <w:pPr>
        <w:spacing w:after="0" w:line="184"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As of December 31, 2021, 2,411,013 shares of common stock remain eligible to be issued through equity-based instruments under the 2015 Performance Share Unit Plan.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Equity Inducement Plan</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On December 28, 2017, the Board approved the 2017 Equity Inducement Plan. Under the plan, the Board reserved 600,000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spacing w:after="0" w:line="188"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As of December 31, 2021, 133,551 shares of common stock remain available to be issued through equity-based instruments under the 2017 Equity Inducement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April 2015, the Company’s Board approved the ESPP, under which 600,000 shares of common stock have been reserved for purchase by the Company’s employees, subject to approval by the stockholders. On May 21, 2015, the Company’s stockholders approved the ESPP. Effective on June 16, 2021, the Company’s stockholders approved the amendment and restatement of the Employee Stock Purchase Plan to increase the number of shares reserved for issuance through equity-based instruments thereunder by 700,000 shares, bringing to 1,550,000 the total number of shares approved for issuance under that plan. Under the ESPP, employees may designate an amount not less than 1% but not more than 10% of their annual compensation for the purchase of Company shares. No more than 7,500 shares may be purchased by an employee under the ESPP during an offering period.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2021, 547,548 shares of common stock remain eligible to be issued under the ESPP. For the year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eligible employees contributed $384,126 through payroll deductions to the ESPP and 292,890 shares were deemed delivered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For the year ended December 31, 2020, eligible employees contributed $417,546 through payroll deductions to the ESPP and 275,312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were deemed delivered for the year ended December 31, 2020.</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 Activity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Company’s stock option activity during the year ended December 31, 2021:</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Weighted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Average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Remaining</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Life In</w:t>
            </w: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Options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Years</w:t>
            </w: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550,985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(25,979)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525,006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December 31, 2021</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2021, the unamortized value of options was $0.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aggregate intrinsic value of options exercised was $0 for the years ended December 31, 2021 and 2020.</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 options were granted during the years ended December 31, 2021 and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17"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During the year ended December 31, 2021, the Compensation Committee of the Board (“Compensation Committee”) granted various employees RSUs under which the holders have the right to receive an aggregate 1,849,985 shares of common stock. The majority of these awards, granted under the 2013 Equity Incentive Plan, vest over terms ranging from two to four years.</w:t>
      </w:r>
    </w:p>
    <w:p>
      <w:pPr>
        <w:spacing w:after="0" w:line="184"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During the year ended December 31, 2021, the Compensation Committee granted various directors and consultants RSUs under which the holders have the right to receive an aggregate 179,591 shares of common stock. These awards were granted under the 2014 Non-Employee Equity Compensation Plan. The awards granted vest over terms from one year to four years.</w:t>
      </w:r>
    </w:p>
    <w:p>
      <w:pPr>
        <w:spacing w:after="0" w:line="184" w:lineRule="exact"/>
        <w:rPr>
          <w:sz w:val="20"/>
          <w:szCs w:val="20"/>
          <w:color w:val="auto"/>
        </w:rPr>
      </w:pPr>
    </w:p>
    <w:p>
      <w:pPr>
        <w:ind w:right="80" w:firstLine="589"/>
        <w:spacing w:after="0" w:line="381" w:lineRule="auto"/>
        <w:rPr>
          <w:sz w:val="20"/>
          <w:szCs w:val="20"/>
          <w:color w:val="auto"/>
        </w:rPr>
      </w:pPr>
      <w:r>
        <w:rPr>
          <w:rFonts w:ascii="Arial" w:cs="Arial" w:eastAsia="Arial" w:hAnsi="Arial"/>
          <w:sz w:val="15"/>
          <w:szCs w:val="15"/>
          <w:color w:val="auto"/>
        </w:rPr>
        <w:t>During the year ended December 31, 2021, the Compensation Committee granted employees RSUs under which the holders have the right to receive 38,500 shares of common stock. The awards, granted under the 2017 Equity Inducement Plan, vest over four years beginning on the anniversary of the grant date.</w:t>
      </w:r>
    </w:p>
    <w:p>
      <w:pPr>
        <w:spacing w:after="0" w:line="100" w:lineRule="exact"/>
        <w:rPr>
          <w:sz w:val="20"/>
          <w:szCs w:val="20"/>
          <w:color w:val="auto"/>
        </w:rPr>
      </w:pPr>
    </w:p>
    <w:p>
      <w:pPr>
        <w:ind w:right="200" w:firstLine="589"/>
        <w:spacing w:after="0" w:line="308" w:lineRule="auto"/>
        <w:rPr>
          <w:sz w:val="20"/>
          <w:szCs w:val="20"/>
          <w:color w:val="auto"/>
        </w:rPr>
      </w:pPr>
      <w:r>
        <w:rPr>
          <w:rFonts w:ascii="Arial" w:cs="Arial" w:eastAsia="Arial" w:hAnsi="Arial"/>
          <w:sz w:val="17"/>
          <w:szCs w:val="17"/>
          <w:color w:val="auto"/>
        </w:rPr>
        <w:t>At December 31, 2021, the unamortized value of the RSUs was $3,626,770. The unamortized amount will be expensed over a weighted average period of 1.8 years. A summary of the activity related to RSUs for the year ended December 31, 2021 is presented below:</w:t>
      </w:r>
    </w:p>
    <w:p>
      <w:pPr>
        <w:spacing w:after="0" w:line="35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Weighted</w:t>
            </w:r>
          </w:p>
        </w:tc>
      </w:tr>
      <w:tr>
        <w:trPr>
          <w:trHeight w:val="148"/>
        </w:trPr>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54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Date 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1,421,168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RSUs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2,068,076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RSUs 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(348,439)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80" w:type="dxa"/>
            <w:vAlign w:val="bottom"/>
            <w:shd w:val="clear" w:color="auto" w:fill="CFF0FC"/>
          </w:tcPr>
          <w:p>
            <w:pPr>
              <w:spacing w:after="0"/>
              <w:rPr>
                <w:sz w:val="19"/>
                <w:szCs w:val="19"/>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RSUs 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(1,431,532)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1,709,273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Performance share units (“PSUs”) are grants that vest upon the achievement of certain performance goals. The goals are commonly related to the Company’s revenue and achievement of sales and marketing goals.</w:t>
      </w:r>
    </w:p>
    <w:p>
      <w:pPr>
        <w:spacing w:after="0" w:line="211" w:lineRule="exact"/>
        <w:rPr>
          <w:sz w:val="20"/>
          <w:szCs w:val="20"/>
          <w:color w:val="auto"/>
        </w:rPr>
      </w:pPr>
    </w:p>
    <w:p>
      <w:pPr>
        <w:ind w:firstLine="589"/>
        <w:spacing w:after="0" w:line="308" w:lineRule="auto"/>
        <w:rPr>
          <w:sz w:val="20"/>
          <w:szCs w:val="20"/>
          <w:color w:val="auto"/>
        </w:rPr>
      </w:pPr>
      <w:r>
        <w:rPr>
          <w:rFonts w:ascii="Arial" w:cs="Arial" w:eastAsia="Arial" w:hAnsi="Arial"/>
          <w:sz w:val="17"/>
          <w:szCs w:val="17"/>
          <w:color w:val="auto"/>
        </w:rPr>
        <w:t>During the year ended December 31, 2021, the Compensation Committee granted various employees PSUs under which the holders have the right to receive an aggregate 1,465,713 shares of common stock. These awards were granted under the 2015 Performance Share Unit Plan.</w:t>
      </w:r>
    </w:p>
    <w:p>
      <w:pPr>
        <w:spacing w:after="0" w:line="146"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Compensation expense amortization for all PSU awards was $5,831,928 and $(88,348) for the years ended December 31, 2021 and 2020, respectively.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 (“PSUs”), continued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 December 31, 2021, the unamortized value of all PSUs was $0. A summary of the activity related to PSUs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is presented below:</w:t>
      </w:r>
    </w:p>
    <w:p>
      <w:pPr>
        <w:spacing w:after="0" w:line="200" w:lineRule="exact"/>
        <w:rPr>
          <w:sz w:val="20"/>
          <w:szCs w:val="20"/>
          <w:color w:val="auto"/>
        </w:rPr>
      </w:pP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Weighted</w:t>
            </w:r>
          </w:p>
        </w:tc>
      </w:tr>
      <w:tr>
        <w:trPr>
          <w:trHeight w:val="148"/>
        </w:trPr>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540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Date 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PSUs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1,617,601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PSUs forfeited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(196,663)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PSUs vested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(1,420,938)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1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During the years ended December 31, 2021 and 2020, there were two offering periods per year for the ESPP. The first offering period started on January 1 of each year and concluded on June 30 of each year. The second offering period started on July 1 of each year and concluded on December 31 of each year.</w:t>
      </w:r>
    </w:p>
    <w:p>
      <w:pPr>
        <w:spacing w:after="0" w:line="184" w:lineRule="exact"/>
        <w:rPr>
          <w:sz w:val="20"/>
          <w:szCs w:val="20"/>
          <w:color w:val="auto"/>
        </w:rPr>
      </w:pPr>
    </w:p>
    <w:p>
      <w:pPr>
        <w:ind w:right="280" w:firstLine="589"/>
        <w:spacing w:after="0" w:line="257" w:lineRule="auto"/>
        <w:rPr>
          <w:sz w:val="20"/>
          <w:szCs w:val="20"/>
          <w:color w:val="auto"/>
        </w:rPr>
      </w:pPr>
      <w:r>
        <w:rPr>
          <w:rFonts w:ascii="Arial" w:cs="Arial" w:eastAsia="Arial" w:hAnsi="Arial"/>
          <w:sz w:val="18"/>
          <w:szCs w:val="18"/>
          <w:color w:val="auto"/>
        </w:rPr>
        <w:t>The weighted-average grant-date fair value of the purchase option for each designated share purchased under this plan was approximately $1.10 and $1.18 during the years ended December 31, 2021 and 2020,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stock-based compensation expense for the plan of $252,568 and $329,461 for the years ended December 31, 2021 and 2020, respectively.</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estimated the fair value of the purchase options granted during the years ended December 31, 2021 and 2020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fair values of the purchase options granted were estimated using the following assumptions: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For the Year Ended</w:t>
            </w:r>
          </w:p>
        </w:tc>
        <w:tc>
          <w:tcPr>
            <w:tcW w:w="224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December 31, 2021</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Stock price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1.80 – 2.78</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 143%</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0.05 – 0.09%</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6 months</w:t>
            </w:r>
          </w:p>
        </w:tc>
        <w:tc>
          <w:tcPr>
            <w:tcW w:w="2240" w:type="dxa"/>
            <w:vAlign w:val="bottom"/>
          </w:tcPr>
          <w:p>
            <w:pPr>
              <w:spacing w:after="0"/>
              <w:rPr>
                <w:sz w:val="19"/>
                <w:szCs w:val="19"/>
                <w:color w:val="auto"/>
              </w:rPr>
            </w:pPr>
          </w:p>
        </w:tc>
      </w:tr>
      <w:tr>
        <w:trPr>
          <w:trHeight w:val="373"/>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ind w:left="140"/>
              <w:spacing w:after="0"/>
              <w:rPr>
                <w:sz w:val="20"/>
                <w:szCs w:val="20"/>
                <w:color w:val="auto"/>
              </w:rPr>
            </w:pPr>
            <w:r>
              <w:rPr>
                <w:rFonts w:ascii="Arial" w:cs="Arial" w:eastAsia="Arial" w:hAnsi="Arial"/>
                <w:sz w:val="14"/>
                <w:szCs w:val="14"/>
                <w:color w:val="auto"/>
              </w:rPr>
              <w:t>For the Year Ended</w:t>
            </w:r>
          </w:p>
        </w:tc>
        <w:tc>
          <w:tcPr>
            <w:tcW w:w="224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264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December 31, 2020</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Stock price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1.77 – 2.96</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range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 – 182%</w:t>
            </w: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Risk-free interest rate range</w:t>
            </w: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0.17 – 1.57%</w:t>
            </w: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6 months</w:t>
            </w:r>
          </w:p>
        </w:tc>
        <w:tc>
          <w:tcPr>
            <w:tcW w:w="2240" w:type="dxa"/>
            <w:vAlign w:val="bottom"/>
          </w:tcPr>
          <w:p>
            <w:pPr>
              <w:spacing w:after="0"/>
              <w:rPr>
                <w:sz w:val="19"/>
                <w:szCs w:val="19"/>
                <w:color w:val="auto"/>
              </w:rPr>
            </w:pPr>
          </w:p>
        </w:tc>
      </w:tr>
      <w:tr>
        <w:trPr>
          <w:trHeight w:val="878"/>
        </w:trPr>
        <w:tc>
          <w:tcPr>
            <w:tcW w:w="2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40" w:type="dxa"/>
            <w:vAlign w:val="bottom"/>
          </w:tcPr>
          <w:p>
            <w:pPr>
              <w:jc w:val="right"/>
              <w:ind w:right="133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8 –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tables summarize total stock-based compensation costs recognized for years ended December 31, 2021 and 2020:</w:t>
      </w:r>
    </w:p>
    <w:p>
      <w:pPr>
        <w:spacing w:after="0" w:line="200" w:lineRule="exact"/>
        <w:rPr>
          <w:sz w:val="20"/>
          <w:szCs w:val="20"/>
          <w:color w:val="auto"/>
        </w:rPr>
      </w:pP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jc w:val="right"/>
              <w:ind w:right="460"/>
              <w:spacing w:after="0"/>
              <w:rPr>
                <w:sz w:val="20"/>
                <w:szCs w:val="20"/>
                <w:color w:val="auto"/>
              </w:rPr>
            </w:pPr>
            <w:r>
              <w:rPr>
                <w:rFonts w:ascii="Arial" w:cs="Arial" w:eastAsia="Arial" w:hAnsi="Arial"/>
                <w:sz w:val="14"/>
                <w:szCs w:val="14"/>
                <w:color w:val="auto"/>
                <w:w w:val="95"/>
              </w:rPr>
              <w:t>For the Years Ended December 31,</w:t>
            </w:r>
          </w:p>
        </w:tc>
      </w:tr>
      <w:tr>
        <w:trPr>
          <w:trHeight w:val="155"/>
        </w:trPr>
        <w:tc>
          <w:tcPr>
            <w:tcW w:w="6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Options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284,994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RSUs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5,561,698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7,656,857</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PSUs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5,831,928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(88,348)</w:t>
            </w:r>
          </w:p>
        </w:tc>
      </w:tr>
      <w:tr>
        <w:trPr>
          <w:trHeight w:val="229"/>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252,568</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329,461</w:t>
            </w:r>
          </w:p>
        </w:tc>
        <w:tc>
          <w:tcPr>
            <w:tcW w:w="8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11,931,188</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7,897,970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total amount of stock-based compensation was reflected within the statements of operations as:</w:t>
      </w:r>
    </w:p>
    <w:p>
      <w:pPr>
        <w:spacing w:after="0" w:line="200" w:lineRule="exact"/>
        <w:rPr>
          <w:sz w:val="20"/>
          <w:szCs w:val="20"/>
          <w:color w:val="auto"/>
        </w:rPr>
      </w:pPr>
    </w:p>
    <w:p>
      <w:pPr>
        <w:spacing w:after="0" w:line="345"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color w:val="auto"/>
              </w:rPr>
              <w:t>For the Years Ended December 31,</w:t>
            </w:r>
          </w:p>
        </w:tc>
      </w:tr>
      <w:tr>
        <w:trPr>
          <w:trHeight w:val="155"/>
        </w:trPr>
        <w:tc>
          <w:tcPr>
            <w:tcW w:w="61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6,582,873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3,933,292</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3,099,232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1,504,724</w:t>
            </w:r>
          </w:p>
        </w:tc>
        <w:tc>
          <w:tcPr>
            <w:tcW w:w="80" w:type="dxa"/>
            <w:vAlign w:val="bottom"/>
          </w:tcPr>
          <w:p>
            <w:pPr>
              <w:spacing w:after="0"/>
              <w:rPr>
                <w:sz w:val="19"/>
                <w:szCs w:val="19"/>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1,964,089</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2,459,954</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Severance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284,994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11,931,188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7,897,970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ind w:right="40" w:firstLine="589"/>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provisions relating to refundable payroll tax credits, net operating loss carryback periods, alternative minimum tax refunds, modifications to the net interest deduction limitations and technical corrections to the tax depreciation methods for qualified improvement property. The CARES Act has an immaterial impact on the Company’s income taxes.</w:t>
      </w:r>
    </w:p>
    <w:p>
      <w:pPr>
        <w:spacing w:after="0" w:line="18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The Company accounts for income taxes in accordance with ASC 740, “Income Taxes” (“ASC 740”). ASC 740 requires an asset and liability approach for financial accounting and reporting for income taxes and establishes for all entities a minimum threshold for financial statement recognition of the benefit of tax positions and requires certain expanded disclosures. The provision for income taxes is based upon income or loss after adjustment for those permanent items that are not considered in the determination of taxable income. Deferred income taxes represent the tax effects of differences between the financial reporting and tax bases of the Company’s assets and liabilities at the enacted tax rates in effect for the years in which the differences are expected to reverse. As of December 31, 2021 and 2020, deferred tax assets consisted principally of net operating loss and tax credit carryforwards, research and development costs and stock-based compensation, and such deferred tax assets were fully reserved. The Company evaluates the recoverability of deferred tax assets and establishes a valuation allowance when it is more likely than not that some portion, or all, of the deferred tax assets will not be realized. As of December 31, 2021, the Company has recorded a full valuation allowance.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Note 9 – Income Taxes, continued</w:t>
      </w:r>
    </w:p>
    <w:p>
      <w:pPr>
        <w:spacing w:after="0" w:line="229"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As of December 31, 2021 and 2020, the Company’s deferred tax assets (liabilities) consisted of the effects of temporary differences attributable to the following:</w:t>
      </w:r>
    </w:p>
    <w:p>
      <w:pPr>
        <w:spacing w:after="0" w:line="274" w:lineRule="exact"/>
        <w:rPr>
          <w:sz w:val="20"/>
          <w:szCs w:val="20"/>
          <w:color w:val="auto"/>
        </w:rPr>
      </w:pPr>
    </w:p>
    <w:tbl>
      <w:tblPr>
        <w:tblLayout w:type="fixed"/>
        <w:tblInd w:w="600" w:type="dxa"/>
        <w:tblCellMar>
          <w:top w:w="0" w:type="dxa"/>
          <w:left w:w="0" w:type="dxa"/>
          <w:bottom w:w="0" w:type="dxa"/>
          <w:right w:w="0" w:type="dxa"/>
        </w:tblCellMar>
      </w:tblPr>
      <w:tr>
        <w:trPr>
          <w:trHeight w:val="167"/>
        </w:trPr>
        <w:tc>
          <w:tcPr>
            <w:tcW w:w="1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9"/>
          </w:tcPr>
          <w:p>
            <w:pPr>
              <w:jc w:val="right"/>
              <w:ind w:right="9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color w:val="auto"/>
              </w:rPr>
              <w:t>2021</w:t>
            </w:r>
          </w:p>
        </w:tc>
        <w:tc>
          <w:tcPr>
            <w:tcW w:w="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2020</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Research and development tax credits</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9,475,588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8,371,302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carryovers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67,785,680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57,563,810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189,271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219,461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10,923,959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12,578,612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Start-up and organizational costs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4,659,555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4,041,136</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187,132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245,811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accruals</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670,065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270,912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gross deferred tax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93,891,712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83,291,584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w w:val="95"/>
              </w:rPr>
              <w:t>(93,718,497)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97"/>
              </w:rPr>
              <w:t>(82,929,675)</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(173,215)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(361,909)</w:t>
            </w: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(173,215)</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(361,909)</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Total deferred taxes, net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The change in the Company’s valuation allowance is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00" w:type="dxa"/>
            <w:vAlign w:val="bottom"/>
          </w:tcPr>
          <w:p>
            <w:pPr>
              <w:spacing w:after="0"/>
              <w:rPr>
                <w:sz w:val="24"/>
                <w:szCs w:val="24"/>
                <w:color w:val="auto"/>
              </w:rPr>
            </w:pPr>
          </w:p>
        </w:tc>
        <w:tc>
          <w:tcPr>
            <w:tcW w:w="53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January 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82,929,675</w:t>
            </w:r>
          </w:p>
        </w:tc>
        <w:tc>
          <w:tcPr>
            <w:tcW w:w="120" w:type="dxa"/>
            <w:vAlign w:val="bottom"/>
            <w:shd w:val="clear" w:color="auto" w:fill="CFF0FC"/>
          </w:tcPr>
          <w:p>
            <w:pPr>
              <w:spacing w:after="0"/>
              <w:rPr>
                <w:sz w:val="19"/>
                <w:szCs w:val="19"/>
                <w:color w:val="auto"/>
              </w:rPr>
            </w:pPr>
          </w:p>
        </w:tc>
        <w:tc>
          <w:tcPr>
            <w:tcW w:w="80" w:type="dxa"/>
            <w:vAlign w:val="bottom"/>
            <w:gridSpan w:val="2"/>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73,892,063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 in valuation allowance</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10,788,822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9,037,612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93,718,497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82,929,675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The Company has federal and state net operating loss carryforwards of approximately $241,988,000 and $242,972,000, respectively, available to offset future taxable income. The federal and state NOL carryforwards will expire at various dates beginning in 2033. The Company has federal and state research and development tax credit carryforwards of approximately $5,748,000 and $4,718,000, respectively. The federal R&amp;D credit carryforwards will expire beginning in 2032 and state R&amp;D credit carryforwards do not expire. The ultimate realization of the net operating loss is dependent upon future taxable income, if any, of the Company. Although management believes that the Company may have sufficient future taxable income to absorb the net operating loss carryforwards and research and development tax credit carryforwards before the expiration of the carryforward period, there may be circumstances beyond the Company’s control that limit such utilization. Accordingly, management has determined that a full valuation allowance of the deferred tax asset is appropriate at December 31, 2021 and 2020.</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9 – Income Taxes, continued</w:t>
      </w:r>
    </w:p>
    <w:p>
      <w:pPr>
        <w:spacing w:after="0" w:line="229"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Internal Revenue Code Section 382 imposes limitations on the use of net operating loss carryforwards when the stock ownership of one or more 5% stockholders (stockholders owning 5% or more of the Company’s outstanding capital stock) has increased on a cumulative basis by more than 50 percentage points. Management cannot control the ownership changes occurring as a result of public trading of the Company’s Common Stock. Accordingly, there is a risk of an ownership change beyond the control of the Company that could trigger a limitation of the use of the loss carryforward. The Company completed a Section 382 analysis as of December 31, 2021 and determined that none of its NOLs or R&amp;D credits would be limited.</w:t>
      </w:r>
    </w:p>
    <w:p>
      <w:pPr>
        <w:spacing w:after="0" w:line="265"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660" w:type="dxa"/>
            <w:vAlign w:val="bottom"/>
            <w:gridSpan w:val="4"/>
          </w:tcPr>
          <w:p>
            <w:pPr>
              <w:jc w:val="right"/>
              <w:ind w:right="480"/>
              <w:spacing w:after="0"/>
              <w:rPr>
                <w:sz w:val="20"/>
                <w:szCs w:val="20"/>
                <w:color w:val="auto"/>
              </w:rPr>
            </w:pPr>
            <w:r>
              <w:rPr>
                <w:rFonts w:ascii="Arial" w:cs="Arial" w:eastAsia="Arial" w:hAnsi="Arial"/>
                <w:sz w:val="14"/>
                <w:szCs w:val="14"/>
                <w:color w:val="auto"/>
              </w:rPr>
              <w:t>For the Year Ended December 31,</w:t>
            </w:r>
          </w:p>
        </w:tc>
      </w:tr>
      <w:tr>
        <w:trPr>
          <w:trHeight w:val="156"/>
        </w:trPr>
        <w:tc>
          <w:tcPr>
            <w:tcW w:w="52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2021</w:t>
            </w:r>
          </w:p>
        </w:tc>
        <w:tc>
          <w:tcPr>
            <w:tcW w:w="34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2020</w:t>
            </w:r>
          </w:p>
        </w:tc>
        <w:tc>
          <w:tcPr>
            <w:tcW w:w="240" w:type="dxa"/>
            <w:vAlign w:val="bottom"/>
            <w:tcBorders>
              <w:bottom w:val="single" w:sz="8" w:color="CFF0FC"/>
            </w:tcBorders>
          </w:tcPr>
          <w:p>
            <w:pPr>
              <w:spacing w:after="0"/>
              <w:rPr>
                <w:sz w:val="13"/>
                <w:szCs w:val="13"/>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Tax benefit at federal statutory rate</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State income taxes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0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Executive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True-up of state deferred taxes</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Change in effective tax rate</w:t>
            </w:r>
          </w:p>
        </w:tc>
        <w:tc>
          <w:tcPr>
            <w:tcW w:w="13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Research and development tax credit, federal</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 state</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Increase in valuation allowance, federal</w:t>
            </w: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Increase in valuation allowance, state</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r>
      <w:tr>
        <w:trPr>
          <w:trHeight w:val="20"/>
        </w:trPr>
        <w:tc>
          <w:tcPr>
            <w:tcW w:w="5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121"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 xml:space="preserve">In November 2016, the Company and Dialog entered into an alliance agreement for the manufacture, distribution and commercialization of products incorporating the Company’s wire-free charging technology (See Note 6 – Commitments and Contingencies, </w:t>
      </w:r>
      <w:r>
        <w:rPr>
          <w:rFonts w:ascii="Arial" w:cs="Arial" w:eastAsia="Arial" w:hAnsi="Arial"/>
          <w:sz w:val="16"/>
          <w:szCs w:val="16"/>
          <w:i w:val="1"/>
          <w:iCs w:val="1"/>
          <w:color w:val="auto"/>
        </w:rPr>
        <w:t>Strategic Alliance Agreement</w:t>
      </w:r>
      <w:r>
        <w:rPr>
          <w:rFonts w:ascii="Arial" w:cs="Arial" w:eastAsia="Arial" w:hAnsi="Arial"/>
          <w:sz w:val="16"/>
          <w:szCs w:val="16"/>
          <w:color w:val="auto"/>
        </w:rPr>
        <w:t>). On November 7, 2016 and June 28, 2017, the Company and Dialog entered into securities purchase agreements under which Dialog acquired a total of 1,739,691 shares and received warrants to purchase up to 1,417,565 shares. As of December 31, 2021, none of the warrants remain outstanding. Dialog presently owns approximately 2.3% of the Company’s outstanding common shares. The Company recorded $0 in royalty revenue for the each of the years ended December 31, 2021 and 2020, pursuant to the Strategic Alliance Agreement. Additionally, the Company recorded $0 and $130,000 in contract services revenue during the years ended December 31, 2021 and 2020, respectively. The Company also recorded related expenses of $0 and $126,539 in cost of services revenue during the years ended December 31, 2021 and 2020, respectively. Additionally, the Company incurred $408,000 and $0 in chip development expense from Dialog during the years ended December 31, 2021 and 2020, respectively.</w:t>
      </w:r>
    </w:p>
    <w:p>
      <w:pPr>
        <w:spacing w:after="0" w:line="58"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On September 20, 2021, the Company was notified by Dialog, recently acquired by Renesas Electronics Corporation, that it was terminating the strategic alliance agreement between the Company and Dialog.</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Customer Concentration</w:t>
      </w:r>
    </w:p>
    <w:p>
      <w:pPr>
        <w:spacing w:after="0" w:line="13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Three customers accounted for approximately 42% of the Company’s revenue for the year ended December 31, 2021 and three customers accounted for approximately 66% of the Company’s revenue for the year ended December 31, 2020. Four customers accounted for approximately 68% of the Company’s accounts receivable balance as of December 31, 2021. Four customers accounted for approximately 92% of the Company’s accounts receivable balance as of December 31, 2020.</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have established disclosure controls and procedures to ensure that material information relating to us is made known to the officers who certify our financial reports and the board of directors.</w:t>
      </w:r>
    </w:p>
    <w:p>
      <w:pPr>
        <w:spacing w:after="0" w:line="170"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Based on their evaluation as of December 31, 2021, our principal executive and principal financial officers have concluded that these disclosure controls and procedures (as defined in Rules 13a-15(e) and 15d-15(e) under the Exchange Act) were effective as of December 31, 2021 to provide reasonable assurance that information required to be disclosed by us in reports that we file under the Exchange Act is recorded, processed, summarized, and reported, within the time periods specified in Securities and Exchange Commission rules and forms and that material information relating to the Company is accumulated and communicated to management, including our principal executive officer and our principal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120" w:firstLine="589"/>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w:t>
      </w:r>
    </w:p>
    <w:p>
      <w:pPr>
        <w:spacing w:after="0" w:line="196"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w:t>
      </w:r>
    </w:p>
    <w:p>
      <w:pPr>
        <w:spacing w:after="0" w:line="161"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 xml:space="preserve">The Company’s management, under the supervision of and with the participation of the principal executive and principal financial officers, have assessed the effectiveness of the Company’s internal control over financial reporting as of December 31, 2021 based on criteria for effective control over financial reporting described in Internal Control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(2013) created by the Committee of Sponsoring Organizations of the Treadway Commission (COSO). Based on this assessment, the Company’s management concluded that the Company’s internal control over financial reporting was effective as of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For the year ended December 31, 2021, there were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9C. </w:t>
      </w:r>
      <w:hyperlink r:id="rId81">
        <w:r>
          <w:rPr>
            <w:rFonts w:ascii="Arial" w:cs="Arial" w:eastAsia="Arial" w:hAnsi="Arial"/>
            <w:sz w:val="18"/>
            <w:szCs w:val="18"/>
            <w:b w:val="1"/>
            <w:bCs w:val="1"/>
            <w:u w:val="single" w:color="auto"/>
            <w:color w:val="0000EE"/>
          </w:rPr>
          <w:t>Disclosures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Regarding Foreign Jurisdictions That Prevent Inspections.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1" w:right="49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Item 10 will be included in our definitive proxy statement relating to our 2022 Annual Meeting of Stockholders, to be filed no later than 120 days after December 31,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Item 11 will be included in our definitive proxy statement relating to our 2022 Annual Meeting of Stockholders, to be filed no later than 120 days after December 31,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Stockholders Matters.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Item 12 will be included in our definitive proxy statement relating to our 2022 Annual Meeting of Stockholders, to be filed no later than 120 days after December 31,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Item 13 will be included in our definitive proxy statement relating to our 2022 Annual Meeting of Stockholders, to be filed no later than 120 days after December 31, 2021,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information required by Item 14 will be included in our definitive proxy statement relating to our 2022 Annual Meeting of Stockholders, to be filed no later than 120 days after December 31, 2021, and is incorporated herein by reference.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0" w:name="page61"/>
    <w:bookmarkEnd w:id="60"/>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1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Statements (see “Financial Statements and Supplementary Data” at Part II, Item 8 and incorporated herein by reference).</w:t>
      </w:r>
    </w:p>
    <w:p>
      <w:pPr>
        <w:spacing w:after="0" w:line="117"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 (Schedules to the Financial Statements have been omitted because the information required to be set forth therein is not applicable or is shown in the accompanying Financial Statements or notes thereto)</w:t>
      </w:r>
    </w:p>
    <w:p>
      <w:pPr>
        <w:spacing w:after="0" w:line="62" w:lineRule="exact"/>
        <w:rPr>
          <w:rFonts w:ascii="Arial" w:cs="Arial" w:eastAsia="Arial" w:hAnsi="Arial"/>
          <w:sz w:val="18"/>
          <w:szCs w:val="18"/>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37" w:right="5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420" w:type="dxa"/>
            <w:vAlign w:val="bottom"/>
            <w:gridSpan w:val="25"/>
          </w:tcPr>
          <w:p>
            <w:pPr>
              <w:jc w:val="center"/>
              <w:ind w:right="48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420" w:type="dxa"/>
            <w:vAlign w:val="bottom"/>
            <w:gridSpan w:val="25"/>
            <w:vMerge w:val="restart"/>
          </w:tcPr>
          <w:p>
            <w:pPr>
              <w:ind w:left="7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6420" w:type="dxa"/>
            <w:vAlign w:val="bottom"/>
            <w:tcBorders>
              <w:bottom w:val="single" w:sz="8" w:color="auto"/>
            </w:tcBorders>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Second Amended and Restated Certificate of Incorporation of Energous Corporation, as amended (incorporated by reference to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Quarterly Report on Form 10-Q filed on August 10, 2020)</w:t>
              </w:r>
            </w:hyperlink>
          </w:p>
        </w:tc>
        <w:tc>
          <w:tcPr>
            <w:tcW w:w="3920" w:type="dxa"/>
            <w:vAlign w:val="bottom"/>
            <w:tcBorders>
              <w:top w:val="single" w:sz="8" w:color="0000EE"/>
            </w:tcBorders>
            <w:gridSpan w:val="16"/>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9140" w:type="dxa"/>
            <w:vAlign w:val="bottom"/>
            <w:tcBorders>
              <w:bottom w:val="single" w:sz="8" w:color="0000EE"/>
            </w:tcBorders>
            <w:gridSpan w:val="15"/>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Bylaws of Energous Corporation (incorporated by reference to Exhibit 3.1 to Amendment No. 1 to the</w:t>
              </w:r>
            </w:hyperlink>
          </w:p>
        </w:tc>
        <w:tc>
          <w:tcPr>
            <w:tcW w:w="7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Registrant’s Registration Statement on Form S-1/A (File No. 333-193522) filed on March 13, 2014)</w:t>
              </w:r>
            </w:hyperlink>
          </w:p>
        </w:tc>
        <w:tc>
          <w:tcPr>
            <w:tcW w:w="27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24"/>
                <w:szCs w:val="24"/>
                <w:color w:val="auto"/>
              </w:rPr>
            </w:pPr>
          </w:p>
        </w:tc>
        <w:tc>
          <w:tcPr>
            <w:tcW w:w="9240" w:type="dxa"/>
            <w:vAlign w:val="bottom"/>
            <w:tcBorders>
              <w:bottom w:val="single" w:sz="8" w:color="0000EE"/>
            </w:tcBorders>
            <w:gridSpan w:val="16"/>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Specimen Certificate representing shares of common stock of Energous Corporation (incorporated by reference to Exhibit 4.1 to</w:t>
              </w:r>
            </w:hyperlink>
          </w:p>
        </w:tc>
        <w:tc>
          <w:tcPr>
            <w:tcW w:w="6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Amendment No. 2 to the Registrant’s Registration Statement on Form S-1/A (File No. 333-193522) filed on March 21, 2014)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Common Stock Purchase Warrant (incorporated by reference to Exhibit 10.2 to the Registrant’s Quarterly Report on Form 10-Q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May 10, 2019)</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87"/>
              </w:rPr>
              <w:t>4.3</w:t>
            </w:r>
          </w:p>
        </w:tc>
        <w:tc>
          <w:tcPr>
            <w:tcW w:w="160" w:type="dxa"/>
            <w:vAlign w:val="bottom"/>
          </w:tcPr>
          <w:p>
            <w:pPr>
              <w:spacing w:after="0"/>
              <w:rPr>
                <w:sz w:val="24"/>
                <w:szCs w:val="24"/>
                <w:color w:val="auto"/>
              </w:rPr>
            </w:pPr>
          </w:p>
        </w:tc>
        <w:tc>
          <w:tcPr>
            <w:tcW w:w="9660" w:type="dxa"/>
            <w:vAlign w:val="bottom"/>
            <w:tcBorders>
              <w:bottom w:val="single" w:sz="8" w:color="0000EE"/>
            </w:tcBorders>
            <w:gridSpan w:val="22"/>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Description of The Registrant’s Securities Registered Pursuant to Section 12 of the Securities Exchange Act of 1934 (incorporated by</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reference to Exhibit 4.5 to the Registrant’s Annual Report on Form 10-K filed on March 13,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10.1</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5"/>
              </w:rPr>
            </w:pPr>
            <w:hyperlink r:id="rId90">
              <w:r>
                <w:rPr>
                  <w:rFonts w:ascii="Arial" w:cs="Arial" w:eastAsia="Arial" w:hAnsi="Arial"/>
                  <w:sz w:val="18"/>
                  <w:szCs w:val="18"/>
                  <w:color w:val="0000EE"/>
                  <w:w w:val="95"/>
                </w:rPr>
                <w:t>Form of Indemnity Agreement (incorporated by reference to Exhibit 10.1 to the Registrant’s Quarterly Report on Form 10-Q filed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August 10, 2021)*</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10.2</w:t>
            </w:r>
          </w:p>
        </w:tc>
        <w:tc>
          <w:tcPr>
            <w:tcW w:w="160" w:type="dxa"/>
            <w:vAlign w:val="bottom"/>
          </w:tcPr>
          <w:p>
            <w:pPr>
              <w:spacing w:after="0"/>
              <w:rPr>
                <w:sz w:val="24"/>
                <w:szCs w:val="24"/>
                <w:color w:val="auto"/>
              </w:rPr>
            </w:pPr>
          </w:p>
        </w:tc>
        <w:tc>
          <w:tcPr>
            <w:tcW w:w="9760" w:type="dxa"/>
            <w:vAlign w:val="bottom"/>
            <w:tcBorders>
              <w:bottom w:val="single" w:sz="8" w:color="0000EE"/>
            </w:tcBorders>
            <w:gridSpan w:val="25"/>
          </w:tcPr>
          <w:p>
            <w:pPr>
              <w:spacing w:after="0"/>
              <w:rPr>
                <w:rFonts w:ascii="Arial" w:cs="Arial" w:eastAsia="Arial" w:hAnsi="Arial"/>
                <w:sz w:val="18"/>
                <w:szCs w:val="18"/>
                <w:color w:val="0000EE"/>
                <w:w w:val="89"/>
              </w:rPr>
            </w:pPr>
            <w:hyperlink r:id="rId91">
              <w:r>
                <w:rPr>
                  <w:rFonts w:ascii="Arial" w:cs="Arial" w:eastAsia="Arial" w:hAnsi="Arial"/>
                  <w:sz w:val="18"/>
                  <w:szCs w:val="18"/>
                  <w:color w:val="0000EE"/>
                  <w:w w:val="89"/>
                </w:rPr>
                <w:t>Energous Corporation 2013 Equity Incentive Plan, as amended and restated June 16, 2021 (incorporated by reference to Exhibit 10.2 to</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the Registrant’s Quarterly Report on Form 10-Q filed on August 10, 2021)*</w:t>
              </w:r>
            </w:hyperlink>
          </w:p>
        </w:tc>
        <w:tc>
          <w:tcPr>
            <w:tcW w:w="44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10.3</w:t>
            </w:r>
          </w:p>
        </w:tc>
        <w:tc>
          <w:tcPr>
            <w:tcW w:w="160" w:type="dxa"/>
            <w:vAlign w:val="bottom"/>
          </w:tcPr>
          <w:p>
            <w:pPr>
              <w:spacing w:after="0"/>
              <w:rPr>
                <w:sz w:val="24"/>
                <w:szCs w:val="24"/>
                <w:color w:val="auto"/>
              </w:rPr>
            </w:pPr>
          </w:p>
        </w:tc>
        <w:tc>
          <w:tcPr>
            <w:tcW w:w="9720" w:type="dxa"/>
            <w:vAlign w:val="bottom"/>
            <w:tcBorders>
              <w:bottom w:val="single" w:sz="8" w:color="0000EE"/>
            </w:tcBorders>
            <w:gridSpan w:val="23"/>
          </w:tcPr>
          <w:p>
            <w:pPr>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Form of stock option award under 2013 Equity Incentive Plan, as amended and restated on June 16, 2021 (incorporated by reference to</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Exhibit 10.17 to the Registrant’s Registration Statement on Form S-1 (File No. 333-193522) filed on January 24, 2014)*</w:t>
              </w:r>
            </w:hyperlink>
          </w:p>
        </w:tc>
        <w:tc>
          <w:tcPr>
            <w:tcW w:w="12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10.4</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Form of Non-Statutory Option Award (incorporated by reference to Exhibit 10.19 to Amendment No. 1 to the Registrant’s Registration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Statement on Form S-1/A (File No. 333-193522) filed on March 13, 2014)*</w:t>
              </w:r>
            </w:hyperlink>
          </w:p>
        </w:tc>
        <w:tc>
          <w:tcPr>
            <w:tcW w:w="4260" w:type="dxa"/>
            <w:vAlign w:val="bottom"/>
            <w:tcBorders>
              <w:top w:val="single" w:sz="8" w:color="0000EE"/>
            </w:tcBorders>
            <w:gridSpan w:val="16"/>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10.5</w:t>
            </w:r>
          </w:p>
        </w:tc>
        <w:tc>
          <w:tcPr>
            <w:tcW w:w="160" w:type="dxa"/>
            <w:vAlign w:val="bottom"/>
          </w:tcPr>
          <w:p>
            <w:pPr>
              <w:spacing w:after="0"/>
              <w:rPr>
                <w:sz w:val="24"/>
                <w:szCs w:val="24"/>
                <w:color w:val="auto"/>
              </w:rPr>
            </w:pPr>
          </w:p>
        </w:tc>
        <w:tc>
          <w:tcPr>
            <w:tcW w:w="9900" w:type="dxa"/>
            <w:vAlign w:val="bottom"/>
            <w:tcBorders>
              <w:bottom w:val="single" w:sz="8" w:color="0000EE"/>
            </w:tcBorders>
            <w:gridSpan w:val="2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2014 Non-Employee Equity Compensation Plan, as amended and restated May 26, 2020 (incorporated by reference to Exhibit 10.2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Registrant’s Current Report on Form 8-K filed on May 28, 2020)*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10.6</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7"/>
              </w:rPr>
            </w:pPr>
            <w:hyperlink r:id="rId95">
              <w:r>
                <w:rPr>
                  <w:rFonts w:ascii="Arial" w:cs="Arial" w:eastAsia="Arial" w:hAnsi="Arial"/>
                  <w:sz w:val="18"/>
                  <w:szCs w:val="18"/>
                  <w:color w:val="0000EE"/>
                  <w:w w:val="97"/>
                </w:rPr>
                <w:t>Form of stock option award under 2014 Non-Employee Equity Compensation Plan (incorporated by reference to Exhibit 10.22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Amendment No. 2 to the Registrant’s Registration Statement on Form S-1/A (File No. 333-193522) filed on March 21, 2014)*</w:t>
              </w:r>
            </w:hyperlink>
          </w:p>
        </w:tc>
        <w:tc>
          <w:tcPr>
            <w:tcW w:w="200" w:type="dxa"/>
            <w:vAlign w:val="bottom"/>
            <w:tcBorders>
              <w:top w:val="single" w:sz="8" w:color="0000EE"/>
            </w:tcBorders>
            <w:gridSpan w:val="3"/>
          </w:tcPr>
          <w:p>
            <w:pPr>
              <w:spacing w:after="0"/>
              <w:rPr>
                <w:sz w:val="17"/>
                <w:szCs w:val="17"/>
                <w:color w:val="auto"/>
              </w:rPr>
            </w:pPr>
          </w:p>
        </w:tc>
        <w:tc>
          <w:tcPr>
            <w:tcW w:w="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10.7</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Offer Letter effective as of December 6, 2021 between Energous Corporation and Cesar Johnston (incorporated by reference to Exhibit</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Current Report on Form 8-K filed on December 9, 2021)*</w:t>
              </w:r>
            </w:hyperlink>
          </w:p>
        </w:tc>
        <w:tc>
          <w:tcPr>
            <w:tcW w:w="3820" w:type="dxa"/>
            <w:vAlign w:val="bottom"/>
            <w:tcBorders>
              <w:top w:val="single" w:sz="8" w:color="0000EE"/>
            </w:tcBorders>
            <w:gridSpan w:val="14"/>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Form of Restricted Stock Unit Award Agreement effective as of August 14, 2014 between Energous Corporation and Cesar Johnston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(incorporated by reference to Exhibit 10.3 to the Registrant’s Quarterly Report on Form 10-Q filed on November 10, 2014)*</w:t>
              </w:r>
            </w:hyperlink>
          </w:p>
        </w:tc>
        <w:tc>
          <w:tcPr>
            <w:tcW w:w="580" w:type="dxa"/>
            <w:vAlign w:val="bottom"/>
            <w:tcBorders>
              <w:top w:val="single" w:sz="8" w:color="0000EE"/>
            </w:tcBorders>
            <w:gridSpan w:val="8"/>
          </w:tcPr>
          <w:p>
            <w:pPr>
              <w:spacing w:after="0"/>
              <w:rPr>
                <w:sz w:val="17"/>
                <w:szCs w:val="17"/>
                <w:color w:val="auto"/>
              </w:rPr>
            </w:pPr>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10.9</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Energous Corporation Form of Restricted Stock Unit Award Agreement under the 2013 Equity Incentive Plan, as amended and restated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200" w:type="dxa"/>
            <w:vAlign w:val="bottom"/>
            <w:gridSpan w:val="1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29"/>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on June 16, 2021 (incorporated by reference to Exhibit 10.21 to the Registrant’s Annual Report on Form 10-K filed on March 30, 2015)*</w:t>
              </w:r>
            </w:hyperlink>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10.10</w:t>
            </w:r>
          </w:p>
        </w:tc>
        <w:tc>
          <w:tcPr>
            <w:tcW w:w="160" w:type="dxa"/>
            <w:vAlign w:val="bottom"/>
          </w:tcPr>
          <w:p>
            <w:pPr>
              <w:spacing w:after="0"/>
              <w:rPr>
                <w:sz w:val="24"/>
                <w:szCs w:val="24"/>
                <w:color w:val="auto"/>
              </w:rPr>
            </w:pPr>
          </w:p>
        </w:tc>
        <w:tc>
          <w:tcPr>
            <w:tcW w:w="9860" w:type="dxa"/>
            <w:vAlign w:val="bottom"/>
            <w:tcBorders>
              <w:top w:val="single" w:sz="8" w:color="0000EE"/>
            </w:tcBorders>
            <w:gridSpan w:val="27"/>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Form of Inducement Restricted Stock Unit Award Agreement (incorporated by reference to Exhibit 10.22 to the Registrant’s Annual</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Report on Form 10-K filed on March 30, 2015)*</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gridSpan w:val="4"/>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0" w:type="dxa"/>
            <w:vAlign w:val="bottom"/>
            <w:gridSpan w:val="12"/>
          </w:tcPr>
          <w:p>
            <w:pPr>
              <w:spacing w:after="0" w:line="20" w:lineRule="exact"/>
              <w:rPr>
                <w:sz w:val="1"/>
                <w:szCs w:val="1"/>
                <w:color w:val="auto"/>
              </w:rPr>
            </w:pPr>
          </w:p>
        </w:tc>
        <w:tc>
          <w:tcPr>
            <w:tcW w:w="5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10.11</w:t>
            </w:r>
          </w:p>
        </w:tc>
        <w:tc>
          <w:tcPr>
            <w:tcW w:w="160" w:type="dxa"/>
            <w:vAlign w:val="bottom"/>
          </w:tcPr>
          <w:p>
            <w:pPr>
              <w:spacing w:after="0"/>
              <w:rPr>
                <w:sz w:val="24"/>
                <w:szCs w:val="24"/>
                <w:color w:val="auto"/>
              </w:rPr>
            </w:pPr>
          </w:p>
        </w:tc>
        <w:tc>
          <w:tcPr>
            <w:tcW w:w="9920" w:type="dxa"/>
            <w:vAlign w:val="bottom"/>
            <w:gridSpan w:val="29"/>
          </w:tcPr>
          <w:p>
            <w:pPr>
              <w:spacing w:after="0"/>
              <w:rPr>
                <w:rFonts w:ascii="Arial" w:cs="Arial" w:eastAsia="Arial" w:hAnsi="Arial"/>
                <w:sz w:val="18"/>
                <w:szCs w:val="18"/>
                <w:color w:val="0000EE"/>
                <w:w w:val="94"/>
              </w:rPr>
            </w:pPr>
            <w:hyperlink r:id="rId100">
              <w:r>
                <w:rPr>
                  <w:rFonts w:ascii="Arial" w:cs="Arial" w:eastAsia="Arial" w:hAnsi="Arial"/>
                  <w:sz w:val="18"/>
                  <w:szCs w:val="18"/>
                  <w:color w:val="0000EE"/>
                  <w:w w:val="94"/>
                </w:rPr>
                <w:t>Energous Corporation Employee Stock Purchase Plan, as amended June 16, 2021 (incorporated by reference to Exhibit 10.3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Registrant’s Quarterly Report on Form 10-Q filed on August 10, 2021)*</w:t>
              </w:r>
            </w:hyperlink>
          </w:p>
        </w:tc>
        <w:tc>
          <w:tcPr>
            <w:tcW w:w="5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4740" w:type="dxa"/>
            <w:vAlign w:val="bottom"/>
            <w:tcBorders>
              <w:top w:val="single" w:sz="8" w:color="0000EE"/>
            </w:tcBorders>
            <w:gridSpan w:val="4"/>
          </w:tcPr>
          <w:p>
            <w:pPr>
              <w:jc w:val="right"/>
              <w:ind w:right="279"/>
              <w:spacing w:after="0"/>
              <w:rPr>
                <w:sz w:val="20"/>
                <w:szCs w:val="20"/>
                <w:color w:val="auto"/>
              </w:rPr>
            </w:pPr>
            <w:r>
              <w:rPr>
                <w:rFonts w:ascii="Arial" w:cs="Arial" w:eastAsia="Arial" w:hAnsi="Arial"/>
                <w:sz w:val="18"/>
                <w:szCs w:val="18"/>
                <w:color w:val="auto"/>
              </w:rPr>
              <w:t>60</w:t>
            </w:r>
          </w:p>
        </w:tc>
        <w:tc>
          <w:tcPr>
            <w:tcW w:w="4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gridSpan w:val="24"/>
            <w:vMerge w:val="restart"/>
          </w:tcPr>
          <w:p>
            <w:pPr>
              <w:ind w:left="2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900" w:type="dxa"/>
            <w:vAlign w:val="bottom"/>
            <w:tcBorders>
              <w:bottom w:val="single" w:sz="8" w:color="auto"/>
            </w:tcBorders>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10.12</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Energous Corporation Performance Share Unit Plan, as amended June 16, 2021 (incorporated by reference to Exhibit 10.4 to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Registrant’s Quarterly Report on Form 10-Q filed on August 10, 2021)*</w:t>
              </w:r>
            </w:hyperlink>
          </w:p>
        </w:tc>
        <w:tc>
          <w:tcPr>
            <w:tcW w:w="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10.13</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2"/>
              </w:rPr>
            </w:pPr>
            <w:hyperlink r:id="rId104">
              <w:r>
                <w:rPr>
                  <w:rFonts w:ascii="Arial" w:cs="Arial" w:eastAsia="Arial" w:hAnsi="Arial"/>
                  <w:sz w:val="18"/>
                  <w:szCs w:val="18"/>
                  <w:color w:val="0000EE"/>
                  <w:w w:val="92"/>
                </w:rPr>
                <w:t>Energous Corporation Director Compensation Policy (incorporated by reference to Exhibit 10.5 to the Registrant’s Quarterly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Form 10-Q filed on August 13, 2015)</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10.14</w:t>
            </w:r>
          </w:p>
        </w:tc>
        <w:tc>
          <w:tcPr>
            <w:tcW w:w="160" w:type="dxa"/>
            <w:vAlign w:val="bottom"/>
          </w:tcPr>
          <w:p>
            <w:pPr>
              <w:spacing w:after="0"/>
              <w:rPr>
                <w:sz w:val="24"/>
                <w:szCs w:val="24"/>
                <w:color w:val="auto"/>
              </w:rPr>
            </w:pPr>
          </w:p>
        </w:tc>
        <w:tc>
          <w:tcPr>
            <w:tcW w:w="9300" w:type="dxa"/>
            <w:vAlign w:val="bottom"/>
            <w:tcBorders>
              <w:bottom w:val="single" w:sz="8" w:color="0000EE"/>
            </w:tcBorders>
            <w:gridSpan w:val="25"/>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Securities Purchase Agreement between the Company and Dialog Semiconductor plc, dated November 6, 2016 (incorporated by</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reference to Exhibit 10.25 to the Registrant’s Annual Report on Form 10-K filed on March 16, 2017)</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10.15</w:t>
            </w:r>
          </w:p>
        </w:tc>
        <w:tc>
          <w:tcPr>
            <w:tcW w:w="160" w:type="dxa"/>
            <w:vAlign w:val="bottom"/>
          </w:tcPr>
          <w:p>
            <w:pPr>
              <w:spacing w:after="0"/>
              <w:rPr>
                <w:sz w:val="24"/>
                <w:szCs w:val="24"/>
                <w:color w:val="auto"/>
              </w:rPr>
            </w:pPr>
          </w:p>
        </w:tc>
        <w:tc>
          <w:tcPr>
            <w:tcW w:w="9860" w:type="dxa"/>
            <w:vAlign w:val="bottom"/>
            <w:tcBorders>
              <w:bottom w:val="single" w:sz="8" w:color="0000EE"/>
            </w:tcBorders>
            <w:gridSpan w:val="33"/>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Securities Purchase Agreement between the Company and Dialog Semiconductor plc, dated June 28, 2017 (incorporated by reference to</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Exhibit 10.1 to the Registrant’s Quarterly Report on Form 10-Q filed on August 9, 2017)</w:t>
              </w:r>
            </w:hyperlink>
          </w:p>
        </w:tc>
        <w:tc>
          <w:tcPr>
            <w:tcW w:w="35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10.16</w:t>
            </w:r>
          </w:p>
        </w:tc>
        <w:tc>
          <w:tcPr>
            <w:tcW w:w="16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and Restated Warrant to Purchase Common Stock between the Company and Emily T Fairbairn Roth IRA, dated October 6,</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2017 (incorporated by reference to Exhibit 10.27 to the Registrant’s Annual Report on Form 10-K filed on March 16, 2018)</w:t>
              </w:r>
            </w:hyperlink>
          </w:p>
        </w:tc>
        <w:tc>
          <w:tcPr>
            <w:tcW w:w="10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10.17</w:t>
            </w:r>
          </w:p>
        </w:tc>
        <w:tc>
          <w:tcPr>
            <w:tcW w:w="160" w:type="dxa"/>
            <w:vAlign w:val="bottom"/>
          </w:tcPr>
          <w:p>
            <w:pPr>
              <w:spacing w:after="0"/>
              <w:rPr>
                <w:sz w:val="24"/>
                <w:szCs w:val="24"/>
                <w:color w:val="auto"/>
              </w:rPr>
            </w:pPr>
          </w:p>
        </w:tc>
        <w:tc>
          <w:tcPr>
            <w:tcW w:w="9840" w:type="dxa"/>
            <w:vAlign w:val="bottom"/>
            <w:tcBorders>
              <w:bottom w:val="single" w:sz="8" w:color="0000EE"/>
            </w:tcBorders>
            <w:gridSpan w:val="32"/>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Amended and Restated Warrant to Purchase Common Stock between the Company and Malcom P Fairbairn Roth IRA, dated October 6,</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2017 (incorporated by reference to Exhibit 10.28 to the Registrant’s Annual Report on Form 10-K filed on March 16,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10.18</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Energous Corporation 2017 Equity Inducement Plan (incorporated by reference to Exhibit 10.29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Form 10-K filed on March 16, 2018)</w:t>
              </w:r>
            </w:hyperlink>
          </w:p>
        </w:tc>
        <w:tc>
          <w:tcPr>
            <w:tcW w:w="6920" w:type="dxa"/>
            <w:vAlign w:val="bottom"/>
            <w:tcBorders>
              <w:top w:val="single" w:sz="8" w:color="0000EE"/>
            </w:tcBorders>
            <w:gridSpan w:val="21"/>
          </w:tcPr>
          <w:p>
            <w:pPr>
              <w:spacing w:after="0"/>
              <w:rPr>
                <w:sz w:val="17"/>
                <w:szCs w:val="17"/>
                <w:color w:val="auto"/>
              </w:rPr>
            </w:pPr>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10.19</w:t>
            </w:r>
          </w:p>
        </w:tc>
        <w:tc>
          <w:tcPr>
            <w:tcW w:w="160" w:type="dxa"/>
            <w:vAlign w:val="bottom"/>
          </w:tcPr>
          <w:p>
            <w:pPr>
              <w:spacing w:after="0"/>
              <w:rPr>
                <w:sz w:val="24"/>
                <w:szCs w:val="24"/>
                <w:color w:val="auto"/>
              </w:rPr>
            </w:pPr>
          </w:p>
        </w:tc>
        <w:tc>
          <w:tcPr>
            <w:tcW w:w="9720" w:type="dxa"/>
            <w:vAlign w:val="bottom"/>
            <w:tcBorders>
              <w:bottom w:val="single" w:sz="8" w:color="0000EE"/>
            </w:tcBorders>
            <w:gridSpan w:val="29"/>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Offer Letter effective as of October 9, 2014 between Energous Corporation and Neeraj Sahejpal* (incorporated by reference to Exhibit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30</w:t>
              </w:r>
              <w:r>
                <w:rPr>
                  <w:rFonts w:ascii="Arial" w:cs="Arial" w:eastAsia="Arial" w:hAnsi="Arial"/>
                  <w:sz w:val="18"/>
                  <w:szCs w:val="18"/>
                  <w:color w:val="0000EE"/>
                </w:rPr>
                <w:t xml:space="preserve"> to the Registrant’s Annual Report on Form 10-K filed on March 16,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10.20</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Form of Severance and Change in Control Agreement* (incorporated by reference to Exhibit 10.31 to the Registrant’s Annual Report on</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Form 10-K filed on March 16, 2018)</w:t>
              </w:r>
            </w:hyperlink>
          </w:p>
        </w:tc>
        <w:tc>
          <w:tcPr>
            <w:tcW w:w="1280" w:type="dxa"/>
            <w:vAlign w:val="bottom"/>
            <w:tcBorders>
              <w:top w:val="single" w:sz="8" w:color="0000EE"/>
            </w:tcBorders>
            <w:gridSpan w:val="5"/>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tcBorders>
              <w:top w:val="single" w:sz="8" w:color="0000EE"/>
            </w:tcBorders>
            <w:gridSpan w:val="21"/>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10.21</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3"/>
              </w:rPr>
            </w:pPr>
            <w:hyperlink r:id="rId112">
              <w:r>
                <w:rPr>
                  <w:rFonts w:ascii="Arial" w:cs="Arial" w:eastAsia="Arial" w:hAnsi="Arial"/>
                  <w:sz w:val="18"/>
                  <w:szCs w:val="18"/>
                  <w:color w:val="0000EE"/>
                  <w:w w:val="93"/>
                </w:rPr>
                <w:t>Energous Corporation MBO Bonus Plan* (incorporated by reference to Exhibit 10.32 to the Registrant’s Annual Report on Form 10-K</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filed on March 16, 2018)</w:t>
              </w:r>
            </w:hyperlink>
          </w:p>
        </w:tc>
        <w:tc>
          <w:tcPr>
            <w:tcW w:w="40" w:type="dxa"/>
            <w:vAlign w:val="bottom"/>
          </w:tcPr>
          <w:p>
            <w:pPr>
              <w:spacing w:after="0"/>
              <w:rPr>
                <w:sz w:val="17"/>
                <w:szCs w:val="17"/>
                <w:color w:val="auto"/>
              </w:rPr>
            </w:pPr>
          </w:p>
        </w:tc>
        <w:tc>
          <w:tcPr>
            <w:tcW w:w="6660" w:type="dxa"/>
            <w:vAlign w:val="bottom"/>
            <w:tcBorders>
              <w:top w:val="single" w:sz="8" w:color="0000EE"/>
            </w:tcBorders>
            <w:gridSpan w:val="21"/>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10.22</w:t>
            </w:r>
          </w:p>
        </w:tc>
        <w:tc>
          <w:tcPr>
            <w:tcW w:w="160" w:type="dxa"/>
            <w:vAlign w:val="bottom"/>
          </w:tcPr>
          <w:p>
            <w:pPr>
              <w:spacing w:after="0"/>
              <w:rPr>
                <w:sz w:val="24"/>
                <w:szCs w:val="24"/>
                <w:color w:val="auto"/>
              </w:rPr>
            </w:pPr>
          </w:p>
        </w:tc>
        <w:tc>
          <w:tcPr>
            <w:tcW w:w="9800" w:type="dxa"/>
            <w:vAlign w:val="bottom"/>
            <w:tcBorders>
              <w:bottom w:val="single" w:sz="8" w:color="0000EE"/>
            </w:tcBorders>
            <w:gridSpan w:val="31"/>
          </w:tcPr>
          <w:p>
            <w:pPr>
              <w:spacing w:after="0"/>
              <w:rPr>
                <w:rFonts w:ascii="Arial" w:cs="Arial" w:eastAsia="Arial" w:hAnsi="Arial"/>
                <w:sz w:val="18"/>
                <w:szCs w:val="18"/>
                <w:color w:val="0000EE"/>
                <w:w w:val="89"/>
              </w:rPr>
            </w:pPr>
            <w:hyperlink r:id="rId113">
              <w:r>
                <w:rPr>
                  <w:rFonts w:ascii="Arial" w:cs="Arial" w:eastAsia="Arial" w:hAnsi="Arial"/>
                  <w:sz w:val="18"/>
                  <w:szCs w:val="18"/>
                  <w:color w:val="0000EE"/>
                  <w:w w:val="89"/>
                </w:rPr>
                <w:t>Securities Purchase Agreement among Energous Corporation and certain purchaser identified on the signature pages thereto, dated as of</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February 27, 2019 (incorporated by reference to Exhibit 10.1 to the Registrant’s Current Report on Form 8-K filed on February 27,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88"/>
              </w:rPr>
              <w:t>10.23</w:t>
            </w:r>
          </w:p>
        </w:tc>
        <w:tc>
          <w:tcPr>
            <w:tcW w:w="160" w:type="dxa"/>
            <w:vAlign w:val="bottom"/>
          </w:tcPr>
          <w:p>
            <w:pPr>
              <w:spacing w:after="0"/>
              <w:rPr>
                <w:sz w:val="24"/>
                <w:szCs w:val="24"/>
                <w:color w:val="auto"/>
              </w:rPr>
            </w:pPr>
          </w:p>
        </w:tc>
        <w:tc>
          <w:tcPr>
            <w:tcW w:w="9000" w:type="dxa"/>
            <w:vAlign w:val="bottom"/>
            <w:tcBorders>
              <w:bottom w:val="single" w:sz="8" w:color="0000EE"/>
            </w:tcBorders>
            <w:gridSpan w:val="23"/>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Second Amendment to lease dated September 22, 2021 by and between Energous Corporation and the Irvine Company, LLC</w:t>
              </w:r>
            </w:hyperlink>
          </w:p>
        </w:tc>
        <w:tc>
          <w:tcPr>
            <w:tcW w:w="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(incorporated by reference to Exhibit 10.1 to the Registrant’s Current Report on Form 8-K filed on November 15, 2021)</w:t>
              </w:r>
            </w:hyperlink>
          </w:p>
        </w:tc>
        <w:tc>
          <w:tcPr>
            <w:tcW w:w="12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1"/>
              </w:rPr>
              <w:t>21.1</w:t>
            </w:r>
          </w:p>
        </w:tc>
        <w:tc>
          <w:tcPr>
            <w:tcW w:w="160" w:type="dxa"/>
            <w:vAlign w:val="bottom"/>
          </w:tcPr>
          <w:p>
            <w:pPr>
              <w:spacing w:after="0"/>
              <w:rPr>
                <w:sz w:val="24"/>
                <w:szCs w:val="24"/>
                <w:color w:val="auto"/>
              </w:rPr>
            </w:pPr>
          </w:p>
        </w:tc>
        <w:tc>
          <w:tcPr>
            <w:tcW w:w="9920" w:type="dxa"/>
            <w:vAlign w:val="bottom"/>
            <w:gridSpan w:val="35"/>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Subsidiaries of the Registrant (incorporated by reference to Exhibit 21.1 to the Registrant’s Annual Report on Form 10-K filed on March</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40" w:type="dxa"/>
            <w:vAlign w:val="bottom"/>
            <w:gridSpan w:val="2"/>
          </w:tcPr>
          <w:p>
            <w:pPr>
              <w:ind w:left="160"/>
              <w:spacing w:after="0" w:line="19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16, 2018)</w:t>
              </w:r>
            </w:hyperlink>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23.1</w:t>
            </w:r>
          </w:p>
        </w:tc>
        <w:tc>
          <w:tcPr>
            <w:tcW w:w="160" w:type="dxa"/>
            <w:vAlign w:val="bottom"/>
          </w:tcPr>
          <w:p>
            <w:pPr>
              <w:spacing w:after="0"/>
              <w:rPr>
                <w:sz w:val="24"/>
                <w:szCs w:val="24"/>
                <w:color w:val="auto"/>
              </w:rPr>
            </w:pPr>
          </w:p>
        </w:tc>
        <w:tc>
          <w:tcPr>
            <w:tcW w:w="1840" w:type="dxa"/>
            <w:vAlign w:val="bottom"/>
            <w:gridSpan w:val="3"/>
            <w:vMerge w:val="restart"/>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Consent of Marcum LLP</w:t>
              </w:r>
            </w:hyperlink>
          </w:p>
        </w:tc>
        <w:tc>
          <w:tcPr>
            <w:tcW w:w="80" w:type="dxa"/>
            <w:vAlign w:val="bottom"/>
            <w:tcBorders>
              <w:bottom w:val="single" w:sz="8" w:color="0000EE"/>
            </w:tcBorders>
          </w:tcPr>
          <w:p>
            <w:pPr>
              <w:jc w:val="right"/>
              <w:spacing w:after="0"/>
              <w:rPr>
                <w:rFonts w:ascii="Arial" w:cs="Arial" w:eastAsia="Arial" w:hAnsi="Arial"/>
                <w:sz w:val="13"/>
                <w:szCs w:val="13"/>
                <w:color w:val="0000EE"/>
                <w:w w:val="78"/>
              </w:rPr>
            </w:pPr>
            <w:hyperlink w:anchor="page67">
              <w:r>
                <w:rPr>
                  <w:rFonts w:ascii="Arial" w:cs="Arial" w:eastAsia="Arial" w:hAnsi="Arial"/>
                  <w:sz w:val="13"/>
                  <w:szCs w:val="13"/>
                  <w:color w:val="0000EE"/>
                  <w:w w:val="78"/>
                </w:rPr>
                <w:t>+</w:t>
              </w:r>
            </w:hyperlink>
          </w:p>
        </w:tc>
        <w:tc>
          <w:tcPr>
            <w:tcW w:w="1560" w:type="dxa"/>
            <w:vAlign w:val="bottom"/>
            <w:gridSpan w:val="4"/>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3580" w:type="dxa"/>
            <w:vAlign w:val="bottom"/>
            <w:gridSpan w:val="6"/>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4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bottom w:val="single" w:sz="8" w:color="0000EE"/>
            </w:tcBorders>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5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24.1</w:t>
            </w:r>
          </w:p>
        </w:tc>
        <w:tc>
          <w:tcPr>
            <w:tcW w:w="160" w:type="dxa"/>
            <w:vAlign w:val="bottom"/>
          </w:tcPr>
          <w:p>
            <w:pPr>
              <w:spacing w:after="0"/>
              <w:rPr>
                <w:sz w:val="24"/>
                <w:szCs w:val="24"/>
                <w:color w:val="auto"/>
              </w:rPr>
            </w:pPr>
          </w:p>
        </w:tc>
        <w:tc>
          <w:tcPr>
            <w:tcW w:w="3480" w:type="dxa"/>
            <w:vAlign w:val="bottom"/>
            <w:gridSpan w:val="8"/>
            <w:vMerge w:val="restart"/>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Power of Attorney (included on signature page)</w:t>
              </w:r>
            </w:hyperlink>
          </w:p>
        </w:tc>
        <w:tc>
          <w:tcPr>
            <w:tcW w:w="80" w:type="dxa"/>
            <w:vAlign w:val="bottom"/>
            <w:tcBorders>
              <w:bottom w:val="single" w:sz="8" w:color="0000EE"/>
            </w:tcBorders>
          </w:tcPr>
          <w:p>
            <w:pPr>
              <w:jc w:val="right"/>
              <w:spacing w:after="0"/>
              <w:rPr>
                <w:rFonts w:ascii="Arial" w:cs="Arial" w:eastAsia="Arial" w:hAnsi="Arial"/>
                <w:sz w:val="13"/>
                <w:szCs w:val="13"/>
                <w:color w:val="0000EE"/>
                <w:w w:val="78"/>
              </w:rPr>
            </w:pPr>
            <w:hyperlink w:anchor="page66">
              <w:r>
                <w:rPr>
                  <w:rFonts w:ascii="Arial" w:cs="Arial" w:eastAsia="Arial" w:hAnsi="Arial"/>
                  <w:sz w:val="13"/>
                  <w:szCs w:val="13"/>
                  <w:color w:val="0000EE"/>
                  <w:w w:val="78"/>
                </w:rPr>
                <w:t>+</w:t>
              </w:r>
            </w:hyperlink>
          </w:p>
        </w:tc>
        <w:tc>
          <w:tcPr>
            <w:tcW w:w="3580" w:type="dxa"/>
            <w:vAlign w:val="bottom"/>
            <w:gridSpan w:val="6"/>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4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tcBorders>
              <w:bottom w:val="single" w:sz="8" w:color="0000EE"/>
            </w:tcBorders>
            <w:gridSpan w:val="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31.1</w:t>
            </w:r>
          </w:p>
        </w:tc>
        <w:tc>
          <w:tcPr>
            <w:tcW w:w="160" w:type="dxa"/>
            <w:vAlign w:val="bottom"/>
          </w:tcPr>
          <w:p>
            <w:pPr>
              <w:spacing w:after="0"/>
              <w:rPr>
                <w:sz w:val="24"/>
                <w:szCs w:val="24"/>
                <w:color w:val="auto"/>
              </w:rPr>
            </w:pPr>
          </w:p>
        </w:tc>
        <w:tc>
          <w:tcPr>
            <w:tcW w:w="7140" w:type="dxa"/>
            <w:vAlign w:val="bottom"/>
            <w:gridSpan w:val="15"/>
            <w:vMerge w:val="restart"/>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Pursuant to Rule 13a-14(a) or Rule 15d-14(a) of the Securities Exchange Act of 1934</w:t>
              </w:r>
            </w:hyperlink>
          </w:p>
        </w:tc>
        <w:tc>
          <w:tcPr>
            <w:tcW w:w="20" w:type="dxa"/>
            <w:vAlign w:val="bottom"/>
            <w:vMerge w:val="restart"/>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9"/>
                <w:szCs w:val="9"/>
                <w:color w:val="0000EE"/>
                <w:w w:val="75"/>
              </w:rPr>
            </w:pPr>
            <w:hyperlink w:anchor="page68">
              <w:r>
                <w:rPr>
                  <w:rFonts w:ascii="Arial" w:cs="Arial" w:eastAsia="Arial" w:hAnsi="Arial"/>
                  <w:sz w:val="9"/>
                  <w:szCs w:val="9"/>
                  <w:color w:val="0000EE"/>
                  <w:w w:val="75"/>
                </w:rPr>
                <w:t>+</w:t>
              </w:r>
            </w:hyperlink>
          </w:p>
        </w:tc>
        <w:tc>
          <w:tcPr>
            <w:tcW w:w="14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1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31.2</w:t>
            </w:r>
          </w:p>
        </w:tc>
        <w:tc>
          <w:tcPr>
            <w:tcW w:w="160" w:type="dxa"/>
            <w:vAlign w:val="bottom"/>
          </w:tcPr>
          <w:p>
            <w:pPr>
              <w:spacing w:after="0"/>
              <w:rPr>
                <w:sz w:val="24"/>
                <w:szCs w:val="24"/>
                <w:color w:val="auto"/>
              </w:rPr>
            </w:pPr>
          </w:p>
        </w:tc>
        <w:tc>
          <w:tcPr>
            <w:tcW w:w="7140" w:type="dxa"/>
            <w:vAlign w:val="bottom"/>
            <w:gridSpan w:val="15"/>
            <w:vMerge w:val="restart"/>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Pursuant to Rule 13a-14(a) or Rule 15d-14(a) of the Securities Exchange Act of 1934</w:t>
              </w:r>
            </w:hyperlink>
          </w:p>
        </w:tc>
        <w:tc>
          <w:tcPr>
            <w:tcW w:w="20" w:type="dxa"/>
            <w:vAlign w:val="bottom"/>
            <w:vMerge w:val="restart"/>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9"/>
                <w:szCs w:val="9"/>
                <w:color w:val="0000EE"/>
                <w:w w:val="75"/>
              </w:rPr>
            </w:pPr>
            <w:hyperlink w:anchor="page69">
              <w:r>
                <w:rPr>
                  <w:rFonts w:ascii="Arial" w:cs="Arial" w:eastAsia="Arial" w:hAnsi="Arial"/>
                  <w:sz w:val="9"/>
                  <w:szCs w:val="9"/>
                  <w:color w:val="0000EE"/>
                  <w:w w:val="75"/>
                </w:rPr>
                <w:t>+</w:t>
              </w:r>
            </w:hyperlink>
          </w:p>
        </w:tc>
        <w:tc>
          <w:tcPr>
            <w:tcW w:w="1480" w:type="dxa"/>
            <w:vAlign w:val="bottom"/>
            <w:gridSpan w:val="2"/>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12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Borders>
              <w:bottom w:val="single" w:sz="8" w:color="0000EE"/>
            </w:tcBorders>
            <w:gridSpan w:val="15"/>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1160" w:type="dxa"/>
            <w:vAlign w:val="bottom"/>
            <w:vMerge w:val="restart"/>
          </w:tcPr>
          <w:p>
            <w:pPr>
              <w:jc w:val="center"/>
              <w:ind w:left="72"/>
              <w:spacing w:after="0"/>
              <w:rPr>
                <w:sz w:val="20"/>
                <w:szCs w:val="20"/>
                <w:color w:val="auto"/>
              </w:rPr>
            </w:pPr>
            <w:r>
              <w:rPr>
                <w:rFonts w:ascii="Arial" w:cs="Arial" w:eastAsia="Arial" w:hAnsi="Arial"/>
                <w:sz w:val="18"/>
                <w:szCs w:val="18"/>
                <w:color w:val="auto"/>
                <w:w w:val="91"/>
              </w:rPr>
              <w:t>32.1</w:t>
            </w:r>
          </w:p>
        </w:tc>
        <w:tc>
          <w:tcPr>
            <w:tcW w:w="160" w:type="dxa"/>
            <w:vAlign w:val="bottom"/>
          </w:tcPr>
          <w:p>
            <w:pPr>
              <w:spacing w:after="0"/>
              <w:rPr>
                <w:sz w:val="24"/>
                <w:szCs w:val="24"/>
                <w:color w:val="auto"/>
              </w:rPr>
            </w:pPr>
          </w:p>
        </w:tc>
        <w:tc>
          <w:tcPr>
            <w:tcW w:w="8740" w:type="dxa"/>
            <w:vAlign w:val="bottom"/>
            <w:gridSpan w:val="19"/>
            <w:vMerge w:val="restart"/>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Certification Pursuant to 18 U.S.C Section 1350, as Adopted Pursuant to Section 906 of the Sarbanes-Oxley Act of 2002</w:t>
              </w:r>
            </w:hyperlink>
          </w:p>
        </w:tc>
        <w:tc>
          <w:tcPr>
            <w:tcW w:w="60" w:type="dxa"/>
            <w:vAlign w:val="bottom"/>
            <w:tcBorders>
              <w:bottom w:val="single" w:sz="8" w:color="0000EE"/>
            </w:tcBorders>
          </w:tcPr>
          <w:p>
            <w:pPr>
              <w:jc w:val="right"/>
              <w:spacing w:after="0"/>
              <w:rPr>
                <w:rFonts w:ascii="Arial" w:cs="Arial" w:eastAsia="Arial" w:hAnsi="Arial"/>
                <w:sz w:val="9"/>
                <w:szCs w:val="9"/>
                <w:color w:val="0000EE"/>
                <w:w w:val="75"/>
              </w:rPr>
            </w:pPr>
            <w:hyperlink w:anchor="page70">
              <w:r>
                <w:rPr>
                  <w:rFonts w:ascii="Arial" w:cs="Arial" w:eastAsia="Arial" w:hAnsi="Arial"/>
                  <w:sz w:val="9"/>
                  <w:szCs w:val="9"/>
                  <w:color w:val="0000EE"/>
                  <w:w w:val="75"/>
                </w:rPr>
                <w:t>+</w:t>
              </w:r>
            </w:hyperlink>
          </w:p>
        </w:tc>
        <w:tc>
          <w:tcPr>
            <w:tcW w:w="112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1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40" w:type="dxa"/>
            <w:vAlign w:val="bottom"/>
            <w:tcBorders>
              <w:bottom w:val="single" w:sz="8" w:color="0000EE"/>
            </w:tcBorders>
            <w:gridSpan w:val="19"/>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1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9920" w:type="dxa"/>
            <w:vAlign w:val="bottom"/>
            <w:gridSpan w:val="35"/>
          </w:tcPr>
          <w:p>
            <w:pPr>
              <w:spacing w:after="0"/>
              <w:rPr>
                <w:sz w:val="20"/>
                <w:szCs w:val="20"/>
                <w:color w:val="auto"/>
              </w:rPr>
            </w:pPr>
            <w:r>
              <w:rPr>
                <w:rFonts w:ascii="Arial" w:cs="Arial" w:eastAsia="Arial" w:hAnsi="Arial"/>
                <w:sz w:val="18"/>
                <w:szCs w:val="18"/>
                <w:color w:val="auto"/>
              </w:rPr>
              <w:t xml:space="preserve">Inline XBRL Instance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jc w:val="center"/>
              <w:ind w:left="52"/>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9920" w:type="dxa"/>
            <w:vAlign w:val="bottom"/>
            <w:gridSpan w:val="35"/>
          </w:tcPr>
          <w:p>
            <w:pPr>
              <w:spacing w:after="0"/>
              <w:rPr>
                <w:sz w:val="20"/>
                <w:szCs w:val="20"/>
                <w:color w:val="auto"/>
              </w:rPr>
            </w:pPr>
            <w:r>
              <w:rPr>
                <w:rFonts w:ascii="Arial" w:cs="Arial" w:eastAsia="Arial" w:hAnsi="Arial"/>
                <w:sz w:val="18"/>
                <w:szCs w:val="18"/>
                <w:color w:val="auto"/>
              </w:rPr>
              <w:t xml:space="preserve">Inline XBRL Taxonomy Extension Schema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48"/>
        </w:trPr>
        <w:tc>
          <w:tcPr>
            <w:tcW w:w="1160" w:type="dxa"/>
            <w:vAlign w:val="bottom"/>
          </w:tcPr>
          <w:p>
            <w:pPr>
              <w:jc w:val="center"/>
              <w:ind w:left="72"/>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9920" w:type="dxa"/>
            <w:vAlign w:val="bottom"/>
            <w:gridSpan w:val="35"/>
          </w:tcPr>
          <w:p>
            <w:pPr>
              <w:spacing w:after="0"/>
              <w:rPr>
                <w:sz w:val="20"/>
                <w:szCs w:val="20"/>
                <w:color w:val="auto"/>
              </w:rPr>
            </w:pPr>
            <w:r>
              <w:rPr>
                <w:rFonts w:ascii="Arial" w:cs="Arial" w:eastAsia="Arial" w:hAnsi="Arial"/>
                <w:sz w:val="18"/>
                <w:szCs w:val="18"/>
                <w:color w:val="auto"/>
              </w:rPr>
              <w:t xml:space="preserve">Inline XBRL Taxonomy Extension Calculation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15"/>
        </w:trPr>
        <w:tc>
          <w:tcPr>
            <w:tcW w:w="1160" w:type="dxa"/>
            <w:vAlign w:val="bottom"/>
          </w:tcPr>
          <w:p>
            <w:pPr>
              <w:spacing w:after="0"/>
              <w:rPr>
                <w:sz w:val="24"/>
                <w:szCs w:val="24"/>
                <w:color w:val="auto"/>
              </w:rPr>
            </w:pPr>
          </w:p>
        </w:tc>
        <w:tc>
          <w:tcPr>
            <w:tcW w:w="5340" w:type="dxa"/>
            <w:vAlign w:val="bottom"/>
            <w:gridSpan w:val="13"/>
          </w:tcPr>
          <w:p>
            <w:pPr>
              <w:jc w:val="right"/>
              <w:ind w:right="708"/>
              <w:spacing w:after="0"/>
              <w:rPr>
                <w:sz w:val="20"/>
                <w:szCs w:val="20"/>
                <w:color w:val="auto"/>
              </w:rPr>
            </w:pPr>
            <w:r>
              <w:rPr>
                <w:rFonts w:ascii="Arial" w:cs="Arial" w:eastAsia="Arial" w:hAnsi="Arial"/>
                <w:sz w:val="18"/>
                <w:szCs w:val="18"/>
                <w:color w:val="auto"/>
              </w:rPr>
              <w:t>61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-3668395</wp:posOffset>
            </wp:positionV>
            <wp:extent cx="20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2032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-3316605</wp:posOffset>
            </wp:positionV>
            <wp:extent cx="20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9">
                      <a:extLst>
                        <a:ext uri="{28A0092B-C50C-407E-A947-70E740481C1C}"/>
                      </a:extLst>
                    </a:blip>
                    <a:srcRect/>
                    <a:stretch>
                      <a:fillRect/>
                    </a:stretch>
                  </pic:blipFill>
                  <pic:spPr bwMode="auto">
                    <a:xfrm>
                      <a:off x="0" y="0"/>
                      <a:ext cx="2032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9920" w:type="dxa"/>
            <w:vAlign w:val="bottom"/>
            <w:vMerge w:val="restart"/>
          </w:tcPr>
          <w:p>
            <w:pPr>
              <w:ind w:left="42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6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1160" w:type="dxa"/>
            <w:vAlign w:val="bottom"/>
          </w:tcPr>
          <w:p>
            <w:pPr>
              <w:ind w:left="320"/>
              <w:spacing w:after="0"/>
              <w:rPr>
                <w:sz w:val="20"/>
                <w:szCs w:val="20"/>
                <w:color w:val="auto"/>
              </w:rPr>
            </w:pPr>
            <w:r>
              <w:rPr>
                <w:rFonts w:ascii="Arial" w:cs="Arial" w:eastAsia="Arial" w:hAnsi="Arial"/>
                <w:sz w:val="18"/>
                <w:szCs w:val="18"/>
                <w:color w:val="auto"/>
              </w:rPr>
              <w:t>101.DEF</w:t>
            </w:r>
          </w:p>
        </w:tc>
        <w:tc>
          <w:tcPr>
            <w:tcW w:w="10080" w:type="dxa"/>
            <w:vAlign w:val="bottom"/>
            <w:gridSpan w:val="2"/>
          </w:tcPr>
          <w:p>
            <w:pPr>
              <w:ind w:left="160"/>
              <w:spacing w:after="0"/>
              <w:rPr>
                <w:sz w:val="20"/>
                <w:szCs w:val="20"/>
                <w:color w:val="auto"/>
              </w:rPr>
            </w:pPr>
            <w:r>
              <w:rPr>
                <w:rFonts w:ascii="Arial" w:cs="Arial" w:eastAsia="Arial" w:hAnsi="Arial"/>
                <w:sz w:val="18"/>
                <w:szCs w:val="18"/>
                <w:color w:val="auto"/>
              </w:rPr>
              <w:t xml:space="preserve">Inline XBRL Taxonomy Extension Definition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38"/>
        </w:trPr>
        <w:tc>
          <w:tcPr>
            <w:tcW w:w="1160" w:type="dxa"/>
            <w:vAlign w:val="bottom"/>
          </w:tcPr>
          <w:p>
            <w:pPr>
              <w:ind w:left="320"/>
              <w:spacing w:after="0"/>
              <w:rPr>
                <w:sz w:val="20"/>
                <w:szCs w:val="20"/>
                <w:color w:val="auto"/>
              </w:rPr>
            </w:pPr>
            <w:r>
              <w:rPr>
                <w:rFonts w:ascii="Arial" w:cs="Arial" w:eastAsia="Arial" w:hAnsi="Arial"/>
                <w:sz w:val="18"/>
                <w:szCs w:val="18"/>
                <w:color w:val="auto"/>
              </w:rPr>
              <w:t>101.LAB</w:t>
            </w:r>
          </w:p>
        </w:tc>
        <w:tc>
          <w:tcPr>
            <w:tcW w:w="10080" w:type="dxa"/>
            <w:vAlign w:val="bottom"/>
            <w:gridSpan w:val="2"/>
          </w:tcPr>
          <w:p>
            <w:pPr>
              <w:ind w:left="160"/>
              <w:spacing w:after="0"/>
              <w:rPr>
                <w:sz w:val="20"/>
                <w:szCs w:val="20"/>
                <w:color w:val="auto"/>
              </w:rPr>
            </w:pPr>
            <w:r>
              <w:rPr>
                <w:rFonts w:ascii="Arial" w:cs="Arial" w:eastAsia="Arial" w:hAnsi="Arial"/>
                <w:sz w:val="18"/>
                <w:szCs w:val="18"/>
                <w:color w:val="auto"/>
              </w:rPr>
              <w:t xml:space="preserve">Inline XBRL Taxonomy Extension Label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48"/>
        </w:trPr>
        <w:tc>
          <w:tcPr>
            <w:tcW w:w="1160" w:type="dxa"/>
            <w:vAlign w:val="bottom"/>
          </w:tcPr>
          <w:p>
            <w:pPr>
              <w:ind w:left="340"/>
              <w:spacing w:after="0"/>
              <w:rPr>
                <w:sz w:val="20"/>
                <w:szCs w:val="20"/>
                <w:color w:val="auto"/>
              </w:rPr>
            </w:pPr>
            <w:r>
              <w:rPr>
                <w:rFonts w:ascii="Arial" w:cs="Arial" w:eastAsia="Arial" w:hAnsi="Arial"/>
                <w:sz w:val="18"/>
                <w:szCs w:val="18"/>
                <w:color w:val="auto"/>
              </w:rPr>
              <w:t>101.PRE</w:t>
            </w:r>
          </w:p>
        </w:tc>
        <w:tc>
          <w:tcPr>
            <w:tcW w:w="10080" w:type="dxa"/>
            <w:vAlign w:val="bottom"/>
            <w:gridSpan w:val="2"/>
          </w:tcPr>
          <w:p>
            <w:pPr>
              <w:ind w:left="160"/>
              <w:spacing w:after="0"/>
              <w:rPr>
                <w:sz w:val="20"/>
                <w:szCs w:val="20"/>
                <w:color w:val="auto"/>
              </w:rPr>
            </w:pPr>
            <w:r>
              <w:rPr>
                <w:rFonts w:ascii="Arial" w:cs="Arial" w:eastAsia="Arial" w:hAnsi="Arial"/>
                <w:sz w:val="18"/>
                <w:szCs w:val="18"/>
                <w:color w:val="auto"/>
              </w:rPr>
              <w:t xml:space="preserve">Inline XBRL Taxonomy Extension Presentation Linkbase Document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bl>
    <w:p>
      <w:pPr>
        <w:ind w:left="1320" w:hanging="802"/>
        <w:spacing w:after="0"/>
        <w:tabs>
          <w:tab w:leader="none" w:pos="13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 101)</w:t>
      </w:r>
    </w:p>
    <w:p>
      <w:pPr>
        <w:spacing w:after="0" w:line="2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Indicates a management contract or any compensatory plan, contract or arrangement.</w:t>
      </w:r>
    </w:p>
    <w:p>
      <w:pPr>
        <w:spacing w:after="0" w:line="2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80" w:right="60" w:hanging="572"/>
        <w:spacing w:after="0" w:line="26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Registrant has omitted portions of the referenced exhibit and submitted such exhibit separately with a request for confidential treatment under Rule 24b-2 promulgated under the Exchange Act.</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420"/>
              <w:spacing w:after="0"/>
              <w:rPr>
                <w:sz w:val="20"/>
                <w:szCs w:val="20"/>
                <w:color w:val="auto"/>
              </w:rPr>
            </w:pPr>
            <w:r>
              <w:rPr>
                <w:rFonts w:ascii="Arial" w:cs="Arial" w:eastAsia="Arial" w:hAnsi="Arial"/>
                <w:sz w:val="18"/>
                <w:szCs w:val="18"/>
                <w:color w:val="auto"/>
              </w:rPr>
              <w:t>Energous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March 22, 2022</w:t>
            </w:r>
          </w:p>
        </w:tc>
        <w:tc>
          <w:tcPr>
            <w:tcW w:w="3020" w:type="dxa"/>
            <w:vAlign w:val="bottom"/>
          </w:tcPr>
          <w:p>
            <w:pPr>
              <w:ind w:left="24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Cesar Johnston</w:t>
            </w:r>
          </w:p>
        </w:tc>
      </w:t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Cesar Johnston</w:t>
            </w:r>
          </w:p>
        </w:tc>
      </w:tr>
      <w:tr>
        <w:trPr>
          <w:trHeight w:val="230"/>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March 22, 2022</w:t>
            </w:r>
          </w:p>
        </w:tc>
        <w:tc>
          <w:tcPr>
            <w:tcW w:w="3020" w:type="dxa"/>
            <w:vAlign w:val="bottom"/>
          </w:tcPr>
          <w:p>
            <w:pPr>
              <w:ind w:left="242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Mannina</w:t>
            </w:r>
          </w:p>
        </w:tc>
      </w:tr>
      <w:tr>
        <w:trPr>
          <w:trHeight w:val="195"/>
        </w:trPr>
        <w:tc>
          <w:tcPr>
            <w:tcW w:w="36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20" w:type="dxa"/>
            <w:vAlign w:val="bottom"/>
          </w:tcPr>
          <w:p>
            <w:pPr>
              <w:spacing w:after="0" w:line="195" w:lineRule="exact"/>
              <w:rPr>
                <w:sz w:val="20"/>
                <w:szCs w:val="20"/>
                <w:color w:val="auto"/>
              </w:rPr>
            </w:pPr>
            <w:r>
              <w:rPr>
                <w:rFonts w:ascii="Arial" w:cs="Arial" w:eastAsia="Arial" w:hAnsi="Arial"/>
                <w:sz w:val="18"/>
                <w:szCs w:val="18"/>
                <w:color w:val="auto"/>
              </w:rPr>
              <w:t>William Mannina</w:t>
            </w:r>
          </w:p>
        </w:tc>
      </w:tr>
      <w:tr>
        <w:trPr>
          <w:trHeight w:val="216"/>
        </w:trPr>
        <w:tc>
          <w:tcPr>
            <w:tcW w:w="36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5"/>
              </w:rPr>
              <w:t>Acting Chief Financial Officer (Principal Financial Officer and</w:t>
            </w:r>
          </w:p>
        </w:tc>
      </w:tr>
      <w:tr>
        <w:trPr>
          <w:trHeight w:val="230"/>
        </w:trPr>
        <w:tc>
          <w:tcPr>
            <w:tcW w:w="3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648"/>
        </w:trPr>
        <w:tc>
          <w:tcPr>
            <w:tcW w:w="3600" w:type="dxa"/>
            <w:vAlign w:val="bottom"/>
          </w:tcPr>
          <w:p>
            <w:pPr>
              <w:spacing w:after="0"/>
              <w:rPr>
                <w:sz w:val="24"/>
                <w:szCs w:val="24"/>
                <w:color w:val="auto"/>
              </w:rPr>
            </w:pPr>
          </w:p>
        </w:tc>
        <w:tc>
          <w:tcPr>
            <w:tcW w:w="3020" w:type="dxa"/>
            <w:vAlign w:val="bottom"/>
          </w:tcPr>
          <w:p>
            <w:pPr>
              <w:jc w:val="right"/>
              <w:ind w:right="810"/>
              <w:spacing w:after="0"/>
              <w:rPr>
                <w:sz w:val="20"/>
                <w:szCs w:val="20"/>
                <w:color w:val="auto"/>
              </w:rPr>
            </w:pPr>
            <w:r>
              <w:rPr>
                <w:rFonts w:ascii="Arial" w:cs="Arial" w:eastAsia="Arial" w:hAnsi="Arial"/>
                <w:sz w:val="18"/>
                <w:szCs w:val="18"/>
                <w:color w:val="auto"/>
              </w:rPr>
              <w:t>63</w:t>
            </w:r>
          </w:p>
        </w:tc>
        <w:tc>
          <w:tcPr>
            <w:tcW w:w="46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the undersigned officers and directors of Energous Corporation, a Delaware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do hereby constitute and appoint Cesar Johnston and William Mannina</w:t>
      </w:r>
      <w:r>
        <w:rPr>
          <w:rFonts w:ascii="Arial" w:cs="Arial" w:eastAsia="Arial" w:hAnsi="Arial"/>
          <w:sz w:val="17"/>
          <w:szCs w:val="17"/>
          <w:color w:val="212529"/>
        </w:rPr>
        <w:t>, and each of them</w:t>
      </w:r>
      <w:r>
        <w:rPr>
          <w:rFonts w:ascii="Arial" w:cs="Arial" w:eastAsia="Arial" w:hAnsi="Arial"/>
          <w:sz w:val="17"/>
          <w:szCs w:val="17"/>
          <w:color w:val="auto"/>
        </w:rPr>
        <w:t xml:space="preserve"> individually</w:t>
      </w:r>
      <w:r>
        <w:rPr>
          <w:rFonts w:ascii="Arial" w:cs="Arial" w:eastAsia="Arial" w:hAnsi="Arial"/>
          <w:sz w:val="17"/>
          <w:szCs w:val="17"/>
          <w:color w:val="212529"/>
        </w:rPr>
        <w:t>, as his or her true and lawful attorneys-in-fact and</w:t>
      </w:r>
      <w:r>
        <w:rPr>
          <w:rFonts w:ascii="Arial" w:cs="Arial" w:eastAsia="Arial" w:hAnsi="Arial"/>
          <w:sz w:val="17"/>
          <w:szCs w:val="17"/>
          <w:color w:val="auto"/>
        </w:rPr>
        <w:t xml:space="preserve"> </w:t>
      </w:r>
      <w:r>
        <w:rPr>
          <w:rFonts w:ascii="Arial" w:cs="Arial" w:eastAsia="Arial" w:hAnsi="Arial"/>
          <w:sz w:val="17"/>
          <w:szCs w:val="17"/>
          <w:color w:val="212529"/>
        </w:rPr>
        <w:t xml:space="preserve">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w:t>
      </w:r>
      <w:r>
        <w:rPr>
          <w:rFonts w:ascii="Arial" w:cs="Arial" w:eastAsia="Arial" w:hAnsi="Arial"/>
          <w:sz w:val="17"/>
          <w:szCs w:val="17"/>
          <w:color w:val="000000"/>
        </w:rPr>
        <w:t>individually</w:t>
      </w:r>
      <w:r>
        <w:rPr>
          <w:rFonts w:ascii="Arial" w:cs="Arial" w:eastAsia="Arial" w:hAnsi="Arial"/>
          <w:sz w:val="17"/>
          <w:szCs w:val="17"/>
          <w:color w:val="212529"/>
        </w:rPr>
        <w:t>, full power and authority to do and perform each and every act and thing requisite and necessary to be done in connection therewith, as fully to all intents and purposes as he or she might or could do in person, hereby ratifying and confirming that all said attorneys-in-fact and agents, or any of them or their or his or her substitute or substitutes, may lawfully do or cause to be done by virtue hereof.</w:t>
      </w:r>
    </w:p>
    <w:p>
      <w:pPr>
        <w:spacing w:after="0" w:line="176"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tcPr>
          <w:p>
            <w:pPr>
              <w:ind w:left="1680"/>
              <w:spacing w:after="0"/>
              <w:rPr>
                <w:sz w:val="20"/>
                <w:szCs w:val="20"/>
                <w:color w:val="auto"/>
              </w:rPr>
            </w:pPr>
            <w:r>
              <w:rPr>
                <w:rFonts w:ascii="Arial" w:cs="Arial" w:eastAsia="Arial" w:hAnsi="Arial"/>
                <w:sz w:val="14"/>
                <w:szCs w:val="14"/>
                <w:color w:val="auto"/>
              </w:rPr>
              <w:t>Signatures</w:t>
            </w:r>
          </w:p>
        </w:tc>
        <w:tc>
          <w:tcPr>
            <w:tcW w:w="5100" w:type="dxa"/>
            <w:vAlign w:val="bottom"/>
            <w:gridSpan w:val="3"/>
          </w:tcPr>
          <w:p>
            <w:pPr>
              <w:ind w:left="2340"/>
              <w:spacing w:after="0"/>
              <w:rPr>
                <w:sz w:val="20"/>
                <w:szCs w:val="20"/>
                <w:color w:val="auto"/>
              </w:rPr>
            </w:pPr>
            <w:r>
              <w:rPr>
                <w:rFonts w:ascii="Arial" w:cs="Arial" w:eastAsia="Arial" w:hAnsi="Arial"/>
                <w:sz w:val="14"/>
                <w:szCs w:val="14"/>
                <w:color w:val="auto"/>
              </w:rPr>
              <w:t>Title</w:t>
            </w:r>
          </w:p>
        </w:tc>
        <w:tc>
          <w:tcPr>
            <w:tcW w:w="880" w:type="dxa"/>
            <w:vAlign w:val="bottom"/>
          </w:tcPr>
          <w:p>
            <w:pPr>
              <w:spacing w:after="0"/>
              <w:rPr>
                <w:sz w:val="14"/>
                <w:szCs w:val="14"/>
                <w:color w:val="auto"/>
              </w:rPr>
            </w:pPr>
          </w:p>
        </w:tc>
        <w:tc>
          <w:tcPr>
            <w:tcW w:w="7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Date</w:t>
            </w: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Cesar Johnston</w:t>
            </w:r>
          </w:p>
        </w:tc>
        <w:tc>
          <w:tcPr>
            <w:tcW w:w="6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(Principal Executive Officer)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Cesar Johnston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Mannina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Acting Chief Financial Officer (Principal Financial Officer and</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William Mannina</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Daniel Fairfax</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 and Chairman</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Daniel Fairfax</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Reynette Au</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Reynette Au</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Rahul Patel</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Rahul Patel</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Sheryl Wilkerson</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Sheryl Wilkerson</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Kathleen Bayless</w:t>
            </w:r>
          </w:p>
        </w:tc>
        <w:tc>
          <w:tcPr>
            <w:tcW w:w="51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350"/>
              <w:spacing w:after="0"/>
              <w:rPr>
                <w:sz w:val="20"/>
                <w:szCs w:val="20"/>
                <w:color w:val="auto"/>
              </w:rPr>
            </w:pPr>
            <w:r>
              <w:rPr>
                <w:rFonts w:ascii="Arial" w:cs="Arial" w:eastAsia="Arial" w:hAnsi="Arial"/>
                <w:sz w:val="18"/>
                <w:szCs w:val="18"/>
                <w:color w:val="auto"/>
                <w:w w:val="92"/>
              </w:rPr>
              <w:t>March 22, 2022</w:t>
            </w:r>
          </w:p>
        </w:tc>
      </w:tr>
      <w:tr>
        <w:trPr>
          <w:trHeight w:val="224"/>
        </w:trPr>
        <w:tc>
          <w:tcPr>
            <w:tcW w:w="3940" w:type="dxa"/>
            <w:vAlign w:val="bottom"/>
            <w:gridSpan w:val="3"/>
          </w:tcPr>
          <w:p>
            <w:pPr>
              <w:spacing w:after="0"/>
              <w:rPr>
                <w:sz w:val="20"/>
                <w:szCs w:val="20"/>
                <w:color w:val="auto"/>
              </w:rPr>
            </w:pPr>
            <w:r>
              <w:rPr>
                <w:rFonts w:ascii="Arial" w:cs="Arial" w:eastAsia="Arial" w:hAnsi="Arial"/>
                <w:sz w:val="18"/>
                <w:szCs w:val="18"/>
                <w:color w:val="auto"/>
              </w:rPr>
              <w:t>Kathleen Bayless</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553"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consent to the incorporation by reference in the Registration Statement of Energous Corporation on Forms S-3 (No. 333-226739, 333-248832 and 333-261087) and Forms S-8 (No. 333-196360, 333-204690</w:t>
      </w:r>
      <w:r>
        <w:rPr>
          <w:rFonts w:ascii="Arial" w:cs="Arial" w:eastAsia="Arial" w:hAnsi="Arial"/>
          <w:sz w:val="17"/>
          <w:szCs w:val="17"/>
          <w:color w:val="auto"/>
        </w:rPr>
        <w:t>,</w:t>
      </w:r>
      <w:r>
        <w:rPr>
          <w:rFonts w:ascii="Arial" w:cs="Arial" w:eastAsia="Arial" w:hAnsi="Arial"/>
          <w:sz w:val="19"/>
          <w:szCs w:val="19"/>
          <w:color w:val="auto"/>
        </w:rPr>
        <w:t xml:space="preserve"> 333-214785</w:t>
      </w:r>
      <w:r>
        <w:rPr>
          <w:rFonts w:ascii="Arial" w:cs="Arial" w:eastAsia="Arial" w:hAnsi="Arial"/>
          <w:sz w:val="17"/>
          <w:szCs w:val="17"/>
          <w:color w:val="auto"/>
        </w:rPr>
        <w:t>,</w:t>
      </w:r>
      <w:r>
        <w:rPr>
          <w:rFonts w:ascii="Arial" w:cs="Arial" w:eastAsia="Arial" w:hAnsi="Arial"/>
          <w:sz w:val="19"/>
          <w:szCs w:val="19"/>
          <w:color w:val="auto"/>
        </w:rPr>
        <w:t xml:space="preserve"> 333-223747</w:t>
      </w:r>
      <w:r>
        <w:rPr>
          <w:rFonts w:ascii="Arial" w:cs="Arial" w:eastAsia="Arial" w:hAnsi="Arial"/>
          <w:sz w:val="17"/>
          <w:szCs w:val="17"/>
          <w:color w:val="auto"/>
        </w:rPr>
        <w:t>,</w:t>
      </w:r>
      <w:r>
        <w:rPr>
          <w:rFonts w:ascii="Arial" w:cs="Arial" w:eastAsia="Arial" w:hAnsi="Arial"/>
          <w:sz w:val="19"/>
          <w:szCs w:val="19"/>
          <w:color w:val="auto"/>
        </w:rPr>
        <w:t xml:space="preserve"> 333-225396, 333-248536 and 333-259621) of our report dated March 22, 2022 with respect to our audits of the financial statements of Energous Corporation as of December 31, 2021 and 2020 and for the years ended December 31, 2021 and 2020</w:t>
      </w:r>
      <w:r>
        <w:rPr>
          <w:rFonts w:ascii="Arial" w:cs="Arial" w:eastAsia="Arial" w:hAnsi="Arial"/>
          <w:sz w:val="19"/>
          <w:szCs w:val="19"/>
          <w:b w:val="1"/>
          <w:bCs w:val="1"/>
          <w:color w:val="auto"/>
        </w:rPr>
        <w:t>,</w:t>
      </w:r>
      <w:r>
        <w:rPr>
          <w:rFonts w:ascii="Arial" w:cs="Arial" w:eastAsia="Arial" w:hAnsi="Arial"/>
          <w:sz w:val="19"/>
          <w:szCs w:val="19"/>
          <w:color w:val="auto"/>
        </w:rPr>
        <w:t xml:space="preserve"> which report is included in this Annual Report on Form 10-K of Energous Corporation for the year ended December 31, 2021.</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Marcum </w:t>
      </w:r>
      <w:r>
        <w:rPr>
          <w:rFonts w:ascii="Arial" w:cs="Arial" w:eastAsia="Arial" w:hAnsi="Arial"/>
          <w:sz w:val="14"/>
          <w:szCs w:val="14"/>
          <w:color w:val="auto"/>
        </w:rPr>
        <w:t>LLP</w:t>
      </w:r>
    </w:p>
    <w:p>
      <w:pPr>
        <w:spacing w:after="0" w:line="238" w:lineRule="auto"/>
        <w:rPr>
          <w:sz w:val="20"/>
          <w:szCs w:val="20"/>
          <w:color w:val="auto"/>
        </w:rPr>
      </w:pPr>
      <w:r>
        <w:rPr>
          <w:rFonts w:ascii="Arial" w:cs="Arial" w:eastAsia="Arial" w:hAnsi="Arial"/>
          <w:sz w:val="22"/>
          <w:szCs w:val="22"/>
          <w:color w:val="auto"/>
        </w:rPr>
        <w:t>Melville, NY</w:t>
      </w:r>
    </w:p>
    <w:p>
      <w:pPr>
        <w:spacing w:after="0"/>
        <w:rPr>
          <w:sz w:val="20"/>
          <w:szCs w:val="20"/>
          <w:color w:val="auto"/>
        </w:rPr>
      </w:pPr>
      <w:r>
        <w:rPr>
          <w:rFonts w:ascii="Arial" w:cs="Arial" w:eastAsia="Arial" w:hAnsi="Arial"/>
          <w:sz w:val="22"/>
          <w:szCs w:val="22"/>
          <w:color w:val="auto"/>
        </w:rPr>
        <w:t>March 22, 2022</w:t>
      </w:r>
    </w:p>
    <w:p>
      <w:pPr>
        <w:sectPr>
          <w:pgSz w:w="11900" w:h="16838" w:orient="portrait"/>
          <w:cols w:equalWidth="0" w:num="1">
            <w:col w:w="11240"/>
          </w:cols>
          <w:pgMar w:left="320" w:top="97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Cesar Johnston, certify that:</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Energous Corporation;</w:t>
      </w:r>
    </w:p>
    <w:p>
      <w:pPr>
        <w:spacing w:after="0" w:line="130"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60" w:right="320" w:hanging="452"/>
        <w:spacing w:after="0" w:line="26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Cesar Johnston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Mannina, certify that:</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Energous Corporation;</w:t>
      </w:r>
    </w:p>
    <w:p>
      <w:pPr>
        <w:spacing w:after="0" w:line="130" w:lineRule="exact"/>
        <w:rPr>
          <w:rFonts w:ascii="Arial" w:cs="Arial" w:eastAsia="Arial" w:hAnsi="Arial"/>
          <w:sz w:val="18"/>
          <w:szCs w:val="18"/>
          <w:color w:val="auto"/>
        </w:rPr>
      </w:pPr>
    </w:p>
    <w:p>
      <w:pPr>
        <w:jc w:val="both"/>
        <w:ind w:left="460" w:right="32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460" w:right="320" w:hanging="452"/>
        <w:spacing w:after="0" w:line="26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900" w:right="14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00" w:right="44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00" w:right="620" w:hanging="447"/>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120" w:hanging="447"/>
        <w:spacing w:after="0" w:line="263"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4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540" w:hanging="447"/>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William Mannina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William Mannina</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Title: Acting Chief Financial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In connection with the Annual Report of Energous Corporation (the “Company”) on Form 10-K for the year ended December 31, 2021 as filed with the Securities and Exchange Commission on the date hereof (the “Report”), we, Cesar Johnston, Chief Executive Officer of the Company, and William Mannina, Acting Chief Financial Officer of the Company, certify, pursuant to 18 U.S.C. § 1350, as adopted pursuant to § 906 of the Sarbanes-Oxley Act of 2002, that:</w:t>
      </w:r>
    </w:p>
    <w:p>
      <w:pPr>
        <w:spacing w:after="0" w:line="92" w:lineRule="exact"/>
        <w:rPr>
          <w:sz w:val="20"/>
          <w:szCs w:val="20"/>
          <w:color w:val="auto"/>
        </w:rPr>
      </w:pPr>
    </w:p>
    <w:p>
      <w:pPr>
        <w:ind w:left="900" w:hanging="447"/>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680" w:hanging="447"/>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Energous Corporation and will be retained by Energous Corporation and furnished to the Securities and Exchange Commission or its staff upon request.</w:t>
      </w:r>
    </w:p>
    <w:p>
      <w:pPr>
        <w:sectPr>
          <w:pgSz w:w="11900" w:h="16838" w:orient="portrait"/>
          <w:cols w:equalWidth="0" w:num="1">
            <w:col w:w="11240"/>
          </w:cols>
          <w:pgMar w:left="320" w:top="337" w:right="339" w:bottom="1440" w:gutter="0" w:footer="0" w:header="0"/>
        </w:sect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Cesar Johnston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color w:val="auto"/>
              </w:rPr>
              <w:t>Cesar Johnston</w:t>
            </w:r>
          </w:p>
        </w:tc>
      </w:tr>
      <w:tr>
        <w:trPr>
          <w:trHeight w:val="22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100"/>
              <w:spacing w:after="0"/>
              <w:rPr>
                <w:sz w:val="20"/>
                <w:szCs w:val="20"/>
                <w:color w:val="auto"/>
              </w:rPr>
            </w:pPr>
            <w:r>
              <w:rPr>
                <w:rFonts w:ascii="Arial" w:cs="Arial" w:eastAsia="Arial" w:hAnsi="Arial"/>
                <w:sz w:val="18"/>
                <w:szCs w:val="18"/>
                <w:color w:val="auto"/>
              </w:rPr>
              <w:t>March 22, 2022</w:t>
            </w:r>
          </w:p>
        </w:tc>
      </w:tr>
    </w:tbl>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William Mannina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color w:val="auto"/>
              </w:rPr>
              <w:t>Name:</w:t>
            </w:r>
          </w:p>
        </w:tc>
        <w:tc>
          <w:tcPr>
            <w:tcW w:w="480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color w:val="auto"/>
              </w:rPr>
              <w:t>William Mannina</w:t>
            </w:r>
          </w:p>
        </w:tc>
      </w:tr>
      <w:tr>
        <w:trPr>
          <w:trHeight w:val="220"/>
        </w:trPr>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800" w:type="dxa"/>
            <w:vAlign w:val="bottom"/>
          </w:tcPr>
          <w:p>
            <w:pPr>
              <w:ind w:left="80"/>
              <w:spacing w:after="0"/>
              <w:rPr>
                <w:sz w:val="20"/>
                <w:szCs w:val="20"/>
                <w:color w:val="auto"/>
              </w:rPr>
            </w:pPr>
            <w:r>
              <w:rPr>
                <w:rFonts w:ascii="Arial" w:cs="Arial" w:eastAsia="Arial" w:hAnsi="Arial"/>
                <w:sz w:val="14"/>
                <w:szCs w:val="14"/>
                <w:color w:val="auto"/>
              </w:rPr>
              <w:t>Acting Chief Financial Officer</w:t>
            </w:r>
          </w:p>
        </w:tc>
      </w:tr>
      <w:tr>
        <w:trPr>
          <w:trHeight w:val="230"/>
        </w:trPr>
        <w:tc>
          <w:tcPr>
            <w:tcW w:w="680" w:type="dxa"/>
            <w:vAlign w:val="bottom"/>
          </w:tcPr>
          <w:p>
            <w:pPr>
              <w:ind w:left="100"/>
              <w:spacing w:after="0"/>
              <w:rPr>
                <w:sz w:val="20"/>
                <w:szCs w:val="20"/>
                <w:color w:val="auto"/>
              </w:rPr>
            </w:pPr>
            <w:r>
              <w:rPr>
                <w:rFonts w:ascii="Arial" w:cs="Arial" w:eastAsia="Arial" w:hAnsi="Arial"/>
                <w:sz w:val="18"/>
                <w:szCs w:val="18"/>
                <w:color w:val="auto"/>
              </w:rPr>
              <w:t>Date:</w:t>
            </w:r>
          </w:p>
        </w:tc>
        <w:tc>
          <w:tcPr>
            <w:tcW w:w="4800" w:type="dxa"/>
            <w:vAlign w:val="bottom"/>
          </w:tcPr>
          <w:p>
            <w:pPr>
              <w:ind w:left="80"/>
              <w:spacing w:after="0"/>
              <w:rPr>
                <w:sz w:val="20"/>
                <w:szCs w:val="20"/>
                <w:color w:val="auto"/>
              </w:rPr>
            </w:pPr>
            <w:r>
              <w:rPr>
                <w:rFonts w:ascii="Arial" w:cs="Arial" w:eastAsia="Arial" w:hAnsi="Arial"/>
                <w:sz w:val="18"/>
                <w:szCs w:val="18"/>
                <w:color w:val="auto"/>
              </w:rPr>
              <w:t>March 22, 2022</w:t>
            </w:r>
          </w:p>
        </w:tc>
      </w:tr>
    </w:tbl>
    <w:p>
      <w:pPr>
        <w:spacing w:after="0" w:line="1" w:lineRule="exact"/>
        <w:rPr>
          <w:sz w:val="20"/>
          <w:szCs w:val="20"/>
          <w:color w:val="auto"/>
        </w:rPr>
      </w:pPr>
    </w:p>
    <w:sectPr>
      <w:pgSz w:w="11900" w:h="16838" w:orient="portrait"/>
      <w:cols w:equalWidth="0" w:num="2">
        <w:col w:w="5320" w:space="440"/>
        <w:col w:w="5480"/>
      </w:cols>
      <w:pgMar w:left="320" w:top="33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119" Type="http://schemas.openxmlformats.org/officeDocument/2006/relationships/image" Target="media/image82.png"/><Relationship Id="rId120" Type="http://schemas.openxmlformats.org/officeDocument/2006/relationships/image" Target="media/image83.png"/><Relationship Id="rId121" Type="http://schemas.openxmlformats.org/officeDocument/2006/relationships/image" Target="media/image84.png"/><Relationship Id="rId12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81" Type="http://schemas.openxmlformats.org/officeDocument/2006/relationships/hyperlink" Target="https://www.sec.gov/ix?doc=/Archives/edgar/data/1679363/000167936322000010/morf-20211231.htm#if9328197b99e46ad968879cffa507d0b_1514" TargetMode="External"/><Relationship Id="rId85" Type="http://schemas.openxmlformats.org/officeDocument/2006/relationships/hyperlink" Target="http://www.sec.gov/Archives/edgar/data/1575793/000156459020038993/watt-ex31_26.htm" TargetMode="External"/><Relationship Id="rId86" Type="http://schemas.openxmlformats.org/officeDocument/2006/relationships/hyperlink" Target="http://www.sec.gov/Archives/edgar/data/1575793/000114420414015276/v371366_ex3-2.htm" TargetMode="External"/><Relationship Id="rId87" Type="http://schemas.openxmlformats.org/officeDocument/2006/relationships/hyperlink" Target="http://www.sec.gov/Archives/edgar/data/1575793/000114420414017157/v372345_ex4-1.htm" TargetMode="External"/><Relationship Id="rId88" Type="http://schemas.openxmlformats.org/officeDocument/2006/relationships/hyperlink" Target="http://www.sec.gov/Archives/edgar/data/1575793/000156459019018605/watt-ex102_82.htm" TargetMode="External"/><Relationship Id="rId89" Type="http://schemas.openxmlformats.org/officeDocument/2006/relationships/hyperlink" Target="http://www.sec.gov/Archives/edgar/data/0001575793/000156459020010876/watt-ex45_102.htm" TargetMode="External"/><Relationship Id="rId90" Type="http://schemas.openxmlformats.org/officeDocument/2006/relationships/hyperlink" Target="http://www.sec.gov/Archives/edgar/data/1575793/000156459021043164/watt-ex101_30.htm" TargetMode="External"/><Relationship Id="rId91" Type="http://schemas.openxmlformats.org/officeDocument/2006/relationships/hyperlink" Target="http://www.sec.gov/Archives/edgar/data/0001575793/000119312520154300/d863289dex101.htm" TargetMode="External"/><Relationship Id="rId92" Type="http://schemas.openxmlformats.org/officeDocument/2006/relationships/hyperlink" Target="http://www.sec.gov/Archives/edgar/data/1575793/000114420414003741/v366062_ex10-17.htm" TargetMode="External"/><Relationship Id="rId93" Type="http://schemas.openxmlformats.org/officeDocument/2006/relationships/hyperlink" Target="http://www.sec.gov/Archives/edgar/data/1575793/000114420414015276/v371366_ex10-19.htm" TargetMode="External"/><Relationship Id="rId94" Type="http://schemas.openxmlformats.org/officeDocument/2006/relationships/hyperlink" Target="http://www.sec.gov/Archives/edgar/data/0001575793/000119312520154300/d863289dex102.htm" TargetMode="External"/><Relationship Id="rId95" Type="http://schemas.openxmlformats.org/officeDocument/2006/relationships/hyperlink" Target="http://www.sec.gov/Archives/edgar/data/1575793/000114420414017157/v372345_ex10-22.htm" TargetMode="External"/><Relationship Id="rId96" Type="http://schemas.openxmlformats.org/officeDocument/2006/relationships/hyperlink" Target="http://www.sec.gov/Archives/edgar/data/1575793/000119312521352765/d297628dex101.htm" TargetMode="External"/><Relationship Id="rId97" Type="http://schemas.openxmlformats.org/officeDocument/2006/relationships/hyperlink" Target="http://www.sec.gov/Archives/edgar/data/1575793/000114420414066679/v392488_ex10-3.htm" TargetMode="External"/><Relationship Id="rId98" Type="http://schemas.openxmlformats.org/officeDocument/2006/relationships/hyperlink" Target="http://www.sec.gov/Archives/edgar/data/1575793/000114420415019501/v404728_ex10-21.htm" TargetMode="External"/><Relationship Id="rId99" Type="http://schemas.openxmlformats.org/officeDocument/2006/relationships/hyperlink" Target="http://www.sec.gov/Archives/edgar/data/1575793/000114420415019501/v404728_ex10-22.htm" TargetMode="External"/><Relationship Id="rId100" Type="http://schemas.openxmlformats.org/officeDocument/2006/relationships/hyperlink" Target="http://www.sec.gov/Archives/edgar/data/0001575793/000119312520154300/d863289dex103.htm" TargetMode="External"/><Relationship Id="rId103" Type="http://schemas.openxmlformats.org/officeDocument/2006/relationships/hyperlink" Target="http://www.sec.gov/Archives/edgar/data/0001575793/000119312520154300/d863289dex104.htm" TargetMode="External"/><Relationship Id="rId104" Type="http://schemas.openxmlformats.org/officeDocument/2006/relationships/hyperlink" Target="http://www.sec.gov/Archives/edgar/data/1575793/000114420415049112/v416807_ex10-5.htm" TargetMode="External"/><Relationship Id="rId105" Type="http://schemas.openxmlformats.org/officeDocument/2006/relationships/hyperlink" Target="http://www.sec.gov/Archives/edgar/data/1575793/000114420417015126/v460994_ex10-25.htm" TargetMode="External"/><Relationship Id="rId106" Type="http://schemas.openxmlformats.org/officeDocument/2006/relationships/hyperlink" Target="http://www.sec.gov/Archives/edgar/data/1575793/000114420417041697/v471469_ex10-1.htm" TargetMode="External"/><Relationship Id="rId107" Type="http://schemas.openxmlformats.org/officeDocument/2006/relationships/hyperlink" Target="http://www.sec.gov/Archives/edgar/data/1575793/000119312518086072/d528824dex1027.htm" TargetMode="External"/><Relationship Id="rId108" Type="http://schemas.openxmlformats.org/officeDocument/2006/relationships/hyperlink" Target="http://www.sec.gov/Archives/edgar/data/1575793/000119312518086072/d528824dex1028.htm" TargetMode="External"/><Relationship Id="rId109" Type="http://schemas.openxmlformats.org/officeDocument/2006/relationships/hyperlink" Target="http://www.sec.gov/Archives/edgar/data/1575793/000119312518086072/d528824dex1029.htm" TargetMode="External"/><Relationship Id="rId110" Type="http://schemas.openxmlformats.org/officeDocument/2006/relationships/hyperlink" Target="http://www.sec.gov/Archives/edgar/data/1575793/000119312518086072/d528824dex1030.htm" TargetMode="External"/><Relationship Id="rId111" Type="http://schemas.openxmlformats.org/officeDocument/2006/relationships/hyperlink" Target="http://www.sec.gov/Archives/edgar/data/1575793/000119312518086072/d528824dex1031.htm" TargetMode="External"/><Relationship Id="rId112" Type="http://schemas.openxmlformats.org/officeDocument/2006/relationships/hyperlink" Target="http://www.sec.gov/Archives/edgar/data/1575793/000119312518086072/d528824dex1032.htm" TargetMode="External"/><Relationship Id="rId113" Type="http://schemas.openxmlformats.org/officeDocument/2006/relationships/hyperlink" Target="http://www.sec.gov/Archives/edgar/data/1575793/000119312519052730/d714750dex101.htm" TargetMode="External"/><Relationship Id="rId114" Type="http://schemas.openxmlformats.org/officeDocument/2006/relationships/hyperlink" Target="http://www.sec.gov/Archives/edgar/data/0001575793/000156459021057041/watt-ex101_85.htm" TargetMode="External"/><Relationship Id="rId115" Type="http://schemas.openxmlformats.org/officeDocument/2006/relationships/hyperlink" Target="http://www.sec.gov/Archives/edgar/data/1575793/000119312518086072/d52882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2022-03-23T05:15:00Z</dcterms:created>
  <dcterms:modified xsi:type="dcterms:W3CDTF">2022-03-23T05:15:00Z</dcterms:modified>
</cp:coreProperties>
</file>