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tt-20240930x10q.htm"/>
        <w:bookmarkStart w:id="1" w:name="kswatt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bookmarkStart w:id="2" w:name="_c056dd77_a482_47e2_b46f_d5dcdd477a90"/>
      <w:bookmarkEnd w:id="2"/>
      <w:r>
        <w:rP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10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100"/>
        <w:ind w:left="0" w:right="0" w:hanging="0"/>
        <w:jc w:val="center"/>
        <w:rPr>
          <w:rFonts w:ascii="Times New Roman;Times;serif" w:hAnsi="Times New Roman;Times;serif"/>
          <w:b/>
          <w:sz w:val="34"/>
        </w:rPr>
      </w:pPr>
      <w:r>
        <w:rPr>
          <w:rFonts w:ascii="Times New Roman;Times;serif" w:hAnsi="Times New Roman;Times;serif"/>
          <w:b/>
          <w:sz w:val="34"/>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p>
      <w:pPr>
        <w:pStyle w:val="Normal"/>
        <w:bidi w:val="0"/>
        <w:spacing w:before="0" w:after="0"/>
        <w:jc w:val="left"/>
        <w:rPr>
          <w:sz w:val="4"/>
          <w:szCs w:val="4"/>
        </w:rPr>
      </w:pPr>
      <w:r>
        <w:rPr>
          <w:sz w:val="4"/>
          <w:szCs w:val="4"/>
        </w:rPr>
      </w:r>
      <w:bookmarkStart w:id="3" w:name="Tc_A3QWMb3F-EODkw3jdQr07w_1_1"/>
      <w:bookmarkStart w:id="4" w:name="_007a1084_f453_40de_a1c1_d1ad9cac1790"/>
      <w:bookmarkStart w:id="5" w:name="Tc_A3QWMb3F-EODkw3jdQr07w_1_1"/>
      <w:bookmarkStart w:id="6" w:name="_007a1084_f453_40de_a1c1_d1ad9cac1790"/>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269990" cy="175260"/>
                      <wp:effectExtent l="0" t="0" r="0" b="0"/>
                      <wp:wrapNone/>
                      <wp:docPr id="2" name="Frame2"/>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SEPTEMBER 30, 2024</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Normal"/>
        <w:bidi w:val="0"/>
        <w:spacing w:before="0" w:after="0"/>
        <w:jc w:val="left"/>
        <w:rPr>
          <w:sz w:val="4"/>
          <w:szCs w:val="4"/>
        </w:rPr>
      </w:pPr>
      <w:r>
        <w:rPr>
          <w:sz w:val="4"/>
          <w:szCs w:val="4"/>
        </w:rPr>
      </w:r>
      <w:bookmarkStart w:id="7" w:name="Tc_KyPGrueNrEGEoTtegejJMA_1_1"/>
      <w:bookmarkStart w:id="8" w:name="_b972f4ff_5743_4acf_8d33_d71b2b731219"/>
      <w:bookmarkStart w:id="9" w:name="Tc_KyPGrueNrEGEoTtegejJMA_1_1"/>
      <w:bookmarkStart w:id="10" w:name="_b972f4ff_5743_4acf_8d33_d71b2b731219"/>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175260"/>
                      <wp:effectExtent l="0" t="0" r="0" b="0"/>
                      <wp:wrapNone/>
                      <wp:docPr id="3" name="Frame3"/>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269990" cy="175260"/>
                      <wp:effectExtent l="0" t="0" r="0" b="0"/>
                      <wp:wrapNone/>
                      <wp:docPr id="4" name="Frame4"/>
                      <a:graphic xmlns:a="http://schemas.openxmlformats.org/drawingml/2006/main">
                        <a:graphicData uri="http://schemas.microsoft.com/office/word/2010/wordprocessingShape">
                          <wps:wsp>
                            <wps:cNvSpPr txBox="1"/>
                            <wps:spPr>
                              <a:xfrm>
                                <a:off x="0" y="0"/>
                                <a:ext cx="6269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4488180" cy="117348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488180" cy="117348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001-36379</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ENERGOUS CORPORATION</w:t>
      </w:r>
    </w:p>
    <w:p>
      <w:pPr>
        <w:pStyle w:val="TextBody"/>
        <w:bidi w:val="0"/>
        <w:spacing w:before="0" w:after="10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Normal"/>
        <w:bidi w:val="0"/>
        <w:spacing w:before="0" w:after="0"/>
        <w:jc w:val="left"/>
        <w:rPr>
          <w:sz w:val="4"/>
          <w:szCs w:val="4"/>
        </w:rPr>
      </w:pPr>
      <w:r>
        <w:rPr>
          <w:sz w:val="4"/>
          <w:szCs w:val="4"/>
        </w:rPr>
      </w:r>
      <w:bookmarkStart w:id="11" w:name="Tc_a8zVof5wA0CR_QZez2hRoQ_2_2"/>
      <w:bookmarkStart w:id="12" w:name="Tc_4TT3dmbitEGSBnvUy7GXSw_2_0"/>
      <w:bookmarkStart w:id="13" w:name="_719d9bd9_da18_4a41_9310_34351f1d08cb"/>
      <w:bookmarkStart w:id="14" w:name="Tc_a8zVof5wA0CR_QZez2hRoQ_2_2"/>
      <w:bookmarkStart w:id="15" w:name="Tc_4TT3dmbitEGSBnvUy7GXSw_2_0"/>
      <w:bookmarkStart w:id="16" w:name="_719d9bd9_da18_4a41_9310_34351f1d08cb"/>
      <w:bookmarkEnd w:id="14"/>
      <w:bookmarkEnd w:id="15"/>
      <w:bookmarkEnd w:id="16"/>
    </w:p>
    <w:tbl>
      <w:tblPr>
        <w:tblW w:w="4798" w:type="dxa"/>
        <w:jc w:val="left"/>
        <w:tblInd w:w="0" w:type="dxa"/>
        <w:tblLayout w:type="fixed"/>
        <w:tblCellMar>
          <w:top w:w="0" w:type="dxa"/>
          <w:left w:w="0" w:type="dxa"/>
          <w:bottom w:w="0" w:type="dxa"/>
          <w:right w:w="0" w:type="dxa"/>
        </w:tblCellMar>
      </w:tblPr>
      <w:tblGrid>
        <w:gridCol w:w="1801"/>
        <w:gridCol w:w="326"/>
        <w:gridCol w:w="267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143635" cy="175260"/>
                      <wp:effectExtent l="0" t="0" r="0" b="0"/>
                      <wp:wrapNone/>
                      <wp:docPr id="6" name="Frame5"/>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696085" cy="175260"/>
                      <wp:effectExtent l="0" t="0" r="0" b="0"/>
                      <wp:wrapNone/>
                      <wp:docPr id="7" name="Frame6"/>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326" w:type="dxa"/>
            <w:tcBorders/>
            <w:vAlign w:val="center"/>
          </w:tcPr>
          <w:p>
            <w:pPr>
              <w:pStyle w:val="TableContents"/>
              <w:bidi w:val="0"/>
              <w:spacing w:before="0" w:after="0"/>
              <w:ind w:left="0" w:right="0" w:hanging="0"/>
              <w:jc w:val="center"/>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46-1318953</w:t>
            </w:r>
          </w:p>
        </w:tc>
      </w:tr>
      <w:tr>
        <w:trPr/>
        <w:tc>
          <w:tcPr>
            <w:tcW w:w="180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(State of incorporation)</w:t>
            </w:r>
          </w:p>
        </w:tc>
        <w:tc>
          <w:tcPr>
            <w:tcW w:w="326" w:type="dxa"/>
            <w:tcBorders/>
            <w:vAlign w:val="center"/>
          </w:tcPr>
          <w:p>
            <w:pPr>
              <w:pStyle w:val="TableContents"/>
              <w:bidi w:val="0"/>
              <w:spacing w:before="0" w:after="240"/>
              <w:ind w:left="0" w:right="0" w:hanging="0"/>
              <w:jc w:val="center"/>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i/>
                <w:sz w:val="18"/>
              </w:rPr>
            </w:pPr>
            <w:r>
              <w:rPr>
                <w:rFonts w:ascii="Times New Roman;Times;serif" w:hAnsi="Times New Roman;Times;serif"/>
                <w:i/>
                <w:sz w:val="18"/>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3590 North First Street, Suite 210, San Jose, CA</w:t>
      </w:r>
      <w:r>
        <w:rPr>
          <w:rFonts w:ascii="Times New Roman;Times;serif" w:hAnsi="Times New Roman;Times;serif"/>
          <w:sz w:val="20"/>
        </w:rPr>
        <w:t xml:space="preserve"> </w:t>
      </w:r>
      <w:r>
        <w:rPr>
          <w:rFonts w:ascii="Times New Roman;Times;serif" w:hAnsi="Times New Roman;Times;serif"/>
          <w:b/>
          <w:sz w:val="18"/>
        </w:rPr>
        <w:t>95134</w:t>
      </w:r>
    </w:p>
    <w:p>
      <w:pPr>
        <w:pStyle w:val="TextBody"/>
        <w:bidi w:val="0"/>
        <w:spacing w:before="0" w:after="100"/>
        <w:ind w:left="0" w:right="0" w:hanging="0"/>
        <w:jc w:val="center"/>
        <w:rPr>
          <w:rFonts w:ascii="Times New Roman;Times;serif" w:hAnsi="Times New Roman;Times;serif"/>
          <w:sz w:val="14"/>
        </w:rPr>
      </w:pPr>
      <w:r>
        <w:rPr>
          <w:rFonts w:ascii="Times New Roman;Times;serif" w:hAnsi="Times New Roman;Times;serif"/>
          <w:i/>
          <w:sz w:val="14"/>
        </w:rPr>
        <w:t>(Address of principal executive office)</w:t>
      </w:r>
      <w:r>
        <w:rPr>
          <w:rFonts w:ascii="Times New Roman;Times;serif" w:hAnsi="Times New Roman;Times;serif"/>
          <w:sz w:val="14"/>
        </w:rPr>
        <w:t xml:space="preserve"> (Zip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(408) 963-0200</w:t>
      </w:r>
    </w:p>
    <w:p>
      <w:pPr>
        <w:pStyle w:val="TextBody"/>
        <w:bidi w:val="0"/>
        <w:spacing w:before="0" w:after="100"/>
        <w:ind w:left="0" w:right="0" w:hanging="0"/>
        <w:jc w:val="center"/>
        <w:rPr>
          <w:rFonts w:ascii="Times New Roman;Times;serif" w:hAnsi="Times New Roman;Times;serif"/>
          <w:i/>
          <w:sz w:val="14"/>
        </w:rPr>
      </w:pPr>
      <w:r>
        <w:rPr>
          <w:rFonts w:ascii="Times New Roman;Times;serif" w:hAnsi="Times New Roman;Times;serif"/>
          <w:i/>
          <w:sz w:val="14"/>
        </w:rPr>
        <w:t>(Registrant’s telephone number, including area code)</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7" w:name="Tc_T4a5Ki-KM0mjZIyjJYxU7Q_2_4"/>
      <w:bookmarkStart w:id="18" w:name="Tc_X3TghiJv_0C2cVr20Swaxg_1_4"/>
      <w:bookmarkStart w:id="19" w:name="Tc_iSjawl-J9k61GHeoKMXo3w_1_2"/>
      <w:bookmarkStart w:id="20" w:name="Tc_ECxOHTPuw0i12ppgytyB1g_1_0"/>
      <w:bookmarkStart w:id="21" w:name="_11ffea39_c669_46dd_aaed_3695c181ca14"/>
      <w:bookmarkStart w:id="22" w:name="Tc_T4a5Ki-KM0mjZIyjJYxU7Q_2_4"/>
      <w:bookmarkStart w:id="23" w:name="Tc_X3TghiJv_0C2cVr20Swaxg_1_4"/>
      <w:bookmarkStart w:id="24" w:name="Tc_iSjawl-J9k61GHeoKMXo3w_1_2"/>
      <w:bookmarkStart w:id="25" w:name="Tc_ECxOHTPuw0i12ppgytyB1g_1_0"/>
      <w:bookmarkStart w:id="26" w:name="_11ffea39_c669_46dd_aaed_3695c181ca14"/>
      <w:bookmarkEnd w:id="22"/>
      <w:bookmarkEnd w:id="23"/>
      <w:bookmarkEnd w:id="24"/>
      <w:bookmarkEnd w:id="25"/>
      <w:bookmarkEnd w:id="26"/>
    </w:p>
    <w:tbl>
      <w:tblPr>
        <w:tblW w:w="7705" w:type="dxa"/>
        <w:jc w:val="left"/>
        <w:tblInd w:w="0" w:type="dxa"/>
        <w:tblLayout w:type="fixed"/>
        <w:tblCellMar>
          <w:top w:w="0" w:type="dxa"/>
          <w:left w:w="0" w:type="dxa"/>
          <w:bottom w:w="0" w:type="dxa"/>
          <w:right w:w="0" w:type="dxa"/>
        </w:tblCellMar>
      </w:tblPr>
      <w:tblGrid>
        <w:gridCol w:w="2686"/>
        <w:gridCol w:w="326"/>
        <w:gridCol w:w="886"/>
        <w:gridCol w:w="326"/>
        <w:gridCol w:w="3481"/>
      </w:tblGrid>
      <w:tr>
        <w:trPr/>
        <w:tc>
          <w:tcPr>
            <w:tcW w:w="2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705610" cy="29210"/>
                      <wp:effectExtent l="0" t="0" r="0" b="0"/>
                      <wp:wrapNone/>
                      <wp:docPr id="8" name="Frame7"/>
                      <a:graphic xmlns:a="http://schemas.openxmlformats.org/drawingml/2006/main">
                        <a:graphicData uri="http://schemas.microsoft.com/office/word/2010/wordprocessingShape">
                          <wps:wsp>
                            <wps:cNvSpPr txBox="1"/>
                            <wps:spPr>
                              <a:xfrm>
                                <a:off x="0" y="0"/>
                                <a:ext cx="170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62610" cy="29210"/>
                      <wp:effectExtent l="0" t="0" r="0" b="0"/>
                      <wp:wrapNone/>
                      <wp:docPr id="10" name="Frame9"/>
                      <a:graphic xmlns:a="http://schemas.openxmlformats.org/drawingml/2006/main">
                        <a:graphicData uri="http://schemas.microsoft.com/office/word/2010/wordprocessingShape">
                          <wps:wsp>
                            <wps:cNvSpPr txBox="1"/>
                            <wps:spPr>
                              <a:xfrm>
                                <a:off x="0" y="0"/>
                                <a:ext cx="562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0435" cy="29210"/>
                      <wp:effectExtent l="0" t="0" r="0" b="0"/>
                      <wp:wrapNone/>
                      <wp:docPr id="12" name="Frame11"/>
                      <a:graphic xmlns:a="http://schemas.openxmlformats.org/drawingml/2006/main">
                        <a:graphicData uri="http://schemas.microsoft.com/office/word/2010/wordprocessingShape">
                          <wps:wsp>
                            <wps:cNvSpPr txBox="1"/>
                            <wps:spPr>
                              <a:xfrm>
                                <a:off x="0" y="0"/>
                                <a:ext cx="22104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6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w:t>
              <w:br/>
              <w:t>Symbol(s)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6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$0.00001 par value</w:t>
            </w:r>
          </w:p>
        </w:tc>
        <w:tc>
          <w:tcPr>
            <w:tcW w:w="326" w:type="dxa"/>
            <w:tcBorders/>
            <w:vAlign w:val="center"/>
          </w:tcPr>
          <w:p>
            <w:pPr>
              <w:pStyle w:val="TableContents"/>
              <w:bidi w:val="0"/>
              <w:spacing w:before="0" w:after="240"/>
              <w:ind w:left="0" w:right="0" w:hanging="0"/>
              <w:jc w:val="center"/>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WATT</w:t>
            </w:r>
          </w:p>
        </w:tc>
        <w:tc>
          <w:tcPr>
            <w:tcW w:w="326" w:type="dxa"/>
            <w:tcBorders/>
            <w:vAlign w:val="center"/>
          </w:tcPr>
          <w:p>
            <w:pPr>
              <w:pStyle w:val="TableContents"/>
              <w:bidi w:val="0"/>
              <w:spacing w:before="0" w:after="24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Stock Market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7" w:name="Tc_HJWcg7cPAU2yes6FpEHQGw_3_0"/>
      <w:bookmarkStart w:id="28" w:name="Tc_cp1CsMpjokGvl0IjJg8uAQ_2_3"/>
      <w:bookmarkStart w:id="29" w:name="Tc_0atDyB2LfkK2h64OERfnrw_2_1"/>
      <w:bookmarkStart w:id="30" w:name="Tc_8e1c4hBDUEWDOdQMA3d50A_1_4"/>
      <w:bookmarkStart w:id="31" w:name="Tc_WNLXI1QpT0OH5ODsum6y4Q_1_3"/>
      <w:bookmarkStart w:id="32" w:name="Tc_pxRWJgPUK0eJ_qyJCk3vzA_1_1"/>
      <w:bookmarkStart w:id="33" w:name="Tc_MCcz7Cltp0iqb1NvPfVqmQ_1_0"/>
      <w:bookmarkStart w:id="34" w:name="_93cba069_cfc4_4a43_9192_209e22f6c271"/>
      <w:bookmarkStart w:id="35" w:name="Tc_HJWcg7cPAU2yes6FpEHQGw_3_0"/>
      <w:bookmarkStart w:id="36" w:name="Tc_cp1CsMpjokGvl0IjJg8uAQ_2_3"/>
      <w:bookmarkStart w:id="37" w:name="Tc_0atDyB2LfkK2h64OERfnrw_2_1"/>
      <w:bookmarkStart w:id="38" w:name="Tc_8e1c4hBDUEWDOdQMA3d50A_1_4"/>
      <w:bookmarkStart w:id="39" w:name="Tc_WNLXI1QpT0OH5ODsum6y4Q_1_3"/>
      <w:bookmarkStart w:id="40" w:name="Tc_pxRWJgPUK0eJ_qyJCk3vzA_1_1"/>
      <w:bookmarkStart w:id="41" w:name="Tc_MCcz7Cltp0iqb1NvPfVqmQ_1_0"/>
      <w:bookmarkStart w:id="42" w:name="_93cba069_cfc4_4a43_9192_209e22f6c271"/>
      <w:bookmarkEnd w:id="35"/>
      <w:bookmarkEnd w:id="36"/>
      <w:bookmarkEnd w:id="37"/>
      <w:bookmarkEnd w:id="38"/>
      <w:bookmarkEnd w:id="39"/>
      <w:bookmarkEnd w:id="40"/>
      <w:bookmarkEnd w:id="41"/>
      <w:bookmarkEnd w:id="42"/>
    </w:p>
    <w:tbl>
      <w:tblPr>
        <w:tblW w:w="4868" w:type="dxa"/>
        <w:jc w:val="left"/>
        <w:tblInd w:w="0" w:type="dxa"/>
        <w:tblLayout w:type="fixed"/>
        <w:tblCellMar>
          <w:top w:w="0" w:type="dxa"/>
          <w:left w:w="0" w:type="dxa"/>
          <w:bottom w:w="0" w:type="dxa"/>
          <w:right w:w="0" w:type="dxa"/>
        </w:tblCellMar>
      </w:tblPr>
      <w:tblGrid>
        <w:gridCol w:w="2056"/>
        <w:gridCol w:w="316"/>
        <w:gridCol w:w="109"/>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40"/>
              <w:ind w:left="0" w:right="0" w:hanging="0"/>
              <w:jc w:val="left"/>
              <w:rPr/>
            </w:pPr>
            <w:r>
              <w:rPr/>
              <w:t>​</w:t>
            </w:r>
          </w:p>
        </w:tc>
        <w:tc>
          <w:tcPr>
            <w:tcW w:w="2026" w:type="dxa"/>
            <w:tcBorders/>
            <w:vAlign w:val="center"/>
          </w:tcPr>
          <w:p>
            <w:pPr>
              <w:pStyle w:val="TableContents"/>
              <w:bidi w:val="0"/>
              <w:spacing w:before="0" w:after="240"/>
              <w:ind w:left="0" w:right="0" w:hanging="0"/>
              <w:jc w:val="left"/>
              <w:rPr/>
            </w:pPr>
            <w:r>
              <w:rPr/>
              <w:t>​</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firstLine="36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firstLine="360"/>
        <w:jc w:val="left"/>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firstLine="360"/>
        <w:jc w:val="left"/>
        <w:rPr>
          <w:rFonts w:ascii="Times New Roman;Times;serif" w:hAnsi="Times New Roman;Times;serif"/>
          <w:sz w:val="18"/>
        </w:rPr>
      </w:pPr>
      <w:r>
        <w:rPr>
          <w:rFonts w:ascii="Times New Roman;Times;serif" w:hAnsi="Times New Roman;Times;serif"/>
          <w:sz w:val="18"/>
        </w:rPr>
        <w:t>As of November 7, 2024, there were 8,786,374 shares of our Common Stock, par value $0.00001 per share, outstanding.</w:t>
      </w:r>
    </w:p>
    <w:p>
      <w:pPr>
        <w:pStyle w:val="TextBody"/>
        <w:pBdr>
          <w:top w:val="single" w:sz="8" w:space="1" w:color="000000"/>
          <w:bottom w:val="single" w:sz="24" w:space="1" w:color="000000"/>
        </w:pBdr>
        <w:bidi w:val="0"/>
        <w:spacing w:before="0" w:after="24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_a928b839_e2f6_4a64_aa31_43fe0d3ddf36"/>
      <w:bookmarkEnd w:id="43"/>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THREE MONTHS ENDED SEPTEMBER 30, 2024</w:t>
      </w:r>
    </w:p>
    <w:p>
      <w:pPr>
        <w:pStyle w:val="TextBody"/>
        <w:bidi w:val="0"/>
        <w:spacing w:before="0" w:after="0"/>
        <w:ind w:left="0" w:right="0" w:hanging="0"/>
        <w:jc w:val="center"/>
        <w:rPr>
          <w:rFonts w:ascii="Times New Roman;Times;serif" w:hAnsi="Times New Roman;Times;serif"/>
          <w:b/>
          <w:sz w:val="20"/>
        </w:rPr>
      </w:pPr>
      <w:bookmarkStart w:id="44" w:name="TOC"/>
      <w:bookmarkEnd w:id="44"/>
      <w:r>
        <w:rPr>
          <w:rFonts w:ascii="Times New Roman;Times;serif" w:hAnsi="Times New Roman;Times;serif"/>
          <w:b/>
          <w:sz w:val="20"/>
        </w:rPr>
        <w:t>INDEX</w:t>
      </w:r>
    </w:p>
    <w:p>
      <w:pPr>
        <w:pStyle w:val="TextBody"/>
        <w:bidi w:val="0"/>
        <w:spacing w:before="0" w:after="0"/>
        <w:ind w:left="0" w:right="0" w:hanging="0"/>
        <w:jc w:val="left"/>
        <w:rPr/>
      </w:pPr>
      <w:r>
        <w:rPr/>
        <w:t>​</w:t>
      </w:r>
    </w:p>
    <w:tbl>
      <w:tblPr>
        <w:tblW w:w="8342" w:type="dxa"/>
        <w:jc w:val="left"/>
        <w:tblInd w:w="0" w:type="dxa"/>
        <w:tblLayout w:type="fixed"/>
        <w:tblCellMar>
          <w:top w:w="0" w:type="dxa"/>
          <w:left w:w="0" w:type="dxa"/>
          <w:bottom w:w="0" w:type="dxa"/>
          <w:right w:w="0" w:type="dxa"/>
        </w:tblCellMar>
      </w:tblPr>
      <w:tblGrid>
        <w:gridCol w:w="7981"/>
        <w:gridCol w:w="36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5067935" cy="175260"/>
                      <wp:effectExtent l="0" t="0" r="0" b="0"/>
                      <wp:wrapNone/>
                      <wp:docPr id="13" name="Frame12"/>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29235" cy="175260"/>
                      <wp:effectExtent l="0" t="0" r="0" b="0"/>
                      <wp:wrapNone/>
                      <wp:docPr id="14" name="Frame1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81" w:type="dxa"/>
            <w:tcBorders/>
            <w:vAlign w:val="center"/>
          </w:tcPr>
          <w:p>
            <w:pPr>
              <w:pStyle w:val="TableContents"/>
              <w:pBdr/>
              <w:bidi w:val="0"/>
              <w:spacing w:before="0" w:after="0"/>
              <w:ind w:left="0" w:right="0" w:hanging="0"/>
              <w:jc w:val="left"/>
              <w:rPr/>
            </w:pPr>
            <w:hyperlink w:anchor="PARTIFINANCIALINFORMATION_184948">
              <w:r>
                <w:rPr>
                  <w:rStyle w:val="InternetLink"/>
                  <w:rFonts w:ascii="Times New Roman;Times;serif" w:hAnsi="Times New Roman;Times;serif"/>
                  <w:b w:val="false"/>
                  <w:i w:val="false"/>
                  <w:caps w:val="false"/>
                  <w:smallCaps w:val="false"/>
                  <w:sz w:val="20"/>
                </w:rPr>
                <w:t>PART I - FINANCIAL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FinancialStatements_240348">
              <w:r>
                <w:rPr>
                  <w:rStyle w:val="InternetLink"/>
                  <w:rFonts w:ascii="Times New Roman;Times;serif" w:hAnsi="Times New Roman;Times;serif"/>
                  <w:b w:val="false"/>
                  <w:i w:val="false"/>
                  <w:caps w:val="false"/>
                  <w:smallCaps w:val="false"/>
                  <w:sz w:val="20"/>
                </w:rPr>
                <w:t>Item 1. Financial Statements (unaudited)</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ControlsandProcedures_905555">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PARTIIOTHERINFORMATION_171956">
              <w:r>
                <w:rPr>
                  <w:rStyle w:val="InternetLink"/>
                  <w:rFonts w:ascii="Times New Roman;Times;serif" w:hAnsi="Times New Roman;Times;serif"/>
                  <w:b w:val="false"/>
                  <w:i w:val="false"/>
                  <w:caps w:val="false"/>
                  <w:smallCaps w:val="false"/>
                  <w:sz w:val="20"/>
                </w:rPr>
                <w:t>PART II –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LegalProceedings_899286">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1ARiskFactors_566555">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3DefaultsUponSeniorSecurities_774055">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4MineSafetyDisclosures_549213">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5OtherInformation_27695">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7981" w:type="dxa"/>
            <w:tcBorders/>
            <w:vAlign w:val="center"/>
          </w:tcPr>
          <w:p>
            <w:pPr>
              <w:pStyle w:val="TableContents"/>
              <w:pBdr/>
              <w:bidi w:val="0"/>
              <w:spacing w:before="0" w:after="0"/>
              <w:ind w:left="0" w:right="0" w:hanging="0"/>
              <w:jc w:val="left"/>
              <w:rPr/>
            </w:pPr>
            <w:hyperlink w:anchor="Item6Exhibits_285226">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5" w:name="PARTIFINANCIALINFORMATION_184948"/>
      <w:bookmarkStart w:id="46" w:name="_ba8a5748_1edc_4a7f_bbf9_4935d5ef7272"/>
      <w:bookmarkEnd w:id="45"/>
      <w:bookmarkEnd w:id="46"/>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47" w:name="Item1FinancialStatements_240348"/>
      <w:bookmarkEnd w:id="47"/>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48" w:name="Tc_gUMlT6jz60-2LS54-i689w_36_5"/>
      <w:bookmarkStart w:id="49" w:name="Tc_YVNqE7hW1kuSi2fcCpFopw_36_2"/>
      <w:bookmarkStart w:id="50" w:name="Tc_PpsdjaAfbkOEpEqqE62_pA_36_0"/>
      <w:bookmarkStart w:id="51" w:name="Tc_fD60oQcnAkaZwbRBexDpZg_35_0"/>
      <w:bookmarkStart w:id="52" w:name="Tc_7PEpfVQXKkuzoIPnprEw3w_34_0"/>
      <w:bookmarkStart w:id="53" w:name="Tc_OOOW1L26S0COPs-3WC0Tog_33_0"/>
      <w:bookmarkStart w:id="54" w:name="Tc_q_8oQRyUhEi7Mka1aeN_yQ_32_0"/>
      <w:bookmarkStart w:id="55" w:name="_b028da51_8530_4faf_ae33_bafdd6988706_3"/>
      <w:bookmarkStart w:id="56" w:name="_b028da51_8530_4faf_ae33_bafdd6988706_2"/>
      <w:bookmarkStart w:id="57" w:name="_b028da51_8530_4faf_ae33_bafdd6988706"/>
      <w:bookmarkStart w:id="58" w:name="Tc_OkvUeKRk80KMOvBSLQpTTQ_31_0"/>
      <w:bookmarkStart w:id="59" w:name="Tc_uNKoEKnKBUqpoACJUkXa5w_30_0"/>
      <w:bookmarkStart w:id="60" w:name="Tc_OILpcYocDUaOtBXvWANeLg_29_0"/>
      <w:bookmarkStart w:id="61" w:name="Tc_ognTXgK06kazX__UDpCGFA_27_0"/>
      <w:bookmarkStart w:id="62" w:name="Tc_pIDrBv2Zh0GGfTA6wbGy3Q_26_3"/>
      <w:bookmarkStart w:id="63" w:name="Tc_YMERT20idkqHODj8kI3_7g_26_0"/>
      <w:bookmarkStart w:id="64" w:name="Tc_VEnrWU2_L0mU08w_ikLxdQ_24_0"/>
      <w:bookmarkStart w:id="65" w:name="Tc_QuBiewr1qEmuIVU-_xD3Lg_23_0"/>
      <w:bookmarkStart w:id="66" w:name="Tc_jVVkQIb5W0-f3jqCF0WJDA_22_0"/>
      <w:bookmarkStart w:id="67" w:name="Tc_JDwuLlijvk6yJNQJUZP4bw_21_0"/>
      <w:bookmarkStart w:id="68" w:name="Tc_Lcz7wOBuYUaljRtPmF6o_A_20_0"/>
      <w:bookmarkStart w:id="69" w:name="Tc_IWOcCJg3U0WMu2wox90SsA_19_0"/>
      <w:bookmarkStart w:id="70" w:name="Tc_Foof-2tcj02KMmRizgjVjQ_18_5"/>
      <w:bookmarkStart w:id="71" w:name="Tc_EB7KZfutTUC1YjiqKty5MA_18_2"/>
      <w:bookmarkStart w:id="72" w:name="Tc_dHKTdb4PhUe7a68U40BDbg_18_0"/>
      <w:bookmarkStart w:id="73" w:name="Tc_iSGSa5hZYESD3US3BomHLw_17_0"/>
      <w:bookmarkStart w:id="74" w:name="Tc_0GOUhNgcFkiep_9D715rZQ_16_0"/>
      <w:bookmarkStart w:id="75" w:name="Tc_SY_Mew3RQ0Kcv4jNwgge7w_15_5"/>
      <w:bookmarkStart w:id="76" w:name="Tc_-sS8MZawXUugU-ctFbLl4Q_15_2"/>
      <w:bookmarkStart w:id="77" w:name="Tc_PkbtLHqi0U64o2m9Gew9VA_15_0"/>
      <w:bookmarkStart w:id="78" w:name="Tc__oUwOFN3jEKG4pQ9tfFlOg_14_0"/>
      <w:bookmarkStart w:id="79" w:name="Tc_DhLWhMc-bkSo9bgYv2J_uA_13_0"/>
      <w:bookmarkStart w:id="80" w:name="Tc_pTUEWzdZ80WgEk9TBj2SHA_11_0"/>
      <w:bookmarkStart w:id="81" w:name="Tc_Hq2BDUGtbECjwttpfe3DrA_10_0"/>
      <w:bookmarkStart w:id="82" w:name="Tc_OmjP_rec9E-hLTqZx3t7Ig_9_0"/>
      <w:bookmarkStart w:id="83" w:name="Tc_Am9GGPFflUW_FATybcDn1g_8_0"/>
      <w:bookmarkStart w:id="84" w:name="Tc_V8exwCV330ShOxh07ZtOvg_7_3"/>
      <w:bookmarkStart w:id="85" w:name="Tc_d4nthGOOYk-fSh4UWStd5Q_7_0"/>
      <w:bookmarkStart w:id="86" w:name="Tc_03vUv_4QF06n5ZLKl8Kltw_6_5"/>
      <w:bookmarkStart w:id="87" w:name="Tc_L0l_FsicqEuU1ARDBNUY9w_6_2"/>
      <w:bookmarkStart w:id="88" w:name="Tc_V5RsD-Wn1kmt-yl5H2Mv0g_6_0"/>
      <w:bookmarkStart w:id="89" w:name="Tc_PLdCDWHUYkCUv5JamVbWZA_5_0"/>
      <w:bookmarkStart w:id="90" w:name="Tc_EBmYoGvAuEilBDh9_UUMAg_4_0"/>
      <w:bookmarkStart w:id="91" w:name="Tc_KBRp_-YMhUiPOSenwxub-w_3_6"/>
      <w:bookmarkStart w:id="92" w:name="Tc_MnPjZp2SREutDI8m8SU4Rg_3_2"/>
      <w:bookmarkStart w:id="93" w:name="Tc_8FiMCKE9h0qlwm33SKOzuw_2_5"/>
      <w:bookmarkStart w:id="94" w:name="Tc_w1jV4yZHt0iLUpC8J4esow_2_2"/>
      <w:bookmarkStart w:id="95" w:name="Tc_wDKryJbNvUiY0LDcPBOMmA_1_2"/>
      <w:bookmarkStart w:id="96" w:name="_6460aed7_7eb6_4804_8509_44fbbd9ed64b"/>
      <w:bookmarkStart w:id="97" w:name="Tc_gUMlT6jz60-2LS54-i689w_36_5"/>
      <w:bookmarkStart w:id="98" w:name="Tc_YVNqE7hW1kuSi2fcCpFopw_36_2"/>
      <w:bookmarkStart w:id="99" w:name="Tc_PpsdjaAfbkOEpEqqE62_pA_36_0"/>
      <w:bookmarkStart w:id="100" w:name="Tc_fD60oQcnAkaZwbRBexDpZg_35_0"/>
      <w:bookmarkStart w:id="101" w:name="Tc_7PEpfVQXKkuzoIPnprEw3w_34_0"/>
      <w:bookmarkStart w:id="102" w:name="Tc_OOOW1L26S0COPs-3WC0Tog_33_0"/>
      <w:bookmarkStart w:id="103" w:name="Tc_q_8oQRyUhEi7Mka1aeN_yQ_32_0"/>
      <w:bookmarkStart w:id="104" w:name="_b028da51_8530_4faf_ae33_bafdd6988706_3"/>
      <w:bookmarkStart w:id="105" w:name="_b028da51_8530_4faf_ae33_bafdd6988706_2"/>
      <w:bookmarkStart w:id="106" w:name="_b028da51_8530_4faf_ae33_bafdd6988706"/>
      <w:bookmarkStart w:id="107" w:name="Tc_OkvUeKRk80KMOvBSLQpTTQ_31_0"/>
      <w:bookmarkStart w:id="108" w:name="Tc_uNKoEKnKBUqpoACJUkXa5w_30_0"/>
      <w:bookmarkStart w:id="109" w:name="Tc_OILpcYocDUaOtBXvWANeLg_29_0"/>
      <w:bookmarkStart w:id="110" w:name="Tc_ognTXgK06kazX__UDpCGFA_27_0"/>
      <w:bookmarkStart w:id="111" w:name="Tc_pIDrBv2Zh0GGfTA6wbGy3Q_26_3"/>
      <w:bookmarkStart w:id="112" w:name="Tc_YMERT20idkqHODj8kI3_7g_26_0"/>
      <w:bookmarkStart w:id="113" w:name="Tc_VEnrWU2_L0mU08w_ikLxdQ_24_0"/>
      <w:bookmarkStart w:id="114" w:name="Tc_QuBiewr1qEmuIVU-_xD3Lg_23_0"/>
      <w:bookmarkStart w:id="115" w:name="Tc_jVVkQIb5W0-f3jqCF0WJDA_22_0"/>
      <w:bookmarkStart w:id="116" w:name="Tc_JDwuLlijvk6yJNQJUZP4bw_21_0"/>
      <w:bookmarkStart w:id="117" w:name="Tc_Lcz7wOBuYUaljRtPmF6o_A_20_0"/>
      <w:bookmarkStart w:id="118" w:name="Tc_IWOcCJg3U0WMu2wox90SsA_19_0"/>
      <w:bookmarkStart w:id="119" w:name="Tc_Foof-2tcj02KMmRizgjVjQ_18_5"/>
      <w:bookmarkStart w:id="120" w:name="Tc_EB7KZfutTUC1YjiqKty5MA_18_2"/>
      <w:bookmarkStart w:id="121" w:name="Tc_dHKTdb4PhUe7a68U40BDbg_18_0"/>
      <w:bookmarkStart w:id="122" w:name="Tc_iSGSa5hZYESD3US3BomHLw_17_0"/>
      <w:bookmarkStart w:id="123" w:name="Tc_0GOUhNgcFkiep_9D715rZQ_16_0"/>
      <w:bookmarkStart w:id="124" w:name="Tc_SY_Mew3RQ0Kcv4jNwgge7w_15_5"/>
      <w:bookmarkStart w:id="125" w:name="Tc_-sS8MZawXUugU-ctFbLl4Q_15_2"/>
      <w:bookmarkStart w:id="126" w:name="Tc_PkbtLHqi0U64o2m9Gew9VA_15_0"/>
      <w:bookmarkStart w:id="127" w:name="Tc__oUwOFN3jEKG4pQ9tfFlOg_14_0"/>
      <w:bookmarkStart w:id="128" w:name="Tc_DhLWhMc-bkSo9bgYv2J_uA_13_0"/>
      <w:bookmarkStart w:id="129" w:name="Tc_pTUEWzdZ80WgEk9TBj2SHA_11_0"/>
      <w:bookmarkStart w:id="130" w:name="Tc_Hq2BDUGtbECjwttpfe3DrA_10_0"/>
      <w:bookmarkStart w:id="131" w:name="Tc_OmjP_rec9E-hLTqZx3t7Ig_9_0"/>
      <w:bookmarkStart w:id="132" w:name="Tc_Am9GGPFflUW_FATybcDn1g_8_0"/>
      <w:bookmarkStart w:id="133" w:name="Tc_V8exwCV330ShOxh07ZtOvg_7_3"/>
      <w:bookmarkStart w:id="134" w:name="Tc_d4nthGOOYk-fSh4UWStd5Q_7_0"/>
      <w:bookmarkStart w:id="135" w:name="Tc_03vUv_4QF06n5ZLKl8Kltw_6_5"/>
      <w:bookmarkStart w:id="136" w:name="Tc_L0l_FsicqEuU1ARDBNUY9w_6_2"/>
      <w:bookmarkStart w:id="137" w:name="Tc_V5RsD-Wn1kmt-yl5H2Mv0g_6_0"/>
      <w:bookmarkStart w:id="138" w:name="Tc_PLdCDWHUYkCUv5JamVbWZA_5_0"/>
      <w:bookmarkStart w:id="139" w:name="Tc_EBmYoGvAuEilBDh9_UUMAg_4_0"/>
      <w:bookmarkStart w:id="140" w:name="Tc_KBRp_-YMhUiPOSenwxub-w_3_6"/>
      <w:bookmarkStart w:id="141" w:name="Tc_MnPjZp2SREutDI8m8SU4Rg_3_2"/>
      <w:bookmarkStart w:id="142" w:name="Tc_8FiMCKE9h0qlwm33SKOzuw_2_5"/>
      <w:bookmarkStart w:id="143" w:name="Tc_w1jV4yZHt0iLUpC8J4esow_2_2"/>
      <w:bookmarkStart w:id="144" w:name="Tc_wDKryJbNvUiY0LDcPBOMmA_1_2"/>
      <w:bookmarkStart w:id="145" w:name="_6460aed7_7eb6_4804_8509_44fbbd9ed64b"/>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bl>
      <w:tblPr>
        <w:tblW w:w="10205" w:type="dxa"/>
        <w:jc w:val="left"/>
        <w:tblInd w:w="0" w:type="dxa"/>
        <w:tblLayout w:type="fixed"/>
        <w:tblCellMar>
          <w:top w:w="0" w:type="dxa"/>
          <w:left w:w="0" w:type="dxa"/>
          <w:bottom w:w="0" w:type="dxa"/>
          <w:right w:w="0" w:type="dxa"/>
        </w:tblCellMar>
      </w:tblPr>
      <w:tblGrid>
        <w:gridCol w:w="6461"/>
        <w:gridCol w:w="326"/>
        <w:gridCol w:w="310"/>
        <w:gridCol w:w="1236"/>
        <w:gridCol w:w="326"/>
        <w:gridCol w:w="297"/>
        <w:gridCol w:w="1249"/>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102735" cy="175260"/>
                      <wp:effectExtent l="0" t="0" r="0" b="0"/>
                      <wp:wrapNone/>
                      <wp:docPr id="15" name="Frame14"/>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96850" cy="175260"/>
                      <wp:effectExtent l="0" t="0" r="0" b="0"/>
                      <wp:wrapNone/>
                      <wp:docPr id="17" name="Frame1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784860" cy="175260"/>
                      <wp:effectExtent l="0" t="0" r="0" b="0"/>
                      <wp:wrapNone/>
                      <wp:docPr id="18" name="Frame17"/>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88595" cy="175260"/>
                      <wp:effectExtent l="0" t="0" r="0" b="0"/>
                      <wp:wrapNone/>
                      <wp:docPr id="20" name="Frame1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93115" cy="175260"/>
                      <wp:effectExtent l="0" t="0" r="0" b="0"/>
                      <wp:wrapNone/>
                      <wp:docPr id="21" name="Frame2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41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(1)</w:t>
            </w:r>
          </w:p>
        </w:tc>
      </w:tr>
      <w:tr>
        <w:trPr/>
        <w:tc>
          <w:tcPr>
            <w:tcW w:w="646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right"/>
              <w:rPr/>
            </w:pPr>
            <w:r>
              <w:rPr/>
              <w:t>  </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1"/>
              <w:ind w:left="0" w:right="0" w:hanging="0"/>
              <w:jc w:val="left"/>
              <w:rPr/>
            </w:pPr>
            <w:r>
              <w:rPr/>
              <w:t> </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pPr>
            <w:r>
              <w:rPr/>
              <w:t>  </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13,876</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2,851</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15,007</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695</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1,240</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16,676</w:t>
            </w:r>
          </w:p>
        </w:tc>
      </w:tr>
      <w:tr>
        <w:trPr/>
        <w:tc>
          <w:tcPr>
            <w:tcW w:w="6461" w:type="dxa"/>
            <w:tcBorders/>
            <w:shd w:fill="CCEEFF" w:val="clear"/>
            <w:vAlign w:val="center"/>
          </w:tcPr>
          <w:p>
            <w:pPr>
              <w:pStyle w:val="TableContents"/>
              <w:pBdr/>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1,254</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4,621</w: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w:t>
            </w:r>
          </w:p>
        </w:tc>
        <w:tc>
          <w:tcPr>
            <w:tcW w:w="12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w:t>
            </w:r>
          </w:p>
        </w:tc>
        <w:tc>
          <w:tcPr>
            <w:tcW w:w="1249" w:type="dxa"/>
            <w:tcBorders/>
            <w:vAlign w:val="center"/>
          </w:tcPr>
          <w:p>
            <w:pPr>
              <w:pStyle w:val="TableContents"/>
              <w:bidi w:val="0"/>
              <w:spacing w:before="0" w:after="1"/>
              <w:ind w:left="0" w:right="0" w:hanging="0"/>
              <w:jc w:val="lef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 long-term portion</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3,516</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5,178</w:t>
            </w:r>
          </w:p>
        </w:tc>
      </w:tr>
      <w:tr>
        <w:trPr/>
        <w:tc>
          <w:tcPr>
            <w:tcW w:w="646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w:t>
            </w:r>
          </w:p>
        </w:tc>
        <w:tc>
          <w:tcPr>
            <w:tcW w:w="12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w:t>
            </w:r>
          </w:p>
        </w:tc>
        <w:tc>
          <w:tcPr>
            <w:tcW w:w="1249" w:type="dxa"/>
            <w:tcBorders/>
            <w:shd w:fill="CCEEFF" w:val="clear"/>
            <w:vAlign w:val="center"/>
          </w:tcPr>
          <w:p>
            <w:pPr>
              <w:pStyle w:val="TableContents"/>
              <w:bidi w:val="0"/>
              <w:spacing w:before="0" w:after="1"/>
              <w:ind w:left="0" w:right="0" w:hanging="0"/>
              <w:jc w:val="lef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Commitments and contingencies (Note 6)</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pPr>
            <w:r>
              <w:rPr/>
              <w:t>​</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Preferred Stock, $0.00001 par value, 10,000,000 shares authorized as of September 30, 2024 and December 31, 2023; no shares issued or outstanding as of September 30, 2024 and December 31, 2023.</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caps w:val="false"/>
                <w:smallCaps w:val="false"/>
              </w:rPr>
            </w:pPr>
            <w:r>
              <w:rPr>
                <w:caps w:val="false"/>
                <w:smallCaps w:val="false"/>
              </w:rPr>
              <w:t>—</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$0.00001 par value, 200,000,000 shares authorized as of September 30, 2024 and December 31, 2023; 7,774,275 and 5,471,121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September 30, 2024 and December 31, 2023,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shd w:fill="CCEEFF" w:val="clear"/>
            <w:vAlign w:val="center"/>
          </w:tcPr>
          <w:p>
            <w:pPr>
              <w:pStyle w:val="TableContents"/>
              <w:bidi w:val="0"/>
              <w:spacing w:before="0" w:after="1"/>
              <w:ind w:left="0" w:right="0" w:hanging="0"/>
              <w:jc w:val="left"/>
              <w:rPr/>
            </w:pPr>
            <w:r>
              <w:rPr/>
              <w:t> </w:t>
            </w:r>
          </w:p>
        </w:tc>
        <w:tc>
          <w:tcPr>
            <w:tcW w:w="12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shd w:fill="CCEEFF" w:val="clear"/>
            <w:vAlign w:val="center"/>
          </w:tcPr>
          <w:p>
            <w:pPr>
              <w:pStyle w:val="TableContents"/>
              <w:bidi w:val="0"/>
              <w:spacing w:before="0" w:after="1"/>
              <w:ind w:left="0" w:right="0" w:hanging="0"/>
              <w:jc w:val="left"/>
              <w:rPr/>
            </w:pPr>
            <w:r>
              <w:rPr/>
              <w:t> </w:t>
            </w:r>
          </w:p>
        </w:tc>
        <w:tc>
          <w:tcPr>
            <w:tcW w:w="12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1"/>
              <w:ind w:left="0" w:right="0" w:hanging="0"/>
              <w:jc w:val="left"/>
              <w:rPr/>
            </w:pPr>
            <w:r>
              <w:rPr/>
              <w:t>​</w:t>
            </w:r>
          </w:p>
        </w:tc>
        <w:tc>
          <w:tcPr>
            <w:tcW w:w="310" w:type="dxa"/>
            <w:tcBorders/>
            <w:vAlign w:val="center"/>
          </w:tcPr>
          <w:p>
            <w:pPr>
              <w:pStyle w:val="TableContents"/>
              <w:bidi w:val="0"/>
              <w:spacing w:before="0" w:after="1"/>
              <w:ind w:left="0" w:right="0" w:hanging="0"/>
              <w:jc w:val="left"/>
              <w:rPr/>
            </w:pPr>
            <w:r>
              <w:rPr/>
              <w:t> </w:t>
            </w:r>
          </w:p>
        </w:tc>
        <w:tc>
          <w:tcPr>
            <w:tcW w:w="12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396,744</w:t>
            </w:r>
          </w:p>
        </w:tc>
        <w:tc>
          <w:tcPr>
            <w:tcW w:w="326" w:type="dxa"/>
            <w:tcBorders/>
            <w:vAlign w:val="center"/>
          </w:tcPr>
          <w:p>
            <w:pPr>
              <w:pStyle w:val="TableContents"/>
              <w:bidi w:val="0"/>
              <w:spacing w:before="0" w:after="1"/>
              <w:ind w:left="0" w:right="0" w:hanging="0"/>
              <w:jc w:val="left"/>
              <w:rPr/>
            </w:pPr>
            <w:r>
              <w:rPr/>
              <w:t>​</w:t>
            </w:r>
          </w:p>
        </w:tc>
        <w:tc>
          <w:tcPr>
            <w:tcW w:w="297" w:type="dxa"/>
            <w:tcBorders/>
            <w:vAlign w:val="center"/>
          </w:tcPr>
          <w:p>
            <w:pPr>
              <w:pStyle w:val="TableContents"/>
              <w:bidi w:val="0"/>
              <w:spacing w:before="0" w:after="1"/>
              <w:ind w:left="0" w:right="0" w:hanging="0"/>
              <w:jc w:val="left"/>
              <w:rPr/>
            </w:pPr>
            <w:r>
              <w:rPr/>
              <w:t> </w:t>
            </w:r>
          </w:p>
        </w:tc>
        <w:tc>
          <w:tcPr>
            <w:tcW w:w="12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393,539</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(396,311)</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(382,042)</w:t>
            </w:r>
          </w:p>
        </w:tc>
      </w:tr>
      <w:tr>
        <w:trPr/>
        <w:tc>
          <w:tcPr>
            <w:tcW w:w="64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1"/>
              <w:ind w:left="0" w:right="0" w:hanging="0"/>
              <w:jc w:val="left"/>
              <w:rPr/>
            </w:pPr>
            <w:r>
              <w:rPr/>
              <w:t>​</w:t>
            </w:r>
          </w:p>
        </w:tc>
        <w:tc>
          <w:tcPr>
            <w:tcW w:w="31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c>
          <w:tcPr>
            <w:tcW w:w="326" w:type="dxa"/>
            <w:tcBorders/>
            <w:vAlign w:val="center"/>
          </w:tcPr>
          <w:p>
            <w:pPr>
              <w:pStyle w:val="TableContents"/>
              <w:bidi w:val="0"/>
              <w:spacing w:before="0" w:after="1"/>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11,498</w:t>
            </w:r>
          </w:p>
        </w:tc>
      </w:tr>
      <w:tr>
        <w:trPr/>
        <w:tc>
          <w:tcPr>
            <w:tcW w:w="64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1"/>
              <w:ind w:left="0" w:right="0" w:hanging="0"/>
              <w:jc w:val="lef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3,950</w:t>
            </w:r>
          </w:p>
        </w:tc>
        <w:tc>
          <w:tcPr>
            <w:tcW w:w="326" w:type="dxa"/>
            <w:tcBorders/>
            <w:shd w:fill="CCEEFF" w:val="clear"/>
            <w:vAlign w:val="center"/>
          </w:tcPr>
          <w:p>
            <w:pPr>
              <w:pStyle w:val="TableContents"/>
              <w:bidi w:val="0"/>
              <w:spacing w:before="0" w:after="1"/>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16,676</w:t>
            </w:r>
          </w:p>
        </w:tc>
      </w:tr>
    </w:tbl>
    <w:p>
      <w:pPr>
        <w:pStyle w:val="TextBody"/>
        <w:bidi w:val="0"/>
        <w:spacing w:before="0" w:after="240"/>
        <w:ind w:left="0" w:right="0" w:hanging="0"/>
        <w:jc w:val="left"/>
        <w:rPr/>
      </w:pPr>
      <w:r>
        <w:rPr/>
        <w:t>​</w:t>
      </w:r>
    </w:p>
    <w:tbl>
      <w:tblPr>
        <w:tblW w:w="9756" w:type="dxa"/>
        <w:jc w:val="left"/>
        <w:tblInd w:w="0" w:type="dxa"/>
        <w:tblLayout w:type="fixed"/>
        <w:tblCellMar>
          <w:top w:w="28" w:type="dxa"/>
          <w:left w:w="28" w:type="dxa"/>
          <w:bottom w:w="28" w:type="dxa"/>
          <w:right w:w="28" w:type="dxa"/>
        </w:tblCellMar>
      </w:tblPr>
      <w:tblGrid>
        <w:gridCol w:w="124"/>
        <w:gridCol w:w="331"/>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balance sheet as of December 31, 2023 was derived from the audited balance sheet as of that date.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discussed in Note 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6" w:name="_dd42cad1_193a_49d4_90bf_95f659298538"/>
      <w:bookmarkEnd w:id="146"/>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147" w:name="Tc_KNTZMyhcGkCOj7TLSQFY3g_19_0"/>
      <w:bookmarkStart w:id="148" w:name="Tc_TupSQOscrEyBHzAydXPDmg_18_11"/>
      <w:bookmarkStart w:id="149" w:name="Tc_xNM-GDeTl021xG_tzQ7iiw_18_8"/>
      <w:bookmarkStart w:id="150" w:name="Tc_c6rX1d5ZBU6sbk1sHyLalg_18_5"/>
      <w:bookmarkStart w:id="151" w:name="Tc_vC-Gi4nCC0u3IfyxpPgzlQ_18_2"/>
      <w:bookmarkStart w:id="152" w:name="Tc_lc9a7DeIs0W-b1ucrEnvyA_18_0"/>
      <w:bookmarkStart w:id="153" w:name="Tc_dQrDkDzBN0yruvKS57M1yA_17_11"/>
      <w:bookmarkStart w:id="154" w:name="Tc_RDXDt1hmQUKB1QES0BVVww_17_8"/>
      <w:bookmarkStart w:id="155" w:name="Tc_HumBsfQz10GexMGQNkfIBQ_17_5"/>
      <w:bookmarkStart w:id="156" w:name="Tc_ygSZ9n9qKkmSd3QWmp3gvw_17_2"/>
      <w:bookmarkStart w:id="157" w:name="Tc_2thoom31jkqoDM5w63VlUg_17_0"/>
      <w:bookmarkStart w:id="158" w:name="Tc_BtmozeXdZkihnqfYKLPThw_16_0"/>
      <w:bookmarkStart w:id="159" w:name="Tc_Fbl3HE0RDUy_aZrUrmrrVw_15_0"/>
      <w:bookmarkStart w:id="160" w:name="Tc_LH1RlL96hUOQZ2egBI73yg_14_0"/>
      <w:bookmarkStart w:id="161" w:name="Tc_VbIhW4lM_kmndljYHb0BEw_13_9"/>
      <w:bookmarkStart w:id="162" w:name="Tc_HB9fYyy0tEKJlHby2DpVrA_13_6"/>
      <w:bookmarkStart w:id="163" w:name="Tc_rHSXk0zC4E2U8dQD-g9NiQ_13_3"/>
      <w:bookmarkStart w:id="164" w:name="Tc_kwxrH6Js90i8N3WnoO6Xow_13_0"/>
      <w:bookmarkStart w:id="165" w:name="Tc_MGN-WvJK3E60uqeZAQljKQ_12_0"/>
      <w:bookmarkStart w:id="166" w:name="Tc_EGX2p1B4S0SZk-H8pFVXVg_11_0"/>
      <w:bookmarkStart w:id="167" w:name="Tc_Sh3GgHLLxku7KB_eX2hyHA_10_0"/>
      <w:bookmarkStart w:id="168" w:name="Tc_dX3xVtFjJEG43g9AIOaPGg_9_0"/>
      <w:bookmarkStart w:id="169" w:name="Tc_2vJe8C1tUEKEn4ZdcEKXZw_8_0"/>
      <w:bookmarkStart w:id="170" w:name="Tc_Y3Jdo-RTyUi0Iugcg1qDjQ_7_0"/>
      <w:bookmarkStart w:id="171" w:name="Tc_DqLl-qEjIkyy3_-7fToLLw_6_0"/>
      <w:bookmarkStart w:id="172" w:name="Tc_TsI-pRYcB0m90PIRhboFRw_5_0"/>
      <w:bookmarkStart w:id="173" w:name="Tc_aAYVXsH-gEqRkl9fFxkDYQ_4_0"/>
      <w:bookmarkStart w:id="174" w:name="Tc_7kOsGWLAPkujGkgvWp4bbA_3_11"/>
      <w:bookmarkStart w:id="175" w:name="Tc_6Gkvuhk98UuNt_ugWYnh-A_3_8"/>
      <w:bookmarkStart w:id="176" w:name="Tc_Itq_eSRQD0i2VXS7YL3Ocw_3_5"/>
      <w:bookmarkStart w:id="177" w:name="Tc_CW2ZCT-wn0SL_xZA1-e5AA_3_2"/>
      <w:bookmarkStart w:id="178" w:name="Tc_EgQ6Ul8pnUyXT-5d_e3SJg_3_0"/>
      <w:bookmarkStart w:id="179" w:name="Tc_EtYRZHM8V0qYWnhHBmtkkQ_2_11"/>
      <w:bookmarkStart w:id="180" w:name="Tc_DzhSm_IK3kiuBnxz2kzg4w_2_8"/>
      <w:bookmarkStart w:id="181" w:name="Tc_qh7SvnYt9kqn4GZRld1yoA_2_5"/>
      <w:bookmarkStart w:id="182" w:name="Tc_6gktM61JVE6DtGl5ZkTMsw_2_2"/>
      <w:bookmarkStart w:id="183" w:name="Tc_qnovl7CEsEWrMZSUH5_9ng_1_8"/>
      <w:bookmarkStart w:id="184" w:name="Tc_thMkOLXaiUKRyNV-MexbKQ_1_2"/>
      <w:bookmarkStart w:id="185" w:name="_ab1532d6_e98f_4d90_921c_5a61801ea59d"/>
      <w:bookmarkStart w:id="186" w:name="_088c38cb_98a7_45a8_85d2_aa8a304d16b6"/>
      <w:bookmarkStart w:id="187" w:name="Tc_KNTZMyhcGkCOj7TLSQFY3g_19_0"/>
      <w:bookmarkStart w:id="188" w:name="Tc_TupSQOscrEyBHzAydXPDmg_18_11"/>
      <w:bookmarkStart w:id="189" w:name="Tc_xNM-GDeTl021xG_tzQ7iiw_18_8"/>
      <w:bookmarkStart w:id="190" w:name="Tc_c6rX1d5ZBU6sbk1sHyLalg_18_5"/>
      <w:bookmarkStart w:id="191" w:name="Tc_vC-Gi4nCC0u3IfyxpPgzlQ_18_2"/>
      <w:bookmarkStart w:id="192" w:name="Tc_lc9a7DeIs0W-b1ucrEnvyA_18_0"/>
      <w:bookmarkStart w:id="193" w:name="Tc_dQrDkDzBN0yruvKS57M1yA_17_11"/>
      <w:bookmarkStart w:id="194" w:name="Tc_RDXDt1hmQUKB1QES0BVVww_17_8"/>
      <w:bookmarkStart w:id="195" w:name="Tc_HumBsfQz10GexMGQNkfIBQ_17_5"/>
      <w:bookmarkStart w:id="196" w:name="Tc_ygSZ9n9qKkmSd3QWmp3gvw_17_2"/>
      <w:bookmarkStart w:id="197" w:name="Tc_2thoom31jkqoDM5w63VlUg_17_0"/>
      <w:bookmarkStart w:id="198" w:name="Tc_BtmozeXdZkihnqfYKLPThw_16_0"/>
      <w:bookmarkStart w:id="199" w:name="Tc_Fbl3HE0RDUy_aZrUrmrrVw_15_0"/>
      <w:bookmarkStart w:id="200" w:name="Tc_LH1RlL96hUOQZ2egBI73yg_14_0"/>
      <w:bookmarkStart w:id="201" w:name="Tc_VbIhW4lM_kmndljYHb0BEw_13_9"/>
      <w:bookmarkStart w:id="202" w:name="Tc_HB9fYyy0tEKJlHby2DpVrA_13_6"/>
      <w:bookmarkStart w:id="203" w:name="Tc_rHSXk0zC4E2U8dQD-g9NiQ_13_3"/>
      <w:bookmarkStart w:id="204" w:name="Tc_kwxrH6Js90i8N3WnoO6Xow_13_0"/>
      <w:bookmarkStart w:id="205" w:name="Tc_MGN-WvJK3E60uqeZAQljKQ_12_0"/>
      <w:bookmarkStart w:id="206" w:name="Tc_EGX2p1B4S0SZk-H8pFVXVg_11_0"/>
      <w:bookmarkStart w:id="207" w:name="Tc_Sh3GgHLLxku7KB_eX2hyHA_10_0"/>
      <w:bookmarkStart w:id="208" w:name="Tc_dX3xVtFjJEG43g9AIOaPGg_9_0"/>
      <w:bookmarkStart w:id="209" w:name="Tc_2vJe8C1tUEKEn4ZdcEKXZw_8_0"/>
      <w:bookmarkStart w:id="210" w:name="Tc_Y3Jdo-RTyUi0Iugcg1qDjQ_7_0"/>
      <w:bookmarkStart w:id="211" w:name="Tc_DqLl-qEjIkyy3_-7fToLLw_6_0"/>
      <w:bookmarkStart w:id="212" w:name="Tc_TsI-pRYcB0m90PIRhboFRw_5_0"/>
      <w:bookmarkStart w:id="213" w:name="Tc_aAYVXsH-gEqRkl9fFxkDYQ_4_0"/>
      <w:bookmarkStart w:id="214" w:name="Tc_7kOsGWLAPkujGkgvWp4bbA_3_11"/>
      <w:bookmarkStart w:id="215" w:name="Tc_6Gkvuhk98UuNt_ugWYnh-A_3_8"/>
      <w:bookmarkStart w:id="216" w:name="Tc_Itq_eSRQD0i2VXS7YL3Ocw_3_5"/>
      <w:bookmarkStart w:id="217" w:name="Tc_CW2ZCT-wn0SL_xZA1-e5AA_3_2"/>
      <w:bookmarkStart w:id="218" w:name="Tc_EgQ6Ul8pnUyXT-5d_e3SJg_3_0"/>
      <w:bookmarkStart w:id="219" w:name="Tc_EtYRZHM8V0qYWnhHBmtkkQ_2_11"/>
      <w:bookmarkStart w:id="220" w:name="Tc_DzhSm_IK3kiuBnxz2kzg4w_2_8"/>
      <w:bookmarkStart w:id="221" w:name="Tc_qh7SvnYt9kqn4GZRld1yoA_2_5"/>
      <w:bookmarkStart w:id="222" w:name="Tc_6gktM61JVE6DtGl5ZkTMsw_2_2"/>
      <w:bookmarkStart w:id="223" w:name="Tc_qnovl7CEsEWrMZSUH5_9ng_1_8"/>
      <w:bookmarkStart w:id="224" w:name="Tc_thMkOLXaiUKRyNV-MexbKQ_1_2"/>
      <w:bookmarkStart w:id="225" w:name="_ab1532d6_e98f_4d90_921c_5a61801ea59d"/>
      <w:bookmarkStart w:id="226" w:name="_088c38cb_98a7_45a8_85d2_aa8a304d16b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3425"/>
        <w:gridCol w:w="326"/>
        <w:gridCol w:w="247"/>
        <w:gridCol w:w="1091"/>
        <w:gridCol w:w="382"/>
        <w:gridCol w:w="247"/>
        <w:gridCol w:w="1091"/>
        <w:gridCol w:w="326"/>
        <w:gridCol w:w="238"/>
        <w:gridCol w:w="1052"/>
        <w:gridCol w:w="368"/>
        <w:gridCol w:w="238"/>
        <w:gridCol w:w="1174"/>
      </w:tblGrid>
      <w:tr>
        <w:trPr/>
        <w:tc>
          <w:tcPr>
            <w:tcW w:w="3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74875" cy="175260"/>
                      <wp:effectExtent l="0" t="0" r="0" b="0"/>
                      <wp:wrapNone/>
                      <wp:docPr id="22" name="Frame21"/>
                      <a:graphic xmlns:a="http://schemas.openxmlformats.org/drawingml/2006/main">
                        <a:graphicData uri="http://schemas.microsoft.com/office/word/2010/wordprocessingShape">
                          <wps:wsp>
                            <wps:cNvSpPr txBox="1"/>
                            <wps:spPr>
                              <a:xfrm>
                                <a:off x="0" y="0"/>
                                <a:ext cx="2174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07010" cy="175260"/>
                      <wp:effectExtent l="0" t="0" r="0" b="0"/>
                      <wp:wrapNone/>
                      <wp:docPr id="23"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56845" cy="175260"/>
                      <wp:effectExtent l="0" t="0" r="0" b="0"/>
                      <wp:wrapNone/>
                      <wp:docPr id="24" name="Frame23"/>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785" cy="175260"/>
                      <wp:effectExtent l="0" t="0" r="0" b="0"/>
                      <wp:wrapNone/>
                      <wp:docPr id="25" name="Frame24"/>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42570" cy="175260"/>
                      <wp:effectExtent l="0" t="0" r="0" b="0"/>
                      <wp:wrapNone/>
                      <wp:docPr id="26" name="Frame25"/>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56845" cy="175260"/>
                      <wp:effectExtent l="0" t="0" r="0" b="0"/>
                      <wp:wrapNone/>
                      <wp:docPr id="27" name="Frame26"/>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92785" cy="175260"/>
                      <wp:effectExtent l="0" t="0" r="0" b="0"/>
                      <wp:wrapNone/>
                      <wp:docPr id="28" name="Frame27"/>
                      <a:graphic xmlns:a="http://schemas.openxmlformats.org/drawingml/2006/main">
                        <a:graphicData uri="http://schemas.microsoft.com/office/word/2010/wordprocessingShape">
                          <wps:wsp>
                            <wps:cNvSpPr txBox="1"/>
                            <wps:spPr>
                              <a:xfrm>
                                <a:off x="0" y="0"/>
                                <a:ext cx="69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1130" cy="175260"/>
                      <wp:effectExtent l="0" t="0" r="0" b="0"/>
                      <wp:wrapNone/>
                      <wp:docPr id="30" name="Frame2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8020" cy="175260"/>
                      <wp:effectExtent l="0" t="0" r="0" b="0"/>
                      <wp:wrapNone/>
                      <wp:docPr id="31" name="Frame30"/>
                      <a:graphic xmlns:a="http://schemas.openxmlformats.org/drawingml/2006/main">
                        <a:graphicData uri="http://schemas.microsoft.com/office/word/2010/wordprocessingShape">
                          <wps:wsp>
                            <wps:cNvSpPr txBox="1"/>
                            <wps:spPr>
                              <a:xfrm>
                                <a:off x="0" y="0"/>
                                <a:ext cx="668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33680" cy="175260"/>
                      <wp:effectExtent l="0" t="0" r="0" b="0"/>
                      <wp:wrapNone/>
                      <wp:docPr id="32" name="Frame31"/>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51130" cy="175260"/>
                      <wp:effectExtent l="0" t="0" r="0" b="0"/>
                      <wp:wrapNone/>
                      <wp:docPr id="33" name="Frame3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745490" cy="175260"/>
                      <wp:effectExtent l="0" t="0" r="0" b="0"/>
                      <wp:wrapNone/>
                      <wp:docPr id="34" name="Frame33"/>
                      <a:graphic xmlns:a="http://schemas.openxmlformats.org/drawingml/2006/main">
                        <a:graphicData uri="http://schemas.microsoft.com/office/word/2010/wordprocessingShape">
                          <wps:wsp>
                            <wps:cNvSpPr txBox="1"/>
                            <wps:spPr>
                              <a:xfrm>
                                <a:off x="0" y="0"/>
                                <a:ext cx="7454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30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September 30, </w:t>
            </w:r>
          </w:p>
        </w:tc>
        <w:tc>
          <w:tcPr>
            <w:tcW w:w="326" w:type="dxa"/>
            <w:tcBorders/>
            <w:vAlign w:val="center"/>
          </w:tcPr>
          <w:p>
            <w:pPr>
              <w:pStyle w:val="TableContents"/>
              <w:bidi w:val="0"/>
              <w:spacing w:before="0" w:after="1"/>
              <w:ind w:left="0" w:right="0" w:hanging="0"/>
              <w:jc w:val="center"/>
              <w:rPr/>
            </w:pPr>
            <w:r>
              <w:rPr/>
              <w:t>    </w:t>
            </w:r>
          </w:p>
        </w:tc>
        <w:tc>
          <w:tcPr>
            <w:tcW w:w="30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342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3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82" w:type="dxa"/>
            <w:tcBorders/>
            <w:vAlign w:val="center"/>
          </w:tcPr>
          <w:p>
            <w:pPr>
              <w:pStyle w:val="TableContents"/>
              <w:bidi w:val="0"/>
              <w:spacing w:before="0" w:after="1"/>
              <w:ind w:left="0" w:right="0" w:hanging="0"/>
              <w:jc w:val="center"/>
              <w:rPr/>
            </w:pPr>
            <w:r>
              <w:rPr/>
              <w:t>    </w:t>
            </w:r>
          </w:p>
        </w:tc>
        <w:tc>
          <w:tcPr>
            <w:tcW w:w="13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2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8" w:type="dxa"/>
            <w:tcBorders/>
            <w:vAlign w:val="center"/>
          </w:tcPr>
          <w:p>
            <w:pPr>
              <w:pStyle w:val="TableContents"/>
              <w:bidi w:val="0"/>
              <w:spacing w:before="0" w:after="1"/>
              <w:ind w:left="0" w:right="0" w:hanging="0"/>
              <w:jc w:val="center"/>
              <w:rPr/>
            </w:pPr>
            <w:r>
              <w:rPr/>
              <w:t>    </w:t>
            </w:r>
          </w:p>
        </w:tc>
        <w:tc>
          <w:tcPr>
            <w:tcW w:w="14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340</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pPr>
            <w:r>
              <w:rPr/>
              <w:t>​</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174" w:type="dxa"/>
            <w:tcBorders/>
            <w:vAlign w:val="center"/>
          </w:tcPr>
          <w:p>
            <w:pPr>
              <w:pStyle w:val="TableContents"/>
              <w:bidi w:val="0"/>
              <w:spacing w:before="0" w:after="1"/>
              <w:ind w:left="0" w:right="0" w:hanging="0"/>
              <w:jc w:val="right"/>
              <w:rPr/>
            </w:pPr>
            <w:r>
              <w:rPr/>
              <w:t>​</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270</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38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6,489</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8,419</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2,391</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3,074</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8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4,443</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5,764</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1,377</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382"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15,237</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17,886</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(5,081)</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(14,897)</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(17,503)</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pPr>
            <w:r>
              <w:rPr/>
              <w:t>​</w:t>
            </w:r>
          </w:p>
        </w:tc>
        <w:tc>
          <w:tcPr>
            <w:tcW w:w="38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pPr>
            <w:r>
              <w:rPr/>
              <w:t>​</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174" w:type="dxa"/>
            <w:tcBorders/>
            <w:vAlign w:val="center"/>
          </w:tcPr>
          <w:p>
            <w:pPr>
              <w:pStyle w:val="TableContents"/>
              <w:bidi w:val="0"/>
              <w:spacing w:before="0" w:after="1"/>
              <w:ind w:left="0" w:right="0" w:hanging="0"/>
              <w:jc w:val="right"/>
              <w:rPr/>
            </w:pPr>
            <w:r>
              <w:rPr/>
              <w:t>​</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pPr>
            <w:r>
              <w:rPr/>
              <w:t>—</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shd w:fill="CCEEFF" w:val="clear"/>
            <w:vAlign w:val="center"/>
          </w:tcPr>
          <w:p>
            <w:pPr>
              <w:pStyle w:val="TableContents"/>
              <w:bidi w:val="0"/>
              <w:spacing w:before="0" w:after="1"/>
              <w:ind w:left="0" w:right="0" w:hanging="0"/>
              <w:jc w:val="left"/>
              <w:rPr/>
            </w:pPr>
            <w:r>
              <w:rPr/>
              <w:t> </w:t>
            </w:r>
          </w:p>
        </w:tc>
        <w:tc>
          <w:tcPr>
            <w:tcW w:w="10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052" w:type="dxa"/>
            <w:tcBorders/>
            <w:shd w:fill="CCEEFF" w:val="cle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117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82" w:type="dxa"/>
            <w:tcBorders/>
            <w:vAlign w:val="center"/>
          </w:tcPr>
          <w:p>
            <w:pPr>
              <w:pStyle w:val="TableContents"/>
              <w:bidi w:val="0"/>
              <w:spacing w:before="0" w:after="1"/>
              <w:ind w:left="0" w:right="0" w:hanging="0"/>
              <w:jc w:val="left"/>
              <w:rPr/>
            </w:pPr>
            <w:r>
              <w:rPr/>
              <w:t>​</w:t>
            </w:r>
          </w:p>
        </w:tc>
        <w:tc>
          <w:tcPr>
            <w:tcW w:w="247" w:type="dxa"/>
            <w:tcBorders/>
            <w:vAlign w:val="center"/>
          </w:tcPr>
          <w:p>
            <w:pPr>
              <w:pStyle w:val="TableContents"/>
              <w:bidi w:val="0"/>
              <w:spacing w:before="0" w:after="1"/>
              <w:ind w:left="0" w:right="0" w:hanging="0"/>
              <w:jc w:val="left"/>
              <w:rPr/>
            </w:pPr>
            <w:r>
              <w:rPr/>
              <w:t> </w:t>
            </w:r>
          </w:p>
        </w:tc>
        <w:tc>
          <w:tcPr>
            <w:tcW w:w="10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05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68"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117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648</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82" w:type="dxa"/>
            <w:tcBorders/>
            <w:vAlign w:val="center"/>
          </w:tcPr>
          <w:p>
            <w:pPr>
              <w:pStyle w:val="TableContents"/>
              <w:bidi w:val="0"/>
              <w:spacing w:before="0" w:after="1"/>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5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628</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7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2,741</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(3,412)</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(14,762)</w:t>
            </w:r>
          </w:p>
        </w:tc>
      </w:tr>
      <w:tr>
        <w:trPr/>
        <w:tc>
          <w:tcPr>
            <w:tcW w:w="342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 and diluted loss per common share</w:t>
            </w:r>
          </w:p>
        </w:tc>
        <w:tc>
          <w:tcPr>
            <w:tcW w:w="326"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(0.50)</w:t>
            </w:r>
          </w:p>
        </w:tc>
        <w:tc>
          <w:tcPr>
            <w:tcW w:w="382" w:type="dxa"/>
            <w:tcBorders/>
            <w:vAlign w:val="center"/>
          </w:tcPr>
          <w:p>
            <w:pPr>
              <w:pStyle w:val="TableContents"/>
              <w:bidi w:val="0"/>
              <w:spacing w:before="0" w:after="1"/>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(0.86)</w:t>
            </w:r>
          </w:p>
        </w:tc>
        <w:tc>
          <w:tcPr>
            <w:tcW w:w="326"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5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w:t>
            </w:r>
          </w:p>
        </w:tc>
        <w:tc>
          <w:tcPr>
            <w:tcW w:w="368" w:type="dxa"/>
            <w:tcBorders/>
            <w:vAlign w:val="center"/>
          </w:tcPr>
          <w:p>
            <w:pPr>
              <w:pStyle w:val="TableContents"/>
              <w:bidi w:val="0"/>
              <w:spacing w:before="0" w:after="1"/>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7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r>
      <w:tr>
        <w:trPr/>
        <w:tc>
          <w:tcPr>
            <w:tcW w:w="34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6,834,170</w:t>
            </w:r>
          </w:p>
        </w:tc>
        <w:tc>
          <w:tcPr>
            <w:tcW w:w="382" w:type="dxa"/>
            <w:tcBorders/>
            <w:shd w:fill="CCEEFF" w:val="clear"/>
            <w:vAlign w:val="center"/>
          </w:tcPr>
          <w:p>
            <w:pPr>
              <w:pStyle w:val="TableContents"/>
              <w:bidi w:val="0"/>
              <w:spacing w:before="0" w:after="1"/>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4,762,187</w:t>
            </w:r>
          </w:p>
        </w:tc>
        <w:tc>
          <w:tcPr>
            <w:tcW w:w="326"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5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6,446,274</w:t>
            </w:r>
          </w:p>
        </w:tc>
        <w:tc>
          <w:tcPr>
            <w:tcW w:w="368" w:type="dxa"/>
            <w:tcBorders/>
            <w:shd w:fill="CCEEFF" w:val="clear"/>
            <w:vAlign w:val="center"/>
          </w:tcPr>
          <w:p>
            <w:pPr>
              <w:pStyle w:val="TableContents"/>
              <w:bidi w:val="0"/>
              <w:spacing w:before="0" w:after="1"/>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7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4,467,436</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dicussed in Note 1.</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71574824_8cbd_4386_bd52_dfeaaa3709d4"/>
      <w:bookmarkEnd w:id="227"/>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for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8" w:name="Tc_c0HcJBDIZUaMfzQPrLk8MQ_27_13"/>
      <w:bookmarkStart w:id="229" w:name="Tc_Ju8KSOKFR0iualYf_F-PZA_27_10"/>
      <w:bookmarkStart w:id="230" w:name="Tc_qWwSWCeEgkmvmYyo3BCN6g_27_7"/>
      <w:bookmarkStart w:id="231" w:name="Tc_rOW94dEwMkmlEQWZfD1q0w_27_4"/>
      <w:bookmarkStart w:id="232" w:name="Tc_7RK6KAIizk6agUexONgFnA_27_0"/>
      <w:bookmarkStart w:id="233" w:name="Tc_7g6LH3YmlEO35z-WFI7rZw_26_8"/>
      <w:bookmarkStart w:id="234" w:name="Tc_BVG4PZqaIEqfw8AtaHVLrQ_26_5"/>
      <w:bookmarkStart w:id="235" w:name="Tc_yJ3Aq75BlU-X7epRKOamSA_26_2"/>
      <w:bookmarkStart w:id="236" w:name="Tc_pQ3YNydSG02E9oLHzmKpng_26_0"/>
      <w:bookmarkStart w:id="237" w:name="Tc_flNm7Xst3k6im4rnDZ64Pw_25_11"/>
      <w:bookmarkStart w:id="238" w:name="Tc_K8xpF2SorUWshAPH4iUXdA_25_5"/>
      <w:bookmarkStart w:id="239" w:name="Tc_o98LbsWUEEiKF1cEJ5uzYw_25_0"/>
      <w:bookmarkStart w:id="240" w:name="Tc_2O8HE1GCgkSEGrlwnr0D1g_24_11"/>
      <w:bookmarkStart w:id="241" w:name="Tc_c4bRIRCSB0uasmHmozlBAA_24_5"/>
      <w:bookmarkStart w:id="242" w:name="Tc_SmgAmqlAgECBPPEDeUvN2A_24_2"/>
      <w:bookmarkStart w:id="243" w:name="Tc_vpeav7ouRUCQDDhRuTH5sA_24_0"/>
      <w:bookmarkStart w:id="244" w:name="Tc_bZKBXrxWtEeB2fYwJhCkrw_23_14"/>
      <w:bookmarkStart w:id="245" w:name="Tc_BKEalpoL8ker6qDigy8DcA_23_11"/>
      <w:bookmarkStart w:id="246" w:name="Tc_D1X20MyfZkGz2SYOaWJZrg_23_8"/>
      <w:bookmarkStart w:id="247" w:name="Tc_Ajab_2o-mk-2QaSNTa0cSQ_23_5"/>
      <w:bookmarkStart w:id="248" w:name="Tc_VmlRHPC_a0meM0wzo13LFA_23_0"/>
      <w:bookmarkStart w:id="249" w:name="Tc_yE27DlYUUEqQ3yzUGJofZA_22_11"/>
      <w:bookmarkStart w:id="250" w:name="Tc_TvOCm0i5vk-oT15Xas52pQ_22_5"/>
      <w:bookmarkStart w:id="251" w:name="Tc_kBdBPyKZXEKXGKyhFuAlog_22_2"/>
      <w:bookmarkStart w:id="252" w:name="Tc_53gmb7GOQk2Ym2eMSw9miw_22_0"/>
      <w:bookmarkStart w:id="253" w:name="Tc_OntFP6msH02obxVHrv2LkA_21_11"/>
      <w:bookmarkStart w:id="254" w:name="Tc_o1h9k5Zoa0eGObjZf6b6vA_21_5"/>
      <w:bookmarkStart w:id="255" w:name="Tc_xo-Q-lNFh0KamxrJn9FcpQ_21_2"/>
      <w:bookmarkStart w:id="256" w:name="Tc_ZbkHqBU_B0C-Px7-M68Dzg_21_0"/>
      <w:bookmarkStart w:id="257" w:name="Tc_DdDrRDq8F0CMSG2kbNsyCw_20_0"/>
      <w:bookmarkStart w:id="258" w:name="Tc_Oo_JYjWbO0OtQRDMBKpbww_19_8"/>
      <w:bookmarkStart w:id="259" w:name="Tc_EdXtTm7f-UuxZfXURWxHgA_19_5"/>
      <w:bookmarkStart w:id="260" w:name="Tc_5Fu2Epy6lkCR2nT5W6OzJg_19_2"/>
      <w:bookmarkStart w:id="261" w:name="Tc_yoR44gJU70i9hG88dDDMwg_19_0"/>
      <w:bookmarkStart w:id="262" w:name="Tc_0OrczEtrcEym00VahP2sMg_18_14"/>
      <w:bookmarkStart w:id="263" w:name="Tc_ozy9T_IOu0C8onMbQ0F-pQ_18_11"/>
      <w:bookmarkStart w:id="264" w:name="Tc_bMfXQPSlSU2bnycwN6b-LQ_18_8"/>
      <w:bookmarkStart w:id="265" w:name="Tc_SmoF1ZpwQUiRbldyH0yzlw_18_5"/>
      <w:bookmarkStart w:id="266" w:name="Tc_yU_YPgOQnUSYhKe6UCM_2w_18_0"/>
      <w:bookmarkStart w:id="267" w:name="Tc_MCJFc52XwUm2c3OS3MIf7Q_17_11"/>
      <w:bookmarkStart w:id="268" w:name="Tc_BazliV86L0e8KV4H7376kg_17_5"/>
      <w:bookmarkStart w:id="269" w:name="Tc_NrGARY1Ie0yY4C0Ko6cetQ_17_0"/>
      <w:bookmarkStart w:id="270" w:name="Tc_4AC4VsldlE-Bqfc_d5C4uQ_16_14"/>
      <w:bookmarkStart w:id="271" w:name="Tc_Pssc-5z0AkWynhF0kWe6Gw_16_11"/>
      <w:bookmarkStart w:id="272" w:name="Tc_lvZy930TEk-DtAZT58Nvdw_16_8"/>
      <w:bookmarkStart w:id="273" w:name="Tc_iUAiv5N-oECz3qqhcWCTlg_16_5"/>
      <w:bookmarkStart w:id="274" w:name="Tc_QhIpf2efVUGJtfT3z_4VYQ_16_0"/>
      <w:bookmarkStart w:id="275" w:name="Tc_xXwwUBUIOEypIjVZHDiMMw_15_11"/>
      <w:bookmarkStart w:id="276" w:name="Tc_58O354eStUOa54YaoqMozg_15_5"/>
      <w:bookmarkStart w:id="277" w:name="Tc_guoUG7Rs1k6j28SItaDGSA_15_2"/>
      <w:bookmarkStart w:id="278" w:name="Tc_ioUqwD08JU27ajDCZgvoxQ_15_0"/>
      <w:bookmarkStart w:id="279" w:name="Tc_dO1UU5L9Okq8tw4DUos1mg_14_11"/>
      <w:bookmarkStart w:id="280" w:name="Tc_-uTpyibQaUKsTdHuvycg2A_14_5"/>
      <w:bookmarkStart w:id="281" w:name="Tc_bPLZxkxsIUSgoh0as0aFlg_14_2"/>
      <w:bookmarkStart w:id="282" w:name="Tc_mgcG-VH1LU-knpyDVMITag_14_0"/>
      <w:bookmarkStart w:id="283" w:name="Tc_VelHhm8nmk6oq_F6IFO-lA_13_0"/>
      <w:bookmarkStart w:id="284" w:name="Tc_GL8eO41voEybqVmNFf17_w_12_8"/>
      <w:bookmarkStart w:id="285" w:name="Tc_zkrTGgOBZ0mlRvQUDpo2qA_12_5"/>
      <w:bookmarkStart w:id="286" w:name="Tc_ictdgGN8EkG5xAKQeyIw3A_12_2"/>
      <w:bookmarkStart w:id="287" w:name="Tc_-HMbTfG6M0SX238a8g1LCg_12_0"/>
      <w:bookmarkStart w:id="288" w:name="Tc_L7a_-WQhfEuS_lYNrqgZlw_11_11"/>
      <w:bookmarkStart w:id="289" w:name="Tc_VoPW0TjBq0GCmfstLue16w_11_5"/>
      <w:bookmarkStart w:id="290" w:name="Tc_CY7K581viEGAKsTvMniDbw_11_0"/>
      <w:bookmarkStart w:id="291" w:name="Tc_lpm2gpK32kWGChYhAcuNDQ_10_11"/>
      <w:bookmarkStart w:id="292" w:name="Tc_pXGnjsObrE2QFSBq2lFcMw_10_5"/>
      <w:bookmarkStart w:id="293" w:name="Tc_6KqxXAAKLUGwEtSKJjQNOA_10_0"/>
      <w:bookmarkStart w:id="294" w:name="Tc_3UpUN1pLbEy7geBq2R64DQ_9_11"/>
      <w:bookmarkStart w:id="295" w:name="Tc_s99IV9NLiEuMdwxCRNEmjA_9_5"/>
      <w:bookmarkStart w:id="296" w:name="Tc_gaG-acP3u0GIOXesYKRtrw_9_2"/>
      <w:bookmarkStart w:id="297" w:name="Tc_gLqX8eprmkG-9qtdOx-_Nw_9_0"/>
      <w:bookmarkStart w:id="298" w:name="Tc_bwn0GDQSCEa6DnAGVvODXQ_8_14"/>
      <w:bookmarkStart w:id="299" w:name="Tc_O0QUtRM9lk6kOT0T3cMCdw_8_11"/>
      <w:bookmarkStart w:id="300" w:name="Tc_JT2pDrHIdkmo_6gYe0Nr_Q_8_8"/>
      <w:bookmarkStart w:id="301" w:name="Tc_MGz33H-wZkSycctbMM5OdQ_8_5"/>
      <w:bookmarkStart w:id="302" w:name="Tc_dpsJMAEqXECP98LtypZDyA_8_0"/>
      <w:bookmarkStart w:id="303" w:name="Tc_iO3JLjQG7ka7lOBk2bKlLA_7_11"/>
      <w:bookmarkStart w:id="304" w:name="Tc_tVK2eNzM0kykHf1Oj8M1Qw_7_5"/>
      <w:bookmarkStart w:id="305" w:name="Tc_pLG4z2Mz5UCKm7p1ZCRJmQ_7_2"/>
      <w:bookmarkStart w:id="306" w:name="Tc_3voqSaywhku9GtDKW_X6tQ_7_0"/>
      <w:bookmarkStart w:id="307" w:name="Tc_8jA0Pu17wk-2UptINKMgpg_6_11"/>
      <w:bookmarkStart w:id="308" w:name="Tc_Ja3HilV2Q0OO6utSYEdBew_6_5"/>
      <w:bookmarkStart w:id="309" w:name="Tc_Ud_uip4G906rHsKd45qzEw_6_2"/>
      <w:bookmarkStart w:id="310" w:name="Tc_yN5TPCNMb0-W5seaUD581w_6_0"/>
      <w:bookmarkStart w:id="311" w:name="Tc_wuEivYvTJ0CBgIT9MU5DzQ_5_11"/>
      <w:bookmarkStart w:id="312" w:name="Tc_nSKPiZriJU2hszLnFjBdHA_5_5"/>
      <w:bookmarkStart w:id="313" w:name="Tc_z0PvVtg3TkuPmA85ussORQ_5_2"/>
      <w:bookmarkStart w:id="314" w:name="Tc_fy-mGyYzHUS8Fa2aGmMWVg_5_0"/>
      <w:bookmarkStart w:id="315" w:name="Tc_OV0D8Gbo50i8XTVvnUkmNA_4_13"/>
      <w:bookmarkStart w:id="316" w:name="Tc_aHmJy0dfgU68cxqWSLOUpQ_4_10"/>
      <w:bookmarkStart w:id="317" w:name="Tc_Dp0FhXNRl0epcfxdH7qYNg_4_7"/>
      <w:bookmarkStart w:id="318" w:name="Tc_eiTYIZvKS066K4qp_NozgA_4_4"/>
      <w:bookmarkStart w:id="319" w:name="Tc_EYrcAebivEK0x0Xxo9C2-Q_4_0"/>
      <w:bookmarkStart w:id="320" w:name="Tc_RooeRXf_HUqz7Rhba7I9Aw_3_13"/>
      <w:bookmarkStart w:id="321" w:name="Tc_S_-ujouZo0msE0lslWg-iQ_3_10"/>
      <w:bookmarkStart w:id="322" w:name="Tc_WhacnA0IOEm1nICmEBt21Q_3_7"/>
      <w:bookmarkStart w:id="323" w:name="Tc_qZJabYaZ8EiWoXCw69eLfw_3_4"/>
      <w:bookmarkStart w:id="324" w:name="Tc_s0rhnTh9WU2oMzQS5jTiqw_3_2"/>
      <w:bookmarkStart w:id="325" w:name="Tc_0CEk3nJA5EeIrn38g9G7Tg_2_13"/>
      <w:bookmarkStart w:id="326" w:name="Tc_2-3cpjcAGk2AqvU0_65NHQ_2_10"/>
      <w:bookmarkStart w:id="327" w:name="Tc_a3e2XP4bv0O9GDO-BvLTQQ_2_7"/>
      <w:bookmarkStart w:id="328" w:name="Tc_r1n-ir1sukeIbKjEgjlzJA_2_2"/>
      <w:bookmarkStart w:id="329" w:name="Tc_X_dW-slod0yPKXTk68puaw_1_13"/>
      <w:bookmarkStart w:id="330" w:name="Tc_PgsVRZDu-EOsHqcC5ydgjg_1_7"/>
      <w:bookmarkStart w:id="331" w:name="_8e4fee66_3d83_48f5_b872_b96f8be05500"/>
      <w:bookmarkStart w:id="332" w:name="Tc_c0HcJBDIZUaMfzQPrLk8MQ_27_13"/>
      <w:bookmarkStart w:id="333" w:name="Tc_Ju8KSOKFR0iualYf_F-PZA_27_10"/>
      <w:bookmarkStart w:id="334" w:name="Tc_qWwSWCeEgkmvmYyo3BCN6g_27_7"/>
      <w:bookmarkStart w:id="335" w:name="Tc_rOW94dEwMkmlEQWZfD1q0w_27_4"/>
      <w:bookmarkStart w:id="336" w:name="Tc_7RK6KAIizk6agUexONgFnA_27_0"/>
      <w:bookmarkStart w:id="337" w:name="Tc_7g6LH3YmlEO35z-WFI7rZw_26_8"/>
      <w:bookmarkStart w:id="338" w:name="Tc_BVG4PZqaIEqfw8AtaHVLrQ_26_5"/>
      <w:bookmarkStart w:id="339" w:name="Tc_yJ3Aq75BlU-X7epRKOamSA_26_2"/>
      <w:bookmarkStart w:id="340" w:name="Tc_pQ3YNydSG02E9oLHzmKpng_26_0"/>
      <w:bookmarkStart w:id="341" w:name="Tc_flNm7Xst3k6im4rnDZ64Pw_25_11"/>
      <w:bookmarkStart w:id="342" w:name="Tc_K8xpF2SorUWshAPH4iUXdA_25_5"/>
      <w:bookmarkStart w:id="343" w:name="Tc_o98LbsWUEEiKF1cEJ5uzYw_25_0"/>
      <w:bookmarkStart w:id="344" w:name="Tc_2O8HE1GCgkSEGrlwnr0D1g_24_11"/>
      <w:bookmarkStart w:id="345" w:name="Tc_c4bRIRCSB0uasmHmozlBAA_24_5"/>
      <w:bookmarkStart w:id="346" w:name="Tc_SmgAmqlAgECBPPEDeUvN2A_24_2"/>
      <w:bookmarkStart w:id="347" w:name="Tc_vpeav7ouRUCQDDhRuTH5sA_24_0"/>
      <w:bookmarkStart w:id="348" w:name="Tc_bZKBXrxWtEeB2fYwJhCkrw_23_14"/>
      <w:bookmarkStart w:id="349" w:name="Tc_BKEalpoL8ker6qDigy8DcA_23_11"/>
      <w:bookmarkStart w:id="350" w:name="Tc_D1X20MyfZkGz2SYOaWJZrg_23_8"/>
      <w:bookmarkStart w:id="351" w:name="Tc_Ajab_2o-mk-2QaSNTa0cSQ_23_5"/>
      <w:bookmarkStart w:id="352" w:name="Tc_VmlRHPC_a0meM0wzo13LFA_23_0"/>
      <w:bookmarkStart w:id="353" w:name="Tc_yE27DlYUUEqQ3yzUGJofZA_22_11"/>
      <w:bookmarkStart w:id="354" w:name="Tc_TvOCm0i5vk-oT15Xas52pQ_22_5"/>
      <w:bookmarkStart w:id="355" w:name="Tc_kBdBPyKZXEKXGKyhFuAlog_22_2"/>
      <w:bookmarkStart w:id="356" w:name="Tc_53gmb7GOQk2Ym2eMSw9miw_22_0"/>
      <w:bookmarkStart w:id="357" w:name="Tc_OntFP6msH02obxVHrv2LkA_21_11"/>
      <w:bookmarkStart w:id="358" w:name="Tc_o1h9k5Zoa0eGObjZf6b6vA_21_5"/>
      <w:bookmarkStart w:id="359" w:name="Tc_xo-Q-lNFh0KamxrJn9FcpQ_21_2"/>
      <w:bookmarkStart w:id="360" w:name="Tc_ZbkHqBU_B0C-Px7-M68Dzg_21_0"/>
      <w:bookmarkStart w:id="361" w:name="Tc_DdDrRDq8F0CMSG2kbNsyCw_20_0"/>
      <w:bookmarkStart w:id="362" w:name="Tc_Oo_JYjWbO0OtQRDMBKpbww_19_8"/>
      <w:bookmarkStart w:id="363" w:name="Tc_EdXtTm7f-UuxZfXURWxHgA_19_5"/>
      <w:bookmarkStart w:id="364" w:name="Tc_5Fu2Epy6lkCR2nT5W6OzJg_19_2"/>
      <w:bookmarkStart w:id="365" w:name="Tc_yoR44gJU70i9hG88dDDMwg_19_0"/>
      <w:bookmarkStart w:id="366" w:name="Tc_0OrczEtrcEym00VahP2sMg_18_14"/>
      <w:bookmarkStart w:id="367" w:name="Tc_ozy9T_IOu0C8onMbQ0F-pQ_18_11"/>
      <w:bookmarkStart w:id="368" w:name="Tc_bMfXQPSlSU2bnycwN6b-LQ_18_8"/>
      <w:bookmarkStart w:id="369" w:name="Tc_SmoF1ZpwQUiRbldyH0yzlw_18_5"/>
      <w:bookmarkStart w:id="370" w:name="Tc_yU_YPgOQnUSYhKe6UCM_2w_18_0"/>
      <w:bookmarkStart w:id="371" w:name="Tc_MCJFc52XwUm2c3OS3MIf7Q_17_11"/>
      <w:bookmarkStart w:id="372" w:name="Tc_BazliV86L0e8KV4H7376kg_17_5"/>
      <w:bookmarkStart w:id="373" w:name="Tc_NrGARY1Ie0yY4C0Ko6cetQ_17_0"/>
      <w:bookmarkStart w:id="374" w:name="Tc_4AC4VsldlE-Bqfc_d5C4uQ_16_14"/>
      <w:bookmarkStart w:id="375" w:name="Tc_Pssc-5z0AkWynhF0kWe6Gw_16_11"/>
      <w:bookmarkStart w:id="376" w:name="Tc_lvZy930TEk-DtAZT58Nvdw_16_8"/>
      <w:bookmarkStart w:id="377" w:name="Tc_iUAiv5N-oECz3qqhcWCTlg_16_5"/>
      <w:bookmarkStart w:id="378" w:name="Tc_QhIpf2efVUGJtfT3z_4VYQ_16_0"/>
      <w:bookmarkStart w:id="379" w:name="Tc_xXwwUBUIOEypIjVZHDiMMw_15_11"/>
      <w:bookmarkStart w:id="380" w:name="Tc_58O354eStUOa54YaoqMozg_15_5"/>
      <w:bookmarkStart w:id="381" w:name="Tc_guoUG7Rs1k6j28SItaDGSA_15_2"/>
      <w:bookmarkStart w:id="382" w:name="Tc_ioUqwD08JU27ajDCZgvoxQ_15_0"/>
      <w:bookmarkStart w:id="383" w:name="Tc_dO1UU5L9Okq8tw4DUos1mg_14_11"/>
      <w:bookmarkStart w:id="384" w:name="Tc_-uTpyibQaUKsTdHuvycg2A_14_5"/>
      <w:bookmarkStart w:id="385" w:name="Tc_bPLZxkxsIUSgoh0as0aFlg_14_2"/>
      <w:bookmarkStart w:id="386" w:name="Tc_mgcG-VH1LU-knpyDVMITag_14_0"/>
      <w:bookmarkStart w:id="387" w:name="Tc_VelHhm8nmk6oq_F6IFO-lA_13_0"/>
      <w:bookmarkStart w:id="388" w:name="Tc_GL8eO41voEybqVmNFf17_w_12_8"/>
      <w:bookmarkStart w:id="389" w:name="Tc_zkrTGgOBZ0mlRvQUDpo2qA_12_5"/>
      <w:bookmarkStart w:id="390" w:name="Tc_ictdgGN8EkG5xAKQeyIw3A_12_2"/>
      <w:bookmarkStart w:id="391" w:name="Tc_-HMbTfG6M0SX238a8g1LCg_12_0"/>
      <w:bookmarkStart w:id="392" w:name="Tc_L7a_-WQhfEuS_lYNrqgZlw_11_11"/>
      <w:bookmarkStart w:id="393" w:name="Tc_VoPW0TjBq0GCmfstLue16w_11_5"/>
      <w:bookmarkStart w:id="394" w:name="Tc_CY7K581viEGAKsTvMniDbw_11_0"/>
      <w:bookmarkStart w:id="395" w:name="Tc_lpm2gpK32kWGChYhAcuNDQ_10_11"/>
      <w:bookmarkStart w:id="396" w:name="Tc_pXGnjsObrE2QFSBq2lFcMw_10_5"/>
      <w:bookmarkStart w:id="397" w:name="Tc_6KqxXAAKLUGwEtSKJjQNOA_10_0"/>
      <w:bookmarkStart w:id="398" w:name="Tc_3UpUN1pLbEy7geBq2R64DQ_9_11"/>
      <w:bookmarkStart w:id="399" w:name="Tc_s99IV9NLiEuMdwxCRNEmjA_9_5"/>
      <w:bookmarkStart w:id="400" w:name="Tc_gaG-acP3u0GIOXesYKRtrw_9_2"/>
      <w:bookmarkStart w:id="401" w:name="Tc_gLqX8eprmkG-9qtdOx-_Nw_9_0"/>
      <w:bookmarkStart w:id="402" w:name="Tc_bwn0GDQSCEa6DnAGVvODXQ_8_14"/>
      <w:bookmarkStart w:id="403" w:name="Tc_O0QUtRM9lk6kOT0T3cMCdw_8_11"/>
      <w:bookmarkStart w:id="404" w:name="Tc_JT2pDrHIdkmo_6gYe0Nr_Q_8_8"/>
      <w:bookmarkStart w:id="405" w:name="Tc_MGz33H-wZkSycctbMM5OdQ_8_5"/>
      <w:bookmarkStart w:id="406" w:name="Tc_dpsJMAEqXECP98LtypZDyA_8_0"/>
      <w:bookmarkStart w:id="407" w:name="Tc_iO3JLjQG7ka7lOBk2bKlLA_7_11"/>
      <w:bookmarkStart w:id="408" w:name="Tc_tVK2eNzM0kykHf1Oj8M1Qw_7_5"/>
      <w:bookmarkStart w:id="409" w:name="Tc_pLG4z2Mz5UCKm7p1ZCRJmQ_7_2"/>
      <w:bookmarkStart w:id="410" w:name="Tc_3voqSaywhku9GtDKW_X6tQ_7_0"/>
      <w:bookmarkStart w:id="411" w:name="Tc_8jA0Pu17wk-2UptINKMgpg_6_11"/>
      <w:bookmarkStart w:id="412" w:name="Tc_Ja3HilV2Q0OO6utSYEdBew_6_5"/>
      <w:bookmarkStart w:id="413" w:name="Tc_Ud_uip4G906rHsKd45qzEw_6_2"/>
      <w:bookmarkStart w:id="414" w:name="Tc_yN5TPCNMb0-W5seaUD581w_6_0"/>
      <w:bookmarkStart w:id="415" w:name="Tc_wuEivYvTJ0CBgIT9MU5DzQ_5_11"/>
      <w:bookmarkStart w:id="416" w:name="Tc_nSKPiZriJU2hszLnFjBdHA_5_5"/>
      <w:bookmarkStart w:id="417" w:name="Tc_z0PvVtg3TkuPmA85ussORQ_5_2"/>
      <w:bookmarkStart w:id="418" w:name="Tc_fy-mGyYzHUS8Fa2aGmMWVg_5_0"/>
      <w:bookmarkStart w:id="419" w:name="Tc_OV0D8Gbo50i8XTVvnUkmNA_4_13"/>
      <w:bookmarkStart w:id="420" w:name="Tc_aHmJy0dfgU68cxqWSLOUpQ_4_10"/>
      <w:bookmarkStart w:id="421" w:name="Tc_Dp0FhXNRl0epcfxdH7qYNg_4_7"/>
      <w:bookmarkStart w:id="422" w:name="Tc_eiTYIZvKS066K4qp_NozgA_4_4"/>
      <w:bookmarkStart w:id="423" w:name="Tc_EYrcAebivEK0x0Xxo9C2-Q_4_0"/>
      <w:bookmarkStart w:id="424" w:name="Tc_RooeRXf_HUqz7Rhba7I9Aw_3_13"/>
      <w:bookmarkStart w:id="425" w:name="Tc_S_-ujouZo0msE0lslWg-iQ_3_10"/>
      <w:bookmarkStart w:id="426" w:name="Tc_WhacnA0IOEm1nICmEBt21Q_3_7"/>
      <w:bookmarkStart w:id="427" w:name="Tc_qZJabYaZ8EiWoXCw69eLfw_3_4"/>
      <w:bookmarkStart w:id="428" w:name="Tc_s0rhnTh9WU2oMzQS5jTiqw_3_2"/>
      <w:bookmarkStart w:id="429" w:name="Tc_0CEk3nJA5EeIrn38g9G7Tg_2_13"/>
      <w:bookmarkStart w:id="430" w:name="Tc_2-3cpjcAGk2AqvU0_65NHQ_2_10"/>
      <w:bookmarkStart w:id="431" w:name="Tc_a3e2XP4bv0O9GDO-BvLTQQ_2_7"/>
      <w:bookmarkStart w:id="432" w:name="Tc_r1n-ir1sukeIbKjEgjlzJA_2_2"/>
      <w:bookmarkStart w:id="433" w:name="Tc_X_dW-slod0yPKXTk68puaw_1_13"/>
      <w:bookmarkStart w:id="434" w:name="Tc_PgsVRZDu-EOsHqcC5ydgjg_1_7"/>
      <w:bookmarkStart w:id="435" w:name="_8e4fee66_3d83_48f5_b872_b96f8be05500"/>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tbl>
      <w:tblPr>
        <w:tblW w:w="10205" w:type="dxa"/>
        <w:jc w:val="left"/>
        <w:tblInd w:w="0" w:type="dxa"/>
        <w:tblLayout w:type="fixed"/>
        <w:tblCellMar>
          <w:top w:w="0" w:type="dxa"/>
          <w:left w:w="0" w:type="dxa"/>
          <w:bottom w:w="0" w:type="dxa"/>
          <w:right w:w="0" w:type="dxa"/>
        </w:tblCellMar>
      </w:tblPr>
      <w:tblGrid>
        <w:gridCol w:w="4448"/>
        <w:gridCol w:w="326"/>
        <w:gridCol w:w="721"/>
        <w:gridCol w:w="326"/>
        <w:gridCol w:w="216"/>
        <w:gridCol w:w="415"/>
        <w:gridCol w:w="326"/>
        <w:gridCol w:w="187"/>
        <w:gridCol w:w="624"/>
        <w:gridCol w:w="326"/>
        <w:gridCol w:w="207"/>
        <w:gridCol w:w="739"/>
        <w:gridCol w:w="326"/>
        <w:gridCol w:w="244"/>
        <w:gridCol w:w="774"/>
      </w:tblGrid>
      <w:tr>
        <w:trPr/>
        <w:tc>
          <w:tcPr>
            <w:tcW w:w="44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824480" cy="175260"/>
                      <wp:effectExtent l="0" t="0" r="0" b="0"/>
                      <wp:wrapNone/>
                      <wp:docPr id="35" name="Frame34"/>
                      <a:graphic xmlns:a="http://schemas.openxmlformats.org/drawingml/2006/main">
                        <a:graphicData uri="http://schemas.microsoft.com/office/word/2010/wordprocessingShape">
                          <wps:wsp>
                            <wps:cNvSpPr txBox="1"/>
                            <wps:spPr>
                              <a:xfrm>
                                <a:off x="0" y="0"/>
                                <a:ext cx="2824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57835" cy="175260"/>
                      <wp:effectExtent l="0" t="0" r="0" b="0"/>
                      <wp:wrapNone/>
                      <wp:docPr id="37" name="Frame3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7160" cy="175260"/>
                      <wp:effectExtent l="0" t="0" r="0" b="0"/>
                      <wp:wrapNone/>
                      <wp:docPr id="39" name="Frame38"/>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63525" cy="175260"/>
                      <wp:effectExtent l="0" t="0" r="0" b="0"/>
                      <wp:wrapNone/>
                      <wp:docPr id="40" name="Frame39"/>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18745" cy="175260"/>
                      <wp:effectExtent l="0" t="0" r="0" b="0"/>
                      <wp:wrapNone/>
                      <wp:docPr id="42" name="Frame41"/>
                      <a:graphic xmlns:a="http://schemas.openxmlformats.org/drawingml/2006/main">
                        <a:graphicData uri="http://schemas.microsoft.com/office/word/2010/wordprocessingShape">
                          <wps:wsp>
                            <wps:cNvSpPr txBox="1"/>
                            <wps:spPr>
                              <a:xfrm>
                                <a:off x="0" y="0"/>
                                <a:ext cx="118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396240" cy="175260"/>
                      <wp:effectExtent l="0" t="0" r="0" b="0"/>
                      <wp:wrapNone/>
                      <wp:docPr id="43" name="Frame42"/>
                      <a:graphic xmlns:a="http://schemas.openxmlformats.org/drawingml/2006/main">
                        <a:graphicData uri="http://schemas.microsoft.com/office/word/2010/wordprocessingShape">
                          <wps:wsp>
                            <wps:cNvSpPr txBox="1"/>
                            <wps:spPr>
                              <a:xfrm>
                                <a:off x="0" y="0"/>
                                <a:ext cx="396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1445" cy="175260"/>
                      <wp:effectExtent l="0" t="0" r="0" b="0"/>
                      <wp:wrapNone/>
                      <wp:docPr id="45" name="Frame4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9265" cy="175260"/>
                      <wp:effectExtent l="0" t="0" r="0" b="0"/>
                      <wp:wrapNone/>
                      <wp:docPr id="46" name="Frame45"/>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4940" cy="175260"/>
                      <wp:effectExtent l="0" t="0" r="0" b="0"/>
                      <wp:wrapNone/>
                      <wp:docPr id="48" name="Frame47"/>
                      <a:graphic xmlns:a="http://schemas.openxmlformats.org/drawingml/2006/main">
                        <a:graphicData uri="http://schemas.microsoft.com/office/word/2010/wordprocessingShape">
                          <wps:wsp>
                            <wps:cNvSpPr txBox="1"/>
                            <wps:spPr>
                              <a:xfrm>
                                <a:off x="0" y="0"/>
                                <a:ext cx="154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1490" cy="175260"/>
                      <wp:effectExtent l="0" t="0" r="0" b="0"/>
                      <wp:wrapNone/>
                      <wp:docPr id="49" name="Frame48"/>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326" w:type="dxa"/>
            <w:tcBorders/>
            <w:vAlign w:val="center"/>
          </w:tcPr>
          <w:p>
            <w:pPr>
              <w:pStyle w:val="TableContents"/>
              <w:bidi w:val="0"/>
              <w:spacing w:before="0" w:after="0"/>
              <w:ind w:left="0" w:right="0" w:hanging="0"/>
              <w:jc w:val="center"/>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center"/>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w:t>
            </w:r>
          </w:p>
        </w:tc>
        <w:tc>
          <w:tcPr>
            <w:tcW w:w="1018"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4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w:t>
            </w:r>
          </w:p>
        </w:tc>
        <w:tc>
          <w:tcPr>
            <w:tcW w:w="10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5,471,121</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8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393,539</w:t>
            </w:r>
          </w:p>
        </w:tc>
        <w:tc>
          <w:tcPr>
            <w:tcW w:w="32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(382,042)</w:t>
            </w:r>
          </w:p>
        </w:tc>
        <w:tc>
          <w:tcPr>
            <w:tcW w:w="326" w:type="dxa"/>
            <w:tcBorders/>
            <w:shd w:fill="CCEEFF" w:val="clear"/>
            <w:vAlign w:val="center"/>
          </w:tcPr>
          <w:p>
            <w:pPr>
              <w:pStyle w:val="TableContents"/>
              <w:bidi w:val="0"/>
              <w:spacing w:before="0" w:after="0"/>
              <w:ind w:left="0" w:right="0" w:hanging="0"/>
              <w:jc w:val="center"/>
              <w:rPr/>
            </w:pPr>
            <w:r>
              <w:rPr/>
              <w:t>​</w:t>
            </w:r>
          </w:p>
        </w:tc>
        <w:tc>
          <w:tcPr>
            <w:tcW w:w="244"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11,498</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72</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restricted stock units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313</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employee stock purchase plan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19</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16,775</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at-the-market (“ATM”) placement, net of $2</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27,870</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 sale of common stock, pre-funded warrants and warrants, net of $230</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570,000</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1,770</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c>
          <w:tcPr>
            <w:tcW w:w="326"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(6,599)</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March 31, 2024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6,085,766</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395,796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(388,641)</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7,156</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159</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14,371</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refunds due to ESPP participants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3,750</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(33)</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Pre-funded warrants 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450,409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pPr>
            <w:r>
              <w:rPr/>
              <w:t>—</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(4,258)</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6,554,296</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395,906</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(392,899)</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3,008</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128</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2,811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pPr>
            <w:r>
              <w:rPr/>
              <w:t>—</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shd w:fill="CCEEFF" w:val="clear"/>
            <w:vAlign w:val="center"/>
          </w:tcPr>
          <w:p>
            <w:pPr>
              <w:pStyle w:val="TableContents"/>
              <w:bidi w:val="0"/>
              <w:spacing w:before="0" w:after="0"/>
              <w:ind w:left="0" w:right="0" w:hanging="0"/>
              <w:jc w:val="left"/>
              <w:rPr/>
            </w:pPr>
            <w:r>
              <w:rPr/>
              <w:t>​</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$234</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1,217,168</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7" w:type="dxa"/>
            <w:tcBorders/>
            <w:vAlign w:val="center"/>
          </w:tcPr>
          <w:p>
            <w:pPr>
              <w:pStyle w:val="TableContents"/>
              <w:bidi w:val="0"/>
              <w:spacing w:before="0" w:after="0"/>
              <w:ind w:left="0" w:right="0" w:hanging="0"/>
              <w:jc w:val="left"/>
              <w:rPr/>
            </w:pPr>
            <w:r>
              <w:rPr/>
              <w:t>​</w:t>
            </w:r>
          </w:p>
        </w:tc>
        <w:tc>
          <w:tcPr>
            <w:tcW w:w="62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704</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4" w:type="dxa"/>
            <w:tcBorders/>
            <w:vAlign w:val="center"/>
          </w:tcPr>
          <w:p>
            <w:pPr>
              <w:pStyle w:val="TableContents"/>
              <w:bidi w:val="0"/>
              <w:spacing w:before="0" w:after="0"/>
              <w:ind w:left="0" w:right="0" w:hanging="0"/>
              <w:jc w:val="left"/>
              <w:rPr/>
            </w:pPr>
            <w:r>
              <w:rPr/>
              <w:t>​</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704</w:t>
            </w:r>
          </w:p>
        </w:tc>
      </w:tr>
      <w:tr>
        <w:trPr/>
        <w:tc>
          <w:tcPr>
            <w:tcW w:w="44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(3,412)</w:t>
            </w:r>
          </w:p>
        </w:tc>
        <w:tc>
          <w:tcPr>
            <w:tcW w:w="326" w:type="dxa"/>
            <w:tcBorders/>
            <w:shd w:fill="CCEEFF" w:val="clear"/>
            <w:vAlign w:val="center"/>
          </w:tcPr>
          <w:p>
            <w:pPr>
              <w:pStyle w:val="TableContents"/>
              <w:bidi w:val="0"/>
              <w:spacing w:before="0" w:after="0"/>
              <w:ind w:left="0" w:right="0" w:hanging="0"/>
              <w:jc w:val="left"/>
              <w:rPr/>
            </w:pPr>
            <w:r>
              <w:rPr/>
              <w:t>​</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(3,412)</w:t>
            </w:r>
          </w:p>
        </w:tc>
      </w:tr>
      <w:tr>
        <w:trPr/>
        <w:tc>
          <w:tcPr>
            <w:tcW w:w="4448"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September 30, 2024</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7,774,275</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396,744</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(396,311)</w:t>
            </w:r>
          </w:p>
        </w:tc>
        <w:tc>
          <w:tcPr>
            <w:tcW w:w="326" w:type="dxa"/>
            <w:tcBorders/>
            <w:vAlign w:val="center"/>
          </w:tcPr>
          <w:p>
            <w:pPr>
              <w:pStyle w:val="TableContents"/>
              <w:bidi w:val="0"/>
              <w:spacing w:before="0" w:after="0"/>
              <w:ind w:left="0" w:right="0" w:hanging="0"/>
              <w:jc w:val="left"/>
              <w:rPr/>
            </w:pPr>
            <w:r>
              <w:rPr/>
              <w:t>​</w:t>
            </w:r>
          </w:p>
        </w:tc>
        <w:tc>
          <w:tcPr>
            <w:tcW w:w="2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74"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434</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36" w:name="Tc_qwzHjI2aw0Sf0u019Me7JA_31_13"/>
      <w:bookmarkStart w:id="437" w:name="Tc_FxhSCvcuE06QThDOZ7VlqQ_31_10"/>
      <w:bookmarkStart w:id="438" w:name="Tc_xKe3F3xq40q4ElzD_gyBXg_31_7"/>
      <w:bookmarkStart w:id="439" w:name="Tc_mm3DtM5-QEKRoNzPbwLbKw_31_4"/>
      <w:bookmarkStart w:id="440" w:name="Tc_pOouTig1rUyTRWmTeBwsIg_31_0"/>
      <w:bookmarkStart w:id="441" w:name="Tc_xunkPcbQEE29bQP--0YEjA_30_8"/>
      <w:bookmarkStart w:id="442" w:name="Tc_PhFqtAIf1kq2vhXtTv-BiQ_30_5"/>
      <w:bookmarkStart w:id="443" w:name="Tc_j7so-l17UEaSDqj_F9hQtw_30_2"/>
      <w:bookmarkStart w:id="444" w:name="Tc_f5603cAL-kWe6HP0HfI2KQ_30_0"/>
      <w:bookmarkStart w:id="445" w:name="Tc_lqdwyHrCP0WVi_UWpop7Hg_29_11"/>
      <w:bookmarkStart w:id="446" w:name="Tc_rNcHqN_PIUKYRtb5MxJ5Ug_29_5"/>
      <w:bookmarkStart w:id="447" w:name="Tc_YuFsUMFqvE6Dt7s9fCcO2w_29_0"/>
      <w:bookmarkStart w:id="448" w:name="Tc_da8VcF3TBUaXRz4GPm4T4g_28_14"/>
      <w:bookmarkStart w:id="449" w:name="Tc_wZRiNVB0B0yXAnvGg3GDSQ_28_11"/>
      <w:bookmarkStart w:id="450" w:name="Tc__0sTrUswvkCmAuIdCxRolw_28_8"/>
      <w:bookmarkStart w:id="451" w:name="Tc_TDdM9gCyz0SpT0gR4qlc0Q_28_5"/>
      <w:bookmarkStart w:id="452" w:name="Tc_y6zVFPYC0kCrSejNXtVDxw_28_0"/>
      <w:bookmarkStart w:id="453" w:name="Tc_wLXVMrCUBEi-OsvNKivypA_27_11"/>
      <w:bookmarkStart w:id="454" w:name="Tc_jyAmKyqsqkiqWtKGKnM5iw_27_5"/>
      <w:bookmarkStart w:id="455" w:name="Tc_r4pii81H90iSU7nRnG6MJw_27_2"/>
      <w:bookmarkStart w:id="456" w:name="Tc_7g1EMv657ku54e2ioFQZLQ_27_0"/>
      <w:bookmarkStart w:id="457" w:name="Tc_4ALtgVDpGEW9-pdOhCjgJA_26_14"/>
      <w:bookmarkStart w:id="458" w:name="Tc_r1wyAzY-nUuc1qYKdAMkew_26_11"/>
      <w:bookmarkStart w:id="459" w:name="Tc_AKMjOJtS4kezh34DSAA02Q_26_8"/>
      <w:bookmarkStart w:id="460" w:name="Tc_KNS-3326-UCqd_TFJ3-iiw_26_5"/>
      <w:bookmarkStart w:id="461" w:name="Tc_yb_41N3Xr0ixdW3yEybY9w_26_0"/>
      <w:bookmarkStart w:id="462" w:name="Tc_4xwrr2j2gE693JF-Ydq3mA_25_11"/>
      <w:bookmarkStart w:id="463" w:name="Tc_nxUUcRcgVUSiFrInMpYqgg_25_5"/>
      <w:bookmarkStart w:id="464" w:name="Tc_eDcdllEW80aqFUPu32etAw_25_2"/>
      <w:bookmarkStart w:id="465" w:name="Tc_i_73j8Ly902p2hwmbJ1jTQ_25_0"/>
      <w:bookmarkStart w:id="466" w:name="Tc_CLpdiSJqZUS2h_O2BqdAEw_24_11"/>
      <w:bookmarkStart w:id="467" w:name="Tc_miFJYPbPEkCQauzZ33KIwg_24_5"/>
      <w:bookmarkStart w:id="468" w:name="Tc_rihMx9BsV0iUMYxWQNBnTw_24_2"/>
      <w:bookmarkStart w:id="469" w:name="Tc_Kl7AZBUC9U-BO68vycZW6Q_24_0"/>
      <w:bookmarkStart w:id="470" w:name="Tc_MOeDtB0i10iDbiNAuKq4cA_23_11"/>
      <w:bookmarkStart w:id="471" w:name="Tc_GNxoWUJqsUORRx9vKYB9lA_23_5"/>
      <w:bookmarkStart w:id="472" w:name="Tc_DGTCu2Bd40CU4n6MrO98Sw_23_2"/>
      <w:bookmarkStart w:id="473" w:name="Tc_klMYWAfnPkypUC-8p02D3w_23_0"/>
      <w:bookmarkStart w:id="474" w:name="Tc_zmBfQYhaR0qzNcVaDD80FA_22_11"/>
      <w:bookmarkStart w:id="475" w:name="Tc_QAjnluU5nEySRcd7vV3kBQ_22_5"/>
      <w:bookmarkStart w:id="476" w:name="Tc_EFJs2FZFH0mEZnM3imr4_A_22_2"/>
      <w:bookmarkStart w:id="477" w:name="Tc_lOrpiVeL8EaLXC5mx_xoNA_22_0"/>
      <w:bookmarkStart w:id="478" w:name="Tc_dSOS8TjW5kq5bKdNfBfFlQ_21_0"/>
      <w:bookmarkStart w:id="479" w:name="Tc_X8ey8a6by06he_f-Pdo16Q_20_8"/>
      <w:bookmarkStart w:id="480" w:name="Tc_1Xr0MPnd_kGi_jH9a3zqhg_20_5"/>
      <w:bookmarkStart w:id="481" w:name="Tc_CTbvREyfnEKXB6r9h3M-yA_20_2"/>
      <w:bookmarkStart w:id="482" w:name="Tc_H5p3q5uPQEmIw_aAQpXNTA_20_0"/>
      <w:bookmarkStart w:id="483" w:name="Tc_quZzcT8FGkG8TCqudkdntw_19_11"/>
      <w:bookmarkStart w:id="484" w:name="Tc_TS-oqLVPXkm1oAek-sQvuw_19_5"/>
      <w:bookmarkStart w:id="485" w:name="Tc_Q3ObJ8dnf0uKe6AG-PVzpg_19_0"/>
      <w:bookmarkStart w:id="486" w:name="Tc_xLUQoZxZkU29lPxL4Jc0dg_18_14"/>
      <w:bookmarkStart w:id="487" w:name="Tc_CFO8JxorfUGRqvYPcu6C2w_18_11"/>
      <w:bookmarkStart w:id="488" w:name="Tc_QFybyEP3C0aL2aU2EzIzBg_18_8"/>
      <w:bookmarkStart w:id="489" w:name="Tc_gpgDlB-u70uAlEXnxV_vVw_18_5"/>
      <w:bookmarkStart w:id="490" w:name="Tc_Hm_Ul23rUkmYXnhKqwle7g_18_0"/>
      <w:bookmarkStart w:id="491" w:name="Tc_A7i8SYg-00iLpZVB4mXQUQ_17_11"/>
      <w:bookmarkStart w:id="492" w:name="Tc_xe8F2Z1ILU-OMmBjfJy1WQ_17_5"/>
      <w:bookmarkStart w:id="493" w:name="Tc_HTsXrTDbEEeD08B9imjfTA_17_2"/>
      <w:bookmarkStart w:id="494" w:name="Tc_7J9EBGa87kyDi7MwPoWaug_17_0"/>
      <w:bookmarkStart w:id="495" w:name="Tc_E0t6srpFukiUK3zqMBYeUw_16_11"/>
      <w:bookmarkStart w:id="496" w:name="Tc_QTt7g5EgRkOUAHMWFEQ05g_16_5"/>
      <w:bookmarkStart w:id="497" w:name="Tc_wjMZIVEzMkyAdYH5PAEZMA_16_2"/>
      <w:bookmarkStart w:id="498" w:name="Tc_FLn6M-0pt02pJ5tWpOmlxw_16_0"/>
      <w:bookmarkStart w:id="499" w:name="Tc_JZjp7MkYW06udSuf22nV8Q_15_11"/>
      <w:bookmarkStart w:id="500" w:name="Tc_ROQjDODBRE-h6iOuCOQbbA_15_5"/>
      <w:bookmarkStart w:id="501" w:name="Tc_hldbug9ci0KNO8FzKy3shQ_15_2"/>
      <w:bookmarkStart w:id="502" w:name="Tc_R_kSq5_PTU6W9pAMeRKyHw_15_0"/>
      <w:bookmarkStart w:id="503" w:name="Tc_M56OiA3cfUSZ3VWZal3sVQ_14_11"/>
      <w:bookmarkStart w:id="504" w:name="Tc_g5pIMwdauEeMus_ebJ6gmw_14_5"/>
      <w:bookmarkStart w:id="505" w:name="Tc_Pyq6tBosjEm_YEE7UffB1w_14_2"/>
      <w:bookmarkStart w:id="506" w:name="Tc_Ant92wekDkimaPXTuXBiCg_14_0"/>
      <w:bookmarkStart w:id="507" w:name="Tc_nbLobXFXwEub0DMg-stxFA_13_0"/>
      <w:bookmarkStart w:id="508" w:name="Tc_cBh7EHetUk2j4ZXddbOmng_12_8"/>
      <w:bookmarkStart w:id="509" w:name="Tc_oXhx97OofUyhvzzZQNSNVw_12_5"/>
      <w:bookmarkStart w:id="510" w:name="Tc_Gi2SzyIwGky0n4kVNbNW2w_12_2"/>
      <w:bookmarkStart w:id="511" w:name="Tc_iB8GRXzi9ECpmZe807oTDA_12_0"/>
      <w:bookmarkStart w:id="512" w:name="Tc_YshN7qDqXUO6vr34Xtdbsg_11_11"/>
      <w:bookmarkStart w:id="513" w:name="Tc_6bbe1u_CHkqcdmQZwQsC2Q_11_5"/>
      <w:bookmarkStart w:id="514" w:name="Tc_rmnrCaQBQ020NOJE5GSqbw_11_0"/>
      <w:bookmarkStart w:id="515" w:name="Tc_ePpUH9NRDUujxBLS9zJr6w_10_11"/>
      <w:bookmarkStart w:id="516" w:name="Tc_uL5uxO5-U0qfuWmtDwddFA_10_5"/>
      <w:bookmarkStart w:id="517" w:name="Tc_lKe7XvrmgU-1aOo0mRwUVw_10_0"/>
      <w:bookmarkStart w:id="518" w:name="Tc_qfevEbbFIEWZyApwSGeJXg_9_11"/>
      <w:bookmarkStart w:id="519" w:name="Tc_4MC4ydDrIUuHhHqodOMpfw_9_5"/>
      <w:bookmarkStart w:id="520" w:name="Tc_QR6eb1gpyUeK2gQ4ryXmjg_9_2"/>
      <w:bookmarkStart w:id="521" w:name="Tc_kK7dLJ4HpEeKp_fKTW4uxw_9_0"/>
      <w:bookmarkStart w:id="522" w:name="Tc_vMtulNF4fECia1Pxq2njkg_8_14"/>
      <w:bookmarkStart w:id="523" w:name="Tc_6l1GPRls1kWcjopEuhQ7sg_8_11"/>
      <w:bookmarkStart w:id="524" w:name="Tc_mY054jwab0-_lqUwRnTdBw_8_8"/>
      <w:bookmarkStart w:id="525" w:name="Tc_G7yR9nif5kCrG-H_WE4iVg_8_5"/>
      <w:bookmarkStart w:id="526" w:name="Tc_rC3EnK-0uU-SY8ALsAjBrQ_8_0"/>
      <w:bookmarkStart w:id="527" w:name="Tc_1hif6X1zdki4EjDFh3O9aw_7_11"/>
      <w:bookmarkStart w:id="528" w:name="Tc_lo2aNJqTukirrxVI6cfFPA_7_5"/>
      <w:bookmarkStart w:id="529" w:name="Tc_z2hkm9qOkEWs3Jorja4Rfg_7_2"/>
      <w:bookmarkStart w:id="530" w:name="Tc_fhbMii7lQkGKxZpYYzOTfQ_7_0"/>
      <w:bookmarkStart w:id="531" w:name="Tc_eGbrF63Fmk2Ose4GOeCuUg_6_11"/>
      <w:bookmarkStart w:id="532" w:name="Tc_0e4S5ZK60Em4rjnoiJGUIQ_6_5"/>
      <w:bookmarkStart w:id="533" w:name="Tc_ah9UeUx6PEa4_TGVmzatww_6_2"/>
      <w:bookmarkStart w:id="534" w:name="Tc_Uh3gdR_rYEe1qwMO6rcffw_6_0"/>
      <w:bookmarkStart w:id="535" w:name="Tc_wSYvMDrYrEK7oA6geHEcGg_5_11"/>
      <w:bookmarkStart w:id="536" w:name="Tc_2_AYcEWJ9kW-HiYzlYKH8A_5_5"/>
      <w:bookmarkStart w:id="537" w:name="Tc_Rt75x8Wt_0G1-URO0pyfaQ_5_2"/>
      <w:bookmarkStart w:id="538" w:name="Tc_mBaGzrf1fE6qSsXwAgZF6A_5_0"/>
      <w:bookmarkStart w:id="539" w:name="Tc_g5cHnTxQ0UWmKxFLmoH1ew_4_13"/>
      <w:bookmarkStart w:id="540" w:name="Tc_s511qufmIEaeO1rUsWIDFw_4_10"/>
      <w:bookmarkStart w:id="541" w:name="Tc_5tyMnk0BMkabnXbKFILV0Q_4_7"/>
      <w:bookmarkStart w:id="542" w:name="Tc_B_gc55R250OBXEFEqiyOzQ_4_4"/>
      <w:bookmarkStart w:id="543" w:name="Tc_fV620k2q4UuY-vX0emtGhw_4_0"/>
      <w:bookmarkStart w:id="544" w:name="Tc_EiaFDxAk40aZOwLYIQGLMw_3_13"/>
      <w:bookmarkStart w:id="545" w:name="Tc_Ujw1oOLG0k6tHg08dhkcJQ_3_10"/>
      <w:bookmarkStart w:id="546" w:name="Tc_o3JnzHehOUGsCzdfrYGmcw_3_7"/>
      <w:bookmarkStart w:id="547" w:name="Tc_Z_owVGc2t0uGIAIfmz9GEg_3_4"/>
      <w:bookmarkStart w:id="548" w:name="Tc_KBxzHpzeDk2wXpoQkpD13A_3_2"/>
      <w:bookmarkStart w:id="549" w:name="Tc_A3G3XnFOVUq0MJzLcki7zg_2_13"/>
      <w:bookmarkStart w:id="550" w:name="Tc_AIgwE-swjkSHB1t1KtHweA_2_10"/>
      <w:bookmarkStart w:id="551" w:name="Tc_4iGDu49vIUSCuv0I2ATdTQ_2_7"/>
      <w:bookmarkStart w:id="552" w:name="Tc_QwD_q55jw0mknuiZ9UaGjg_2_2"/>
      <w:bookmarkStart w:id="553" w:name="Tc_k6lAEXshRUOEOsWB0x6y5Q_1_13"/>
      <w:bookmarkStart w:id="554" w:name="Tc_IVZz1rYLmU2lUhp3ndNcRQ_1_7"/>
      <w:bookmarkStart w:id="555" w:name="_e3f1f7b4_80b5_4b0d_8dd5_2c0c106df20b"/>
      <w:bookmarkStart w:id="556" w:name="Tc_qwzHjI2aw0Sf0u019Me7JA_31_13"/>
      <w:bookmarkStart w:id="557" w:name="Tc_FxhSCvcuE06QThDOZ7VlqQ_31_10"/>
      <w:bookmarkStart w:id="558" w:name="Tc_xKe3F3xq40q4ElzD_gyBXg_31_7"/>
      <w:bookmarkStart w:id="559" w:name="Tc_mm3DtM5-QEKRoNzPbwLbKw_31_4"/>
      <w:bookmarkStart w:id="560" w:name="Tc_pOouTig1rUyTRWmTeBwsIg_31_0"/>
      <w:bookmarkStart w:id="561" w:name="Tc_xunkPcbQEE29bQP--0YEjA_30_8"/>
      <w:bookmarkStart w:id="562" w:name="Tc_PhFqtAIf1kq2vhXtTv-BiQ_30_5"/>
      <w:bookmarkStart w:id="563" w:name="Tc_j7so-l17UEaSDqj_F9hQtw_30_2"/>
      <w:bookmarkStart w:id="564" w:name="Tc_f5603cAL-kWe6HP0HfI2KQ_30_0"/>
      <w:bookmarkStart w:id="565" w:name="Tc_lqdwyHrCP0WVi_UWpop7Hg_29_11"/>
      <w:bookmarkStart w:id="566" w:name="Tc_rNcHqN_PIUKYRtb5MxJ5Ug_29_5"/>
      <w:bookmarkStart w:id="567" w:name="Tc_YuFsUMFqvE6Dt7s9fCcO2w_29_0"/>
      <w:bookmarkStart w:id="568" w:name="Tc_da8VcF3TBUaXRz4GPm4T4g_28_14"/>
      <w:bookmarkStart w:id="569" w:name="Tc_wZRiNVB0B0yXAnvGg3GDSQ_28_11"/>
      <w:bookmarkStart w:id="570" w:name="Tc__0sTrUswvkCmAuIdCxRolw_28_8"/>
      <w:bookmarkStart w:id="571" w:name="Tc_TDdM9gCyz0SpT0gR4qlc0Q_28_5"/>
      <w:bookmarkStart w:id="572" w:name="Tc_y6zVFPYC0kCrSejNXtVDxw_28_0"/>
      <w:bookmarkStart w:id="573" w:name="Tc_wLXVMrCUBEi-OsvNKivypA_27_11"/>
      <w:bookmarkStart w:id="574" w:name="Tc_jyAmKyqsqkiqWtKGKnM5iw_27_5"/>
      <w:bookmarkStart w:id="575" w:name="Tc_r4pii81H90iSU7nRnG6MJw_27_2"/>
      <w:bookmarkStart w:id="576" w:name="Tc_7g1EMv657ku54e2ioFQZLQ_27_0"/>
      <w:bookmarkStart w:id="577" w:name="Tc_4ALtgVDpGEW9-pdOhCjgJA_26_14"/>
      <w:bookmarkStart w:id="578" w:name="Tc_r1wyAzY-nUuc1qYKdAMkew_26_11"/>
      <w:bookmarkStart w:id="579" w:name="Tc_AKMjOJtS4kezh34DSAA02Q_26_8"/>
      <w:bookmarkStart w:id="580" w:name="Tc_KNS-3326-UCqd_TFJ3-iiw_26_5"/>
      <w:bookmarkStart w:id="581" w:name="Tc_yb_41N3Xr0ixdW3yEybY9w_26_0"/>
      <w:bookmarkStart w:id="582" w:name="Tc_4xwrr2j2gE693JF-Ydq3mA_25_11"/>
      <w:bookmarkStart w:id="583" w:name="Tc_nxUUcRcgVUSiFrInMpYqgg_25_5"/>
      <w:bookmarkStart w:id="584" w:name="Tc_eDcdllEW80aqFUPu32etAw_25_2"/>
      <w:bookmarkStart w:id="585" w:name="Tc_i_73j8Ly902p2hwmbJ1jTQ_25_0"/>
      <w:bookmarkStart w:id="586" w:name="Tc_CLpdiSJqZUS2h_O2BqdAEw_24_11"/>
      <w:bookmarkStart w:id="587" w:name="Tc_miFJYPbPEkCQauzZ33KIwg_24_5"/>
      <w:bookmarkStart w:id="588" w:name="Tc_rihMx9BsV0iUMYxWQNBnTw_24_2"/>
      <w:bookmarkStart w:id="589" w:name="Tc_Kl7AZBUC9U-BO68vycZW6Q_24_0"/>
      <w:bookmarkStart w:id="590" w:name="Tc_MOeDtB0i10iDbiNAuKq4cA_23_11"/>
      <w:bookmarkStart w:id="591" w:name="Tc_GNxoWUJqsUORRx9vKYB9lA_23_5"/>
      <w:bookmarkStart w:id="592" w:name="Tc_DGTCu2Bd40CU4n6MrO98Sw_23_2"/>
      <w:bookmarkStart w:id="593" w:name="Tc_klMYWAfnPkypUC-8p02D3w_23_0"/>
      <w:bookmarkStart w:id="594" w:name="Tc_zmBfQYhaR0qzNcVaDD80FA_22_11"/>
      <w:bookmarkStart w:id="595" w:name="Tc_QAjnluU5nEySRcd7vV3kBQ_22_5"/>
      <w:bookmarkStart w:id="596" w:name="Tc_EFJs2FZFH0mEZnM3imr4_A_22_2"/>
      <w:bookmarkStart w:id="597" w:name="Tc_lOrpiVeL8EaLXC5mx_xoNA_22_0"/>
      <w:bookmarkStart w:id="598" w:name="Tc_dSOS8TjW5kq5bKdNfBfFlQ_21_0"/>
      <w:bookmarkStart w:id="599" w:name="Tc_X8ey8a6by06he_f-Pdo16Q_20_8"/>
      <w:bookmarkStart w:id="600" w:name="Tc_1Xr0MPnd_kGi_jH9a3zqhg_20_5"/>
      <w:bookmarkStart w:id="601" w:name="Tc_CTbvREyfnEKXB6r9h3M-yA_20_2"/>
      <w:bookmarkStart w:id="602" w:name="Tc_H5p3q5uPQEmIw_aAQpXNTA_20_0"/>
      <w:bookmarkStart w:id="603" w:name="Tc_quZzcT8FGkG8TCqudkdntw_19_11"/>
      <w:bookmarkStart w:id="604" w:name="Tc_TS-oqLVPXkm1oAek-sQvuw_19_5"/>
      <w:bookmarkStart w:id="605" w:name="Tc_Q3ObJ8dnf0uKe6AG-PVzpg_19_0"/>
      <w:bookmarkStart w:id="606" w:name="Tc_xLUQoZxZkU29lPxL4Jc0dg_18_14"/>
      <w:bookmarkStart w:id="607" w:name="Tc_CFO8JxorfUGRqvYPcu6C2w_18_11"/>
      <w:bookmarkStart w:id="608" w:name="Tc_QFybyEP3C0aL2aU2EzIzBg_18_8"/>
      <w:bookmarkStart w:id="609" w:name="Tc_gpgDlB-u70uAlEXnxV_vVw_18_5"/>
      <w:bookmarkStart w:id="610" w:name="Tc_Hm_Ul23rUkmYXnhKqwle7g_18_0"/>
      <w:bookmarkStart w:id="611" w:name="Tc_A7i8SYg-00iLpZVB4mXQUQ_17_11"/>
      <w:bookmarkStart w:id="612" w:name="Tc_xe8F2Z1ILU-OMmBjfJy1WQ_17_5"/>
      <w:bookmarkStart w:id="613" w:name="Tc_HTsXrTDbEEeD08B9imjfTA_17_2"/>
      <w:bookmarkStart w:id="614" w:name="Tc_7J9EBGa87kyDi7MwPoWaug_17_0"/>
      <w:bookmarkStart w:id="615" w:name="Tc_E0t6srpFukiUK3zqMBYeUw_16_11"/>
      <w:bookmarkStart w:id="616" w:name="Tc_QTt7g5EgRkOUAHMWFEQ05g_16_5"/>
      <w:bookmarkStart w:id="617" w:name="Tc_wjMZIVEzMkyAdYH5PAEZMA_16_2"/>
      <w:bookmarkStart w:id="618" w:name="Tc_FLn6M-0pt02pJ5tWpOmlxw_16_0"/>
      <w:bookmarkStart w:id="619" w:name="Tc_JZjp7MkYW06udSuf22nV8Q_15_11"/>
      <w:bookmarkStart w:id="620" w:name="Tc_ROQjDODBRE-h6iOuCOQbbA_15_5"/>
      <w:bookmarkStart w:id="621" w:name="Tc_hldbug9ci0KNO8FzKy3shQ_15_2"/>
      <w:bookmarkStart w:id="622" w:name="Tc_R_kSq5_PTU6W9pAMeRKyHw_15_0"/>
      <w:bookmarkStart w:id="623" w:name="Tc_M56OiA3cfUSZ3VWZal3sVQ_14_11"/>
      <w:bookmarkStart w:id="624" w:name="Tc_g5pIMwdauEeMus_ebJ6gmw_14_5"/>
      <w:bookmarkStart w:id="625" w:name="Tc_Pyq6tBosjEm_YEE7UffB1w_14_2"/>
      <w:bookmarkStart w:id="626" w:name="Tc_Ant92wekDkimaPXTuXBiCg_14_0"/>
      <w:bookmarkStart w:id="627" w:name="Tc_nbLobXFXwEub0DMg-stxFA_13_0"/>
      <w:bookmarkStart w:id="628" w:name="Tc_cBh7EHetUk2j4ZXddbOmng_12_8"/>
      <w:bookmarkStart w:id="629" w:name="Tc_oXhx97OofUyhvzzZQNSNVw_12_5"/>
      <w:bookmarkStart w:id="630" w:name="Tc_Gi2SzyIwGky0n4kVNbNW2w_12_2"/>
      <w:bookmarkStart w:id="631" w:name="Tc_iB8GRXzi9ECpmZe807oTDA_12_0"/>
      <w:bookmarkStart w:id="632" w:name="Tc_YshN7qDqXUO6vr34Xtdbsg_11_11"/>
      <w:bookmarkStart w:id="633" w:name="Tc_6bbe1u_CHkqcdmQZwQsC2Q_11_5"/>
      <w:bookmarkStart w:id="634" w:name="Tc_rmnrCaQBQ020NOJE5GSqbw_11_0"/>
      <w:bookmarkStart w:id="635" w:name="Tc_ePpUH9NRDUujxBLS9zJr6w_10_11"/>
      <w:bookmarkStart w:id="636" w:name="Tc_uL5uxO5-U0qfuWmtDwddFA_10_5"/>
      <w:bookmarkStart w:id="637" w:name="Tc_lKe7XvrmgU-1aOo0mRwUVw_10_0"/>
      <w:bookmarkStart w:id="638" w:name="Tc_qfevEbbFIEWZyApwSGeJXg_9_11"/>
      <w:bookmarkStart w:id="639" w:name="Tc_4MC4ydDrIUuHhHqodOMpfw_9_5"/>
      <w:bookmarkStart w:id="640" w:name="Tc_QR6eb1gpyUeK2gQ4ryXmjg_9_2"/>
      <w:bookmarkStart w:id="641" w:name="Tc_kK7dLJ4HpEeKp_fKTW4uxw_9_0"/>
      <w:bookmarkStart w:id="642" w:name="Tc_vMtulNF4fECia1Pxq2njkg_8_14"/>
      <w:bookmarkStart w:id="643" w:name="Tc_6l1GPRls1kWcjopEuhQ7sg_8_11"/>
      <w:bookmarkStart w:id="644" w:name="Tc_mY054jwab0-_lqUwRnTdBw_8_8"/>
      <w:bookmarkStart w:id="645" w:name="Tc_G7yR9nif5kCrG-H_WE4iVg_8_5"/>
      <w:bookmarkStart w:id="646" w:name="Tc_rC3EnK-0uU-SY8ALsAjBrQ_8_0"/>
      <w:bookmarkStart w:id="647" w:name="Tc_1hif6X1zdki4EjDFh3O9aw_7_11"/>
      <w:bookmarkStart w:id="648" w:name="Tc_lo2aNJqTukirrxVI6cfFPA_7_5"/>
      <w:bookmarkStart w:id="649" w:name="Tc_z2hkm9qOkEWs3Jorja4Rfg_7_2"/>
      <w:bookmarkStart w:id="650" w:name="Tc_fhbMii7lQkGKxZpYYzOTfQ_7_0"/>
      <w:bookmarkStart w:id="651" w:name="Tc_eGbrF63Fmk2Ose4GOeCuUg_6_11"/>
      <w:bookmarkStart w:id="652" w:name="Tc_0e4S5ZK60Em4rjnoiJGUIQ_6_5"/>
      <w:bookmarkStart w:id="653" w:name="Tc_ah9UeUx6PEa4_TGVmzatww_6_2"/>
      <w:bookmarkStart w:id="654" w:name="Tc_Uh3gdR_rYEe1qwMO6rcffw_6_0"/>
      <w:bookmarkStart w:id="655" w:name="Tc_wSYvMDrYrEK7oA6geHEcGg_5_11"/>
      <w:bookmarkStart w:id="656" w:name="Tc_2_AYcEWJ9kW-HiYzlYKH8A_5_5"/>
      <w:bookmarkStart w:id="657" w:name="Tc_Rt75x8Wt_0G1-URO0pyfaQ_5_2"/>
      <w:bookmarkStart w:id="658" w:name="Tc_mBaGzrf1fE6qSsXwAgZF6A_5_0"/>
      <w:bookmarkStart w:id="659" w:name="Tc_g5cHnTxQ0UWmKxFLmoH1ew_4_13"/>
      <w:bookmarkStart w:id="660" w:name="Tc_s511qufmIEaeO1rUsWIDFw_4_10"/>
      <w:bookmarkStart w:id="661" w:name="Tc_5tyMnk0BMkabnXbKFILV0Q_4_7"/>
      <w:bookmarkStart w:id="662" w:name="Tc_B_gc55R250OBXEFEqiyOzQ_4_4"/>
      <w:bookmarkStart w:id="663" w:name="Tc_fV620k2q4UuY-vX0emtGhw_4_0"/>
      <w:bookmarkStart w:id="664" w:name="Tc_EiaFDxAk40aZOwLYIQGLMw_3_13"/>
      <w:bookmarkStart w:id="665" w:name="Tc_Ujw1oOLG0k6tHg08dhkcJQ_3_10"/>
      <w:bookmarkStart w:id="666" w:name="Tc_o3JnzHehOUGsCzdfrYGmcw_3_7"/>
      <w:bookmarkStart w:id="667" w:name="Tc_Z_owVGc2t0uGIAIfmz9GEg_3_4"/>
      <w:bookmarkStart w:id="668" w:name="Tc_KBxzHpzeDk2wXpoQkpD13A_3_2"/>
      <w:bookmarkStart w:id="669" w:name="Tc_A3G3XnFOVUq0MJzLcki7zg_2_13"/>
      <w:bookmarkStart w:id="670" w:name="Tc_AIgwE-swjkSHB1t1KtHweA_2_10"/>
      <w:bookmarkStart w:id="671" w:name="Tc_4iGDu49vIUSCuv0I2ATdTQ_2_7"/>
      <w:bookmarkStart w:id="672" w:name="Tc_QwD_q55jw0mknuiZ9UaGjg_2_2"/>
      <w:bookmarkStart w:id="673" w:name="Tc_k6lAEXshRUOEOsWB0x6y5Q_1_13"/>
      <w:bookmarkStart w:id="674" w:name="Tc_IVZz1rYLmU2lUhp3ndNcRQ_1_7"/>
      <w:bookmarkStart w:id="675" w:name="_e3f1f7b4_80b5_4b0d_8dd5_2c0c106df20b"/>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tbl>
      <w:tblPr>
        <w:tblW w:w="10205" w:type="dxa"/>
        <w:jc w:val="left"/>
        <w:tblInd w:w="0" w:type="dxa"/>
        <w:tblLayout w:type="fixed"/>
        <w:tblCellMar>
          <w:top w:w="0" w:type="dxa"/>
          <w:left w:w="0" w:type="dxa"/>
          <w:bottom w:w="0" w:type="dxa"/>
          <w:right w:w="0" w:type="dxa"/>
        </w:tblCellMar>
      </w:tblPr>
      <w:tblGrid>
        <w:gridCol w:w="4422"/>
        <w:gridCol w:w="326"/>
        <w:gridCol w:w="721"/>
        <w:gridCol w:w="326"/>
        <w:gridCol w:w="216"/>
        <w:gridCol w:w="415"/>
        <w:gridCol w:w="326"/>
        <w:gridCol w:w="192"/>
        <w:gridCol w:w="644"/>
        <w:gridCol w:w="326"/>
        <w:gridCol w:w="207"/>
        <w:gridCol w:w="739"/>
        <w:gridCol w:w="326"/>
        <w:gridCol w:w="230"/>
        <w:gridCol w:w="789"/>
      </w:tblGrid>
      <w:tr>
        <w:trPr/>
        <w:tc>
          <w:tcPr>
            <w:tcW w:w="4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807970" cy="175260"/>
                      <wp:effectExtent l="0" t="0" r="0" b="0"/>
                      <wp:wrapNone/>
                      <wp:docPr id="50" name="Frame49"/>
                      <a:graphic xmlns:a="http://schemas.openxmlformats.org/drawingml/2006/main">
                        <a:graphicData uri="http://schemas.microsoft.com/office/word/2010/wordprocessingShape">
                          <wps:wsp>
                            <wps:cNvSpPr txBox="1"/>
                            <wps:spPr>
                              <a:xfrm>
                                <a:off x="0" y="0"/>
                                <a:ext cx="280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57835" cy="175260"/>
                      <wp:effectExtent l="0" t="0" r="0" b="0"/>
                      <wp:wrapNone/>
                      <wp:docPr id="52" name="Frame5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7160" cy="175260"/>
                      <wp:effectExtent l="0" t="0" r="0" b="0"/>
                      <wp:wrapNone/>
                      <wp:docPr id="54" name="Frame53"/>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63525" cy="175260"/>
                      <wp:effectExtent l="0" t="0" r="0" b="0"/>
                      <wp:wrapNone/>
                      <wp:docPr id="55" name="Frame54"/>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1920" cy="175260"/>
                      <wp:effectExtent l="0" t="0" r="0" b="0"/>
                      <wp:wrapNone/>
                      <wp:docPr id="57" name="Frame56"/>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08940" cy="175260"/>
                      <wp:effectExtent l="0" t="0" r="0" b="0"/>
                      <wp:wrapNone/>
                      <wp:docPr id="58" name="Frame57"/>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1445" cy="175260"/>
                      <wp:effectExtent l="0" t="0" r="0" b="0"/>
                      <wp:wrapNone/>
                      <wp:docPr id="60" name="Frame59"/>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69265" cy="175260"/>
                      <wp:effectExtent l="0" t="0" r="0" b="0"/>
                      <wp:wrapNone/>
                      <wp:docPr id="61" name="Frame60"/>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6050" cy="175260"/>
                      <wp:effectExtent l="0" t="0" r="0" b="0"/>
                      <wp:wrapNone/>
                      <wp:docPr id="63" name="Frame62"/>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01015" cy="175260"/>
                      <wp:effectExtent l="0" t="0" r="0" b="0"/>
                      <wp:wrapNone/>
                      <wp:docPr id="64" name="Frame6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3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 xml:space="preserve">Additional </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44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7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Common Stock</w:t>
            </w:r>
          </w:p>
        </w:tc>
        <w:tc>
          <w:tcPr>
            <w:tcW w:w="326" w:type="dxa"/>
            <w:tcBorders/>
            <w:vAlign w:val="center"/>
          </w:tcPr>
          <w:p>
            <w:pPr>
              <w:pStyle w:val="TableContents"/>
              <w:bidi w:val="0"/>
              <w:spacing w:before="0" w:after="0"/>
              <w:ind w:left="0" w:right="0" w:hanging="0"/>
              <w:jc w:val="center"/>
              <w:rPr/>
            </w:pPr>
            <w:r>
              <w:rPr/>
              <w:t>    </w:t>
            </w:r>
          </w:p>
        </w:tc>
        <w:tc>
          <w:tcPr>
            <w:tcW w:w="83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326" w:type="dxa"/>
            <w:tcBorders/>
            <w:vAlign w:val="center"/>
          </w:tcPr>
          <w:p>
            <w:pPr>
              <w:pStyle w:val="TableContents"/>
              <w:bidi w:val="0"/>
              <w:spacing w:before="0" w:after="0"/>
              <w:ind w:left="0" w:right="0" w:hanging="0"/>
              <w:jc w:val="center"/>
              <w:rPr/>
            </w:pPr>
            <w:r>
              <w:rPr/>
              <w:t>    </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326" w:type="dxa"/>
            <w:tcBorders/>
            <w:vAlign w:val="center"/>
          </w:tcPr>
          <w:p>
            <w:pPr>
              <w:pStyle w:val="TableContents"/>
              <w:bidi w:val="0"/>
              <w:spacing w:before="0" w:after="0"/>
              <w:ind w:left="0" w:right="0" w:hanging="0"/>
              <w:jc w:val="left"/>
              <w:rPr/>
            </w:pPr>
            <w:r>
              <w:rPr/>
              <w:t>    </w:t>
            </w:r>
          </w:p>
        </w:tc>
        <w:tc>
          <w:tcPr>
            <w:tcW w:w="1019" w:type="dxa"/>
            <w:gridSpan w:val="2"/>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44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26" w:type="dxa"/>
            <w:tcBorders/>
            <w:vAlign w:val="center"/>
          </w:tcPr>
          <w:p>
            <w:pPr>
              <w:pStyle w:val="TableContents"/>
              <w:bidi w:val="0"/>
              <w:spacing w:before="0" w:after="0"/>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326" w:type="dxa"/>
            <w:tcBorders/>
            <w:vAlign w:val="center"/>
          </w:tcPr>
          <w:p>
            <w:pPr>
              <w:pStyle w:val="TableContents"/>
              <w:bidi w:val="0"/>
              <w:spacing w:before="0" w:after="0"/>
              <w:ind w:left="0" w:right="0" w:hanging="0"/>
              <w:jc w:val="left"/>
              <w:rPr/>
            </w:pPr>
            <w:r>
              <w:rPr/>
              <w:t>​</w:t>
            </w:r>
          </w:p>
        </w:tc>
        <w:tc>
          <w:tcPr>
            <w:tcW w:w="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326" w:type="dxa"/>
            <w:tcBorders/>
            <w:vAlign w:val="center"/>
          </w:tcPr>
          <w:p>
            <w:pPr>
              <w:pStyle w:val="TableContents"/>
              <w:bidi w:val="0"/>
              <w:spacing w:before="0" w:after="0"/>
              <w:ind w:left="0" w:right="0" w:hanging="0"/>
              <w:jc w:val="left"/>
              <w:rPr/>
            </w:pPr>
            <w:r>
              <w:rPr/>
              <w:t>​</w:t>
            </w:r>
          </w:p>
        </w:tc>
        <w:tc>
          <w:tcPr>
            <w:tcW w:w="10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January 1, 2023</w:t>
            </w:r>
          </w:p>
        </w:tc>
        <w:tc>
          <w:tcPr>
            <w:tcW w:w="32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3,947,267</w:t>
            </w:r>
          </w:p>
        </w:tc>
        <w:tc>
          <w:tcPr>
            <w:tcW w:w="326" w:type="dxa"/>
            <w:tcBorders/>
            <w:shd w:fill="CCEEFF" w:val="clear"/>
            <w:vAlign w:val="center"/>
          </w:tcPr>
          <w:p>
            <w:pPr>
              <w:pStyle w:val="TableContents"/>
              <w:bidi w:val="0"/>
              <w:spacing w:before="0" w:after="0"/>
              <w:ind w:left="0" w:right="0" w:hanging="0"/>
              <w:jc w:val="center"/>
              <w:rPr/>
            </w:pPr>
            <w:r>
              <w:rPr/>
              <w:t>​</w:t>
            </w:r>
          </w:p>
        </w:tc>
        <w:tc>
          <w:tcPr>
            <w:tcW w:w="216"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center"/>
              <w:rPr/>
            </w:pPr>
            <w:r>
              <w:rPr/>
              <w:t>​</w:t>
            </w:r>
          </w:p>
        </w:tc>
        <w:tc>
          <w:tcPr>
            <w:tcW w:w="192"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387,320</w:t>
            </w:r>
          </w:p>
        </w:tc>
        <w:tc>
          <w:tcPr>
            <w:tcW w:w="326" w:type="dxa"/>
            <w:tcBorders/>
            <w:shd w:fill="CCEEFF" w:val="clear"/>
            <w:vAlign w:val="center"/>
          </w:tcPr>
          <w:p>
            <w:pPr>
              <w:pStyle w:val="TableContents"/>
              <w:bidi w:val="0"/>
              <w:spacing w:before="0" w:after="0"/>
              <w:ind w:left="0" w:right="0" w:hanging="0"/>
              <w:jc w:val="center"/>
              <w:rPr/>
            </w:pPr>
            <w:r>
              <w:rPr/>
              <w:t>​</w:t>
            </w:r>
          </w:p>
        </w:tc>
        <w:tc>
          <w:tcPr>
            <w:tcW w:w="207"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(362,675)</w:t>
            </w:r>
          </w:p>
        </w:tc>
        <w:tc>
          <w:tcPr>
            <w:tcW w:w="326" w:type="dxa"/>
            <w:tcBorders/>
            <w:shd w:fill="CCEEFF" w:val="clear"/>
            <w:vAlign w:val="center"/>
          </w:tcPr>
          <w:p>
            <w:pPr>
              <w:pStyle w:val="TableContents"/>
              <w:bidi w:val="0"/>
              <w:spacing w:before="0" w:after="0"/>
              <w:ind w:left="0" w:right="0" w:hanging="0"/>
              <w:jc w:val="center"/>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24,646</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476</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476</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25</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9,347</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65</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$69</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182,511</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2,675</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2,675</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 sale of common stock, net of $3,166</w:t>
            </w:r>
            <w:r>
              <w:rPr>
                <w:rFonts w:ascii="Times New Roman;Times;serif" w:hAnsi="Times New Roman;Times;serif"/>
                <w:sz w:val="14"/>
              </w:rPr>
              <w:t xml:space="preserve"> </w:t>
            </w:r>
            <w:r>
              <w:rPr>
                <w:rFonts w:ascii="Times New Roman;Times;serif" w:hAnsi="Times New Roman;Times;serif"/>
                <w:sz w:val="15"/>
              </w:rPr>
              <w:t>in issuance costs and fair value of liability warrant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412,500</w:t>
            </w:r>
          </w:p>
        </w:tc>
        <w:tc>
          <w:tcPr>
            <w:tcW w:w="326" w:type="dxa"/>
            <w:tcBorders/>
            <w:vAlign w:val="center"/>
          </w:tcPr>
          <w:p>
            <w:pPr>
              <w:pStyle w:val="TableContents"/>
              <w:bidi w:val="0"/>
              <w:spacing w:before="0" w:after="0"/>
              <w:ind w:left="0" w:right="0" w:hanging="0"/>
              <w:jc w:val="left"/>
              <w:rPr/>
            </w:pPr>
            <w:r>
              <w:rPr/>
              <w:t> </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w:t>
            </w:r>
          </w:p>
        </w:tc>
        <w:tc>
          <w:tcPr>
            <w:tcW w:w="326" w:type="dxa"/>
            <w:tcBorders/>
            <w:vAlign w:val="center"/>
          </w:tcPr>
          <w:p>
            <w:pPr>
              <w:pStyle w:val="TableContents"/>
              <w:bidi w:val="0"/>
              <w:spacing w:before="0" w:after="0"/>
              <w:ind w:left="0" w:right="0" w:hanging="0"/>
              <w:jc w:val="left"/>
              <w:rPr/>
            </w:pPr>
            <w:r>
              <w:rPr/>
              <w:t> </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134</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(6,653)</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(6,653)</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March 31, 2023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4,551,625</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390,716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(369,328)</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21,389</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21</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456</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performance share units (“PSUs”)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34,075</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16,341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(3,995)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(3,995)</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June 30, 2023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4,602,041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391,221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(373,323)</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17,899</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options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22</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RSUs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341</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PSUs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Stock-based compensation -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Issuance of shares for RSUs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11,249</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Proceeds from contributions to the ESPP</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Cash in lieu of fractional shares from reverse stock split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(1,857)</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41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5"/>
              </w:rPr>
              <w:t>Issuance of shares in an ATM placement, net of $94</w:t>
            </w:r>
            <w:r>
              <w:rPr>
                <w:rFonts w:ascii="Times New Roman;Times;serif" w:hAnsi="Times New Roman;Times;serif"/>
                <w:sz w:val="14"/>
              </w:rPr>
              <w:t xml:space="preserve"> </w:t>
            </w:r>
            <w:r>
              <w:rPr>
                <w:rFonts w:ascii="Times New Roman;Times;serif" w:hAnsi="Times New Roman;Times;serif"/>
                <w:sz w:val="15"/>
              </w:rPr>
              <w:t>in issuance costs</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435,561</w:t>
            </w:r>
          </w:p>
        </w:tc>
        <w:tc>
          <w:tcPr>
            <w:tcW w:w="326" w:type="dxa"/>
            <w:tcBorders/>
            <w:vAlign w:val="center"/>
          </w:tcPr>
          <w:p>
            <w:pPr>
              <w:pStyle w:val="TableContents"/>
              <w:bidi w:val="0"/>
              <w:spacing w:before="0" w:after="0"/>
              <w:ind w:left="0" w:right="0" w:hanging="0"/>
              <w:jc w:val="left"/>
              <w:rPr/>
            </w:pPr>
            <w:r>
              <w:rPr/>
              <w:t>​</w:t>
            </w:r>
          </w:p>
        </w:tc>
        <w:tc>
          <w:tcPr>
            <w:tcW w:w="216" w:type="dxa"/>
            <w:tcBorders/>
            <w:vAlign w:val="center"/>
          </w:tcPr>
          <w:p>
            <w:pPr>
              <w:pStyle w:val="TableContents"/>
              <w:bidi w:val="0"/>
              <w:spacing w:before="0" w:after="0"/>
              <w:ind w:left="0" w:right="0" w:hanging="0"/>
              <w:jc w:val="left"/>
              <w:rPr/>
            </w:pPr>
            <w:r>
              <w:rPr/>
              <w:t>​</w:t>
            </w:r>
          </w:p>
        </w:tc>
        <w:tc>
          <w:tcPr>
            <w:tcW w:w="41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c>
          <w:tcPr>
            <w:tcW w:w="644"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883</w:t>
            </w:r>
          </w:p>
        </w:tc>
        <w:tc>
          <w:tcPr>
            <w:tcW w:w="326" w:type="dxa"/>
            <w:tcBorders/>
            <w:vAlign w:val="center"/>
          </w:tcPr>
          <w:p>
            <w:pPr>
              <w:pStyle w:val="TableContents"/>
              <w:bidi w:val="0"/>
              <w:spacing w:before="0" w:after="0"/>
              <w:ind w:left="0" w:right="0" w:hanging="0"/>
              <w:jc w:val="left"/>
              <w:rPr/>
            </w:pPr>
            <w:r>
              <w:rPr/>
              <w:t>​</w:t>
            </w:r>
          </w:p>
        </w:tc>
        <w:tc>
          <w:tcPr>
            <w:tcW w:w="207"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883</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(4,114)</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(4,114)</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15"/>
              </w:rPr>
            </w:pPr>
            <w:r>
              <w:rPr>
                <w:rFonts w:ascii="Times New Roman;Times;serif" w:hAnsi="Times New Roman;Times;serif"/>
                <w:sz w:val="15"/>
              </w:rPr>
              <w:t>Balance as of September 30, 2023</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5,046,994</w:t>
            </w:r>
          </w:p>
        </w:tc>
        <w:tc>
          <w:tcPr>
            <w:tcW w:w="326" w:type="dxa"/>
            <w:tcBorders/>
            <w:vAlign w:val="center"/>
          </w:tcPr>
          <w:p>
            <w:pPr>
              <w:pStyle w:val="TableContents"/>
              <w:bidi w:val="0"/>
              <w:spacing w:before="0" w:after="0"/>
              <w:ind w:left="0" w:right="0" w:hanging="0"/>
              <w:jc w:val="left"/>
              <w:rPr/>
            </w:pPr>
            <w:r>
              <w:rPr/>
              <w:t>​</w:t>
            </w:r>
          </w:p>
        </w:tc>
        <w:tc>
          <w:tcPr>
            <w:tcW w:w="2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41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19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6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392,476</w:t>
            </w:r>
          </w:p>
        </w:tc>
        <w:tc>
          <w:tcPr>
            <w:tcW w:w="326" w:type="dxa"/>
            <w:tcBorders/>
            <w:vAlign w:val="center"/>
          </w:tcPr>
          <w:p>
            <w:pPr>
              <w:pStyle w:val="TableContents"/>
              <w:bidi w:val="0"/>
              <w:spacing w:before="0" w:after="0"/>
              <w:ind w:left="0" w:right="0" w:hanging="0"/>
              <w:jc w:val="left"/>
              <w:rPr/>
            </w:pPr>
            <w:r>
              <w:rPr/>
              <w:t>​</w:t>
            </w:r>
          </w:p>
        </w:tc>
        <w:tc>
          <w:tcPr>
            <w:tcW w:w="2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5"/>
              </w:rPr>
            </w:pPr>
            <w:r>
              <w:rPr>
                <w:rFonts w:ascii="Times New Roman;Times;serif" w:hAnsi="Times New Roman;Times;serif"/>
                <w:sz w:val="15"/>
              </w:rPr>
              <w:t>(377,437)</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5"/>
              </w:rPr>
            </w:pPr>
            <w:r>
              <w:rPr>
                <w:rFonts w:ascii="Times New Roman;Times;serif" w:hAnsi="Times New Roman;Times;serif"/>
                <w:sz w:val="15"/>
              </w:rPr>
              <w:t>$</w:t>
            </w:r>
          </w:p>
        </w:tc>
        <w:tc>
          <w:tcPr>
            <w:tcW w:w="789"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sz w:val="15"/>
              </w:rPr>
            </w:pPr>
            <w:r>
              <w:rPr>
                <w:rFonts w:ascii="Times New Roman;Times;serif" w:hAnsi="Times New Roman;Times;serif"/>
                <w:sz w:val="15"/>
              </w:rPr>
              <w:t>15,040</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Share and per share amounts have been retroactively adjusted to reflect the impact of a 1-for-20 reverse stock split effected in August 2023, as discussed in Note 1.</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76" w:name="_5ec8e8fa_05b1_4435_b057_cb90592b7d81"/>
      <w:bookmarkEnd w:id="676"/>
      <w:r>
        <w:rPr>
          <w:rFonts w:ascii="Times New Roman;Times;serif" w:hAnsi="Times New Roman;Times;serif"/>
          <w:b/>
          <w:sz w:val="20"/>
        </w:rPr>
        <w:t>Energous Corporation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677" w:name="Tc_QR6Ln-e3MU2kvYmCwaBPbw_37_6"/>
      <w:bookmarkStart w:id="678" w:name="Tc_1RbBqL5fSk65hB-sWsa8JQ_37_5"/>
      <w:bookmarkStart w:id="679" w:name="Tc_HLFQ_g-cdUyKlsoZVX8cJw_37_2"/>
      <w:bookmarkStart w:id="680" w:name="Tc_Whg1P6Yi-0e4P-rA_zDQ_Q_37_0"/>
      <w:bookmarkStart w:id="681" w:name="Tc_MqWm-qBHlUScVNd4pW41wA_36_6"/>
      <w:bookmarkStart w:id="682" w:name="Tc_kx7yahRicEm7OK07iwxoiA_36_5"/>
      <w:bookmarkStart w:id="683" w:name="Tc_1bMu1ofdMUmSZNTwW6YZeA_36_2"/>
      <w:bookmarkStart w:id="684" w:name="Tc_rhZDjCq0Qk6-aATFbzfOUA_36_0"/>
      <w:bookmarkStart w:id="685" w:name="Tc_gSGHe0kG_EmO87ar2Ji5yw_35_0"/>
      <w:bookmarkStart w:id="686" w:name="Tc_lC6G0h2ogUy9MtYbJB5Z-A_34_5"/>
      <w:bookmarkStart w:id="687" w:name="Tc_Zeq5jIwTPUWsFHV9v6-mTA_34_2"/>
      <w:bookmarkStart w:id="688" w:name="Tc_0hwlC4Zkp0OG0ezkN7XDew_34_0"/>
      <w:bookmarkStart w:id="689" w:name="Tc_FrjAqMYULEeuatjFlLpOZA_33_0"/>
      <w:bookmarkStart w:id="690" w:name="Tc_-F1rX6UyqUaxatBSyxem9Q_32_0"/>
      <w:bookmarkStart w:id="691" w:name="Tc_vUGEJqFNNEycX2LXpVxXOw_31_0"/>
      <w:bookmarkStart w:id="692" w:name="Tc_AbcKttikfE-3NMB4QNaSjw_30_0"/>
      <w:bookmarkStart w:id="693" w:name="Tc_Wv2XFdMP70aGh2HS7gKFYQ_29_0"/>
      <w:bookmarkStart w:id="694" w:name="Tc_N4TtBAN4zk-GKmODNZpC_A_28_0"/>
      <w:bookmarkStart w:id="695" w:name="Tc_NqxddJiIx0ScJzMUu-xCuA_27_0"/>
      <w:bookmarkStart w:id="696" w:name="Tc_736U5y18a0e-5VzWhpay3A_26_0"/>
      <w:bookmarkStart w:id="697" w:name="Tc_jlorSJTOXESNK3KfzYJvnw_25_0"/>
      <w:bookmarkStart w:id="698" w:name="Tc_xCe5qT0W4EGTVqx2etsC3Q_24_0"/>
      <w:bookmarkStart w:id="699" w:name="Tc_tcrSsM7obEWF9DKpRTK6pw_23_0"/>
      <w:bookmarkStart w:id="700" w:name="Tc_L3-PlYt85UG09DcrwxHxqQ_22_0"/>
      <w:bookmarkStart w:id="701" w:name="Tc_PiUhieUWiUqCmySb2k_wUQ_21_0"/>
      <w:bookmarkStart w:id="702" w:name="Tc_3PdpDyoeKU2RvvhbasdeFg_20_0"/>
      <w:bookmarkStart w:id="703" w:name="Tc_KDh2XUqbUEmorleIZUizkQ_19_0"/>
      <w:bookmarkStart w:id="704" w:name="Tc_nuREHBGpnE-0OBnemSvimQ_18_0"/>
      <w:bookmarkStart w:id="705" w:name="Tc_s5CmVH-Z3U-uLZ9c0_Is3A_17_0"/>
      <w:bookmarkStart w:id="706" w:name="Tc_Le_2I0eHoEmrwM6Vg_vtAA_16_0"/>
      <w:bookmarkStart w:id="707" w:name="Tc_iiBfMXINjkucLBfN5A-NBg_15_0"/>
      <w:bookmarkStart w:id="708" w:name="Tc_xOJ7GREqGkOOktKjVppg9w_14_0"/>
      <w:bookmarkStart w:id="709" w:name="Tc_ytA7_yaZ9ESOU8JarLK4VQ_13_0"/>
      <w:bookmarkStart w:id="710" w:name="Tc_GY4nEWp8wkWWJg1FTTMWXA_12_3"/>
      <w:bookmarkStart w:id="711" w:name="Tc_YjxlEgVn2kWesvIZjzbBgQ_12_0"/>
      <w:bookmarkStart w:id="712" w:name="Tc_F8G8mXbNUEyNpkStQ55VNA_11_0"/>
      <w:bookmarkStart w:id="713" w:name="Tc_37EpCGzEBEGHHbk2hNv43A_10_3"/>
      <w:bookmarkStart w:id="714" w:name="Tc_TC1ekG2RrEOIe2HzGfAlOw_10_0"/>
      <w:bookmarkStart w:id="715" w:name="Tc_oz11hOwadE2dkbhHhNnWbA_9_3"/>
      <w:bookmarkStart w:id="716" w:name="Tc__2n7JfeNUEKB58CqVnFfZw_9_0"/>
      <w:bookmarkStart w:id="717" w:name="Tc_1CDde6SQf0m-SVp1EmevLg_8_0"/>
      <w:bookmarkStart w:id="718" w:name="Tc_IX4MK0FtwkGwm8rIgYPoaQ_7_0"/>
      <w:bookmarkStart w:id="719" w:name="Tc_S93WAb6HCEe2X2zHkEHkRw_6_0"/>
      <w:bookmarkStart w:id="720" w:name="Tc_UFAKbqD9i0Cl9zWdAR5xtQ_5_5"/>
      <w:bookmarkStart w:id="721" w:name="Tc_xq9U7ma3HU2WpiDNMol69A_5_2"/>
      <w:bookmarkStart w:id="722" w:name="Tc_ezJdohzhBEWngVS4aCQl0w_5_0"/>
      <w:bookmarkStart w:id="723" w:name="Tc_1uI8cn_De0CMsydrrCkDNQ_4_0"/>
      <w:bookmarkStart w:id="724" w:name="Tc_GhgGlCXOsUyCQIeiAisL9g_3_5"/>
      <w:bookmarkStart w:id="725" w:name="Tc_2Tl6myXx0Ui83VS2gUExVg_3_2"/>
      <w:bookmarkStart w:id="726" w:name="Tc_hOcmDIan_0qL7JKfdki3mQ_2_2"/>
      <w:bookmarkStart w:id="727" w:name="Tc_TIFfiU-FKkGmnRAQFXyJhg_1_2"/>
      <w:bookmarkStart w:id="728" w:name="_370ee853_1597_4b1f_8514_a52156f65458"/>
      <w:bookmarkStart w:id="729" w:name="Tc_QR6Ln-e3MU2kvYmCwaBPbw_37_6"/>
      <w:bookmarkStart w:id="730" w:name="Tc_1RbBqL5fSk65hB-sWsa8JQ_37_5"/>
      <w:bookmarkStart w:id="731" w:name="Tc_HLFQ_g-cdUyKlsoZVX8cJw_37_2"/>
      <w:bookmarkStart w:id="732" w:name="Tc_Whg1P6Yi-0e4P-rA_zDQ_Q_37_0"/>
      <w:bookmarkStart w:id="733" w:name="Tc_MqWm-qBHlUScVNd4pW41wA_36_6"/>
      <w:bookmarkStart w:id="734" w:name="Tc_kx7yahRicEm7OK07iwxoiA_36_5"/>
      <w:bookmarkStart w:id="735" w:name="Tc_1bMu1ofdMUmSZNTwW6YZeA_36_2"/>
      <w:bookmarkStart w:id="736" w:name="Tc_rhZDjCq0Qk6-aATFbzfOUA_36_0"/>
      <w:bookmarkStart w:id="737" w:name="Tc_gSGHe0kG_EmO87ar2Ji5yw_35_0"/>
      <w:bookmarkStart w:id="738" w:name="Tc_lC6G0h2ogUy9MtYbJB5Z-A_34_5"/>
      <w:bookmarkStart w:id="739" w:name="Tc_Zeq5jIwTPUWsFHV9v6-mTA_34_2"/>
      <w:bookmarkStart w:id="740" w:name="Tc_0hwlC4Zkp0OG0ezkN7XDew_34_0"/>
      <w:bookmarkStart w:id="741" w:name="Tc_FrjAqMYULEeuatjFlLpOZA_33_0"/>
      <w:bookmarkStart w:id="742" w:name="Tc_-F1rX6UyqUaxatBSyxem9Q_32_0"/>
      <w:bookmarkStart w:id="743" w:name="Tc_vUGEJqFNNEycX2LXpVxXOw_31_0"/>
      <w:bookmarkStart w:id="744" w:name="Tc_AbcKttikfE-3NMB4QNaSjw_30_0"/>
      <w:bookmarkStart w:id="745" w:name="Tc_Wv2XFdMP70aGh2HS7gKFYQ_29_0"/>
      <w:bookmarkStart w:id="746" w:name="Tc_N4TtBAN4zk-GKmODNZpC_A_28_0"/>
      <w:bookmarkStart w:id="747" w:name="Tc_NqxddJiIx0ScJzMUu-xCuA_27_0"/>
      <w:bookmarkStart w:id="748" w:name="Tc_736U5y18a0e-5VzWhpay3A_26_0"/>
      <w:bookmarkStart w:id="749" w:name="Tc_jlorSJTOXESNK3KfzYJvnw_25_0"/>
      <w:bookmarkStart w:id="750" w:name="Tc_xCe5qT0W4EGTVqx2etsC3Q_24_0"/>
      <w:bookmarkStart w:id="751" w:name="Tc_tcrSsM7obEWF9DKpRTK6pw_23_0"/>
      <w:bookmarkStart w:id="752" w:name="Tc_L3-PlYt85UG09DcrwxHxqQ_22_0"/>
      <w:bookmarkStart w:id="753" w:name="Tc_PiUhieUWiUqCmySb2k_wUQ_21_0"/>
      <w:bookmarkStart w:id="754" w:name="Tc_3PdpDyoeKU2RvvhbasdeFg_20_0"/>
      <w:bookmarkStart w:id="755" w:name="Tc_KDh2XUqbUEmorleIZUizkQ_19_0"/>
      <w:bookmarkStart w:id="756" w:name="Tc_nuREHBGpnE-0OBnemSvimQ_18_0"/>
      <w:bookmarkStart w:id="757" w:name="Tc_s5CmVH-Z3U-uLZ9c0_Is3A_17_0"/>
      <w:bookmarkStart w:id="758" w:name="Tc_Le_2I0eHoEmrwM6Vg_vtAA_16_0"/>
      <w:bookmarkStart w:id="759" w:name="Tc_iiBfMXINjkucLBfN5A-NBg_15_0"/>
      <w:bookmarkStart w:id="760" w:name="Tc_xOJ7GREqGkOOktKjVppg9w_14_0"/>
      <w:bookmarkStart w:id="761" w:name="Tc_ytA7_yaZ9ESOU8JarLK4VQ_13_0"/>
      <w:bookmarkStart w:id="762" w:name="Tc_GY4nEWp8wkWWJg1FTTMWXA_12_3"/>
      <w:bookmarkStart w:id="763" w:name="Tc_YjxlEgVn2kWesvIZjzbBgQ_12_0"/>
      <w:bookmarkStart w:id="764" w:name="Tc_F8G8mXbNUEyNpkStQ55VNA_11_0"/>
      <w:bookmarkStart w:id="765" w:name="Tc_37EpCGzEBEGHHbk2hNv43A_10_3"/>
      <w:bookmarkStart w:id="766" w:name="Tc_TC1ekG2RrEOIe2HzGfAlOw_10_0"/>
      <w:bookmarkStart w:id="767" w:name="Tc_oz11hOwadE2dkbhHhNnWbA_9_3"/>
      <w:bookmarkStart w:id="768" w:name="Tc__2n7JfeNUEKB58CqVnFfZw_9_0"/>
      <w:bookmarkStart w:id="769" w:name="Tc_1CDde6SQf0m-SVp1EmevLg_8_0"/>
      <w:bookmarkStart w:id="770" w:name="Tc_IX4MK0FtwkGwm8rIgYPoaQ_7_0"/>
      <w:bookmarkStart w:id="771" w:name="Tc_S93WAb6HCEe2X2zHkEHkRw_6_0"/>
      <w:bookmarkStart w:id="772" w:name="Tc_UFAKbqD9i0Cl9zWdAR5xtQ_5_5"/>
      <w:bookmarkStart w:id="773" w:name="Tc_xq9U7ma3HU2WpiDNMol69A_5_2"/>
      <w:bookmarkStart w:id="774" w:name="Tc_ezJdohzhBEWngVS4aCQl0w_5_0"/>
      <w:bookmarkStart w:id="775" w:name="Tc_1uI8cn_De0CMsydrrCkDNQ_4_0"/>
      <w:bookmarkStart w:id="776" w:name="Tc_GhgGlCXOsUyCQIeiAisL9g_3_5"/>
      <w:bookmarkStart w:id="777" w:name="Tc_2Tl6myXx0Ui83VS2gUExVg_3_2"/>
      <w:bookmarkStart w:id="778" w:name="Tc_hOcmDIan_0qL7JKfdki3mQ_2_2"/>
      <w:bookmarkStart w:id="779" w:name="Tc_TIFfiU-FKkGmnRAQFXyJhg_1_2"/>
      <w:bookmarkStart w:id="780" w:name="_370ee853_1597_4b1f_8514_a52156f6545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tbl>
      <w:tblPr>
        <w:tblW w:w="10205" w:type="dxa"/>
        <w:jc w:val="left"/>
        <w:tblInd w:w="0" w:type="dxa"/>
        <w:tblLayout w:type="fixed"/>
        <w:tblCellMar>
          <w:top w:w="0" w:type="dxa"/>
          <w:left w:w="0" w:type="dxa"/>
          <w:bottom w:w="0" w:type="dxa"/>
          <w:right w:w="0" w:type="dxa"/>
        </w:tblCellMar>
      </w:tblPr>
      <w:tblGrid>
        <w:gridCol w:w="7523"/>
        <w:gridCol w:w="326"/>
        <w:gridCol w:w="211"/>
        <w:gridCol w:w="781"/>
        <w:gridCol w:w="326"/>
        <w:gridCol w:w="211"/>
        <w:gridCol w:w="827"/>
      </w:tblGrid>
      <w:tr>
        <w:trPr/>
        <w:tc>
          <w:tcPr>
            <w:tcW w:w="7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777105" cy="175260"/>
                      <wp:effectExtent l="0" t="0" r="0" b="0"/>
                      <wp:wrapNone/>
                      <wp:docPr id="65" name="Frame64"/>
                      <a:graphic xmlns:a="http://schemas.openxmlformats.org/drawingml/2006/main">
                        <a:graphicData uri="http://schemas.microsoft.com/office/word/2010/wordprocessingShape">
                          <wps:wsp>
                            <wps:cNvSpPr txBox="1"/>
                            <wps:spPr>
                              <a:xfrm>
                                <a:off x="0" y="0"/>
                                <a:ext cx="4777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25145" cy="175260"/>
                      <wp:effectExtent l="0" t="0" r="0" b="0"/>
                      <wp:wrapNone/>
                      <wp:docPr id="71" name="Frame70"/>
                      <a:graphic xmlns:a="http://schemas.openxmlformats.org/drawingml/2006/main">
                        <a:graphicData uri="http://schemas.microsoft.com/office/word/2010/wordprocessingShape">
                          <wps:wsp>
                            <wps:cNvSpPr txBox="1"/>
                            <wps:spPr>
                              <a:xfrm>
                                <a:off x="0" y="0"/>
                                <a:ext cx="525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56"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Nine Months Ended </w:t>
            </w:r>
          </w:p>
        </w:tc>
      </w:tr>
      <w:tr>
        <w:trPr/>
        <w:tc>
          <w:tcPr>
            <w:tcW w:w="7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56"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752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27" w:type="dxa"/>
            <w:tcBorders/>
            <w:shd w:fill="CCEEFF" w:val="clear"/>
            <w:vAlign w:val="center"/>
          </w:tcPr>
          <w:p>
            <w:pPr>
              <w:pStyle w:val="TableContents"/>
              <w:bidi w:val="0"/>
              <w:spacing w:before="0" w:after="1"/>
              <w:ind w:left="0" w:right="0" w:hanging="0"/>
              <w:jc w:val="right"/>
              <w:rPr/>
            </w:pPr>
            <w:r>
              <w:rPr/>
              <w:t>  </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(14,762)</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pPr>
            <w:r>
              <w:rPr/>
              <w:t>​</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1,395</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net realizable value adjustment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Offering costs allocated to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pPr>
            <w:r>
              <w:rPr/>
              <w:t>​</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548</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(14,891)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(15,916)</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pPr>
            <w:r>
              <w:rPr/>
              <w:t>​</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pPr>
            <w:r>
              <w:rPr/>
              <w:t>​</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an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3,558</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proceeds from a sale of common stock and warrant issuance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contributions to the ESPP</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6,305</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decrease in cash, cash equivalents and restricted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beginning</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13,936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26,287</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 ending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16,579</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Supplemental disclosure of non-cash investing and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27" w:type="dxa"/>
            <w:tcBorders/>
            <w:vAlign w:val="center"/>
          </w:tcPr>
          <w:p>
            <w:pPr>
              <w:pStyle w:val="TableContents"/>
              <w:bidi w:val="0"/>
              <w:spacing w:before="0" w:after="1"/>
              <w:ind w:left="0" w:right="0" w:hanging="0"/>
              <w:jc w:val="right"/>
              <w:rPr/>
            </w:pPr>
            <w:r>
              <w:rPr/>
              <w:t>  </w:t>
            </w:r>
          </w:p>
        </w:tc>
      </w:tr>
      <w:tr>
        <w:trPr/>
        <w:tc>
          <w:tcPr>
            <w:tcW w:w="7523"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in operating lease right-of-use assets and operating lease liabilities from incremental borrowing rate change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shd w:fill="CCEEFF" w:val="clear"/>
            <w:vAlign w:val="center"/>
          </w:tcPr>
          <w:p>
            <w:pPr>
              <w:pStyle w:val="TableContents"/>
              <w:bidi w:val="0"/>
              <w:spacing w:before="0" w:after="1"/>
              <w:ind w:left="0" w:right="0" w:hanging="0"/>
              <w:jc w:val="right"/>
              <w:rPr/>
            </w:pPr>
            <w:r>
              <w:rPr/>
              <w:t>—</w:t>
            </w:r>
          </w:p>
        </w:tc>
      </w:tr>
      <w:tr>
        <w:trPr/>
        <w:tc>
          <w:tcPr>
            <w:tcW w:w="7523"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in operating lease right-of-use assets and operating lease liabilities from lease modification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financial statements.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1 - Business Organization, Nature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Energous Corporation d/b/a Energous Wireless Power Solutions (the “Company”) has developed scalable, over-the-air wireless power networks (“WPN”) technology, consisting of semiconductor chipsets, software controls, hardware designs and antennas, that enable radio frequency (“RF”) based charging for Internet of Things (“IoT”) devices. The WPN technology has a broad spectrum of capabilities to enable the next generation of wireless power networks, delivering power and data in a seamless device portfolio, enabling unprecedented levels of visibility, control, and intelligent business automation. This includes near field and at-a-distance wireless charging with multiple power levels at various distances. The Company’s wireless power transmitter and receiver technologies deliver continuous access to wireless power, helping drive a new generation of battery-free devices for asset and inventory tracking and management – from retail sensors, electronic shelf labels, and asset trackers, to air quality monitors, motion detectors, and more.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believes its technology is innovative in its approach, in that the Company is developing solutions that charge IoT devices using RF technology. To date, the Company has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 end product featuring the Company’s technology entered the market in 2019. The Company started shipping its first at-a-distance wireless PowerBridges for commercial IoT applications and proofs of concept in the fourth quarter of 2021 and expects additional wireless power enabled products to be released as the Company’s business moves forward.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14, 2023, at the Company’s 2023 annual meeting of stockholders, the Company’s stockholders approved a proposal to effect a reverse stock split of the Company’s common stock by a ratio not to exceed 1-for-20.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15, 2023, the Company announced that its Board of Directors had determined to set the reverse stock split ratio at 1-for-20 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information presented herein, unless otherwise indicated herein, reflects the 1-for-20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Liquidity and Management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and nine months ended September 30, 2024, the Company recorded revenue of $0.2 million and $0.3 million, respectively. During the three and nine months ended September 30, 2023, the Company recorded revenue of $0.2 million and $0.4 million, respectively. During the three and nine months ended September 30, 2024, the Company recorded net losses of $3.4 million and $14.3 million, respectively. During the three and nine months ended September 30, 2023, the Company recorded net losses of $4.1 million and $14.8 million, respectively. Net cash used in operating activities was $14.9 million and $15.9 million for the nine months ended September 30, 2024 and 2023, respectively. As of September 30, 2024, the Company had cash and cash equivalents of $1.5 million. The Company is currently meeting its liquidity requirements through the proceeds of securities offerings, including the ATM Program (as defined in Note 7 below), which securities offerings generated aggregate net proceeds of $6.9 million during 2023 and $2.5 million during the nine months ended September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current operating levels, the Company will need to raise additional funds in the next 12 months by selling additional equity or incurring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the Company gains traction in the market with its new technology and continues to invest capital in transitioning and scaling the business from research and development of new technologies to commercial production, there can be no assurance that its available resources and revenue generated from its business operations will be sufficient to sustain its operations. Accordingly, the Company expects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condensed financial statements have been prepared in accordance with accounting principles generally accepted in the United States of America (“US GAAP”), and pursuant to the accounting and disclosure rules and regulations of the U.S. Securities and Exchange Commission (the “SEC”). Certain information and note disclosures have been condensed or omitted pursuant to such rules and regulations. The unaudited condensed financial statements have been prepared on the same basis as the annual financial statements and, in the opinion of management, reflect all adjustments, which include only normal recurring adjustments, necessary for a fair presentation of the period presented. The results of operations for the three and nine months ended September 30, 2024 are not necessarily indicative of the results to be expected for the year ending December 31, 2024, or for other future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These interim unaudited condensed financial statements should be read in conjunction with the audited financial statements and notes thereto for the fiscal year ended December 31, 2023 included in the Company’s Annual Report on Form 10-K for the fiscal year ended December 31, 2023, filed with the SEC on March 28, 2024. The accounting policies used in preparing these interim unaudited condensed financial statements are consistent with those described in the Company’s December 31, 2023 audited financial statements</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Certain reclassifications have been made to the fiscal year 2023 condensed balance sheet to conform to the fiscal year 2024 presentation. The reclassifications had no impact on total assets, total liabilities, or stockholders’ equity.</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significant estimates and assumptions include the valuation of stock-based compensation instruments, recognition of revenue, inventory valuation, fair value of warrant liabilities and the valuation allowance on deferred tax assets. 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 The Company reports restricted cash on its balance sheet to disclose the amount reserved for a specific purpose aside from ordinary business operations. The Company had restricted cash as collateral for the Company’s corporate credit card program which was discontinued during the second quarter of 2024. As of September 30, 2024 and December 31, 2023, the carrying value of restricted cash was $0 and $0.1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the proceeds received.</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Observable inputs such as quoted prices in active markets for identical assets or liabilities to which the Company has access at a measurement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for which little or no market data exists and for which the Company must develop its own assumptions regarding the assumptions that market participants would use in pricing the asset or liability, including assumptions regarding risk.</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carrying amounts of the Company’s financial assets and liabilities, such as cash, cash equivalents, prepaid expenses and other current assets, and accounts payable and accrued expenses, are an approximate of their fair values because of the short maturity of these instruments. The Company’s warrant liability recognized at fair value on a recurring basis is a level 3 measurement (see Note 10 – Fair Value Measurements).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606, “Revenue from Contracts with Customers” (“Topic 606”).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accordance with Topic 606, the Company recognizes revenue using the following five-step approach:</w:t>
      </w:r>
    </w:p>
    <w:tbl>
      <w:tblPr>
        <w:tblW w:w="3546" w:type="dxa"/>
        <w:jc w:val="left"/>
        <w:tblInd w:w="0" w:type="dxa"/>
        <w:tblLayout w:type="fixed"/>
        <w:tblCellMar>
          <w:top w:w="28" w:type="dxa"/>
          <w:left w:w="28" w:type="dxa"/>
          <w:bottom w:w="28" w:type="dxa"/>
          <w:right w:w="28" w:type="dxa"/>
        </w:tblCellMar>
      </w:tblPr>
      <w:tblGrid>
        <w:gridCol w:w="124"/>
        <w:gridCol w:w="256"/>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bl>
    <w:tbl>
      <w:tblPr>
        <w:tblW w:w="4761" w:type="dxa"/>
        <w:jc w:val="left"/>
        <w:tblInd w:w="0" w:type="dxa"/>
        <w:tblLayout w:type="fixed"/>
        <w:tblCellMar>
          <w:top w:w="28" w:type="dxa"/>
          <w:left w:w="28" w:type="dxa"/>
          <w:bottom w:w="28" w:type="dxa"/>
          <w:right w:w="28" w:type="dxa"/>
        </w:tblCellMar>
      </w:tblPr>
      <w:tblGrid>
        <w:gridCol w:w="124"/>
        <w:gridCol w:w="256"/>
        <w:gridCol w:w="43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 of the contract.</w:t>
            </w:r>
          </w:p>
        </w:tc>
      </w:tr>
    </w:tbl>
    <w:tbl>
      <w:tblPr>
        <w:tblW w:w="6711" w:type="dxa"/>
        <w:jc w:val="left"/>
        <w:tblInd w:w="0" w:type="dxa"/>
        <w:tblLayout w:type="fixed"/>
        <w:tblCellMar>
          <w:top w:w="28" w:type="dxa"/>
          <w:left w:w="28" w:type="dxa"/>
          <w:bottom w:w="28" w:type="dxa"/>
          <w:right w:w="28" w:type="dxa"/>
        </w:tblCellMar>
      </w:tblPr>
      <w:tblGrid>
        <w:gridCol w:w="124"/>
        <w:gridCol w:w="256"/>
        <w:gridCol w:w="6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bl>
    <w:tbl>
      <w:tblPr>
        <w:tblW w:w="6366" w:type="dxa"/>
        <w:jc w:val="left"/>
        <w:tblInd w:w="0" w:type="dxa"/>
        <w:tblLayout w:type="fixed"/>
        <w:tblCellMar>
          <w:top w:w="28" w:type="dxa"/>
          <w:left w:w="28" w:type="dxa"/>
          <w:bottom w:w="28" w:type="dxa"/>
          <w:right w:w="28" w:type="dxa"/>
        </w:tblCellMar>
      </w:tblPr>
      <w:tblGrid>
        <w:gridCol w:w="124"/>
        <w:gridCol w:w="256"/>
        <w:gridCol w:w="5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5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 when or as the performance obligations are satisfied.</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revenue consists of its single segment of wireless charging system solutions. The wireless charging system revenue consists of revenue from product development projects and production-level systems. During the three and nine months ended September 30, 2024, the Company recognized $0.2 million and $0.3 million, respectively, in revenue. During the three and nine months ended September 30, 2023, the Company recognized $0.2 million and $0.4 million, respectively, in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Any deferred revenue is recognized upon achievement of the performance obligation or expiration of a support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330, “Inventory” (“Topic 330”) to account for its inventory, which includes finished goods ready for sale, work in process and raw materials, at the lower of cost or net realizable value. Net realizable value is calculated at the end of each reporting period and adjustment, if needed, is made. At the point of loss recognition, a new lower cost basis for that inventory is established and subsequent changes in facts and circumstances do not result in the restoration or increase in the new cost basis.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expenses are charged to operations as incurred. For internally developed patents, all patent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$1.7 million and $6.5 million for the three and nine months ended September 30, 2024, respectively. The Company incurred research and development costs of $2.5 million and $8.4 million for the three and nine months ended September 30, 2023,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accounts for equity instruments issued to employees, board members and contractors in accordance with accounting guidance that requires awards to be recorded at their fair value on the date of grant and amortized over the vesting period of the award. The Company amortizes compensation costs on a straight-line basis over the requisite service period of the award, which is typically the vesting term of the equity instrument issued.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ESPP, employees may purchase a limited number of shares of the Company’s common stock at a 15% discount from the lower of the closing market prices measured on the first and last days of each half-year period. The Company recognizes stock-based compensation expense for the fair value of the purchase options, as measured on the grant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September 30, 2024, no liability for unrecognized tax benefits was required to be reported. The guidance from ASC 740, “Income Taxes” also discusses the classification of related interest and penalties on income taxes. The Company’s policy is to record interest and penalties on uncertain tax positions as a component of income tax expense. No interest or penalties were recorded during the three or nine months ended September 30, 2024 and 2023. The Company files income tax returns with the United States, California, Texas and Arizona governments.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1" w:name="Tc_jlehIlLJIE6kBZxQWj_klg_9_0"/>
      <w:bookmarkStart w:id="782" w:name="Tc_YZy-q5i51kaIHrYrfJmk3w_8_2_2"/>
      <w:bookmarkStart w:id="783" w:name="Tc_YZy-q5i51kaIHrYrfJmk3w_8_2"/>
      <w:bookmarkStart w:id="784" w:name="Tc_tdnLF1IMd0Ok_zlsnKaa1w_8_0"/>
      <w:bookmarkStart w:id="785" w:name="Tc_XTnB9emdTEG-M_hUIFlfGA_7_0"/>
      <w:bookmarkStart w:id="786" w:name="Tc_Da2sv7O9KEOCkW2D6LFbXw_6_2_2"/>
      <w:bookmarkStart w:id="787" w:name="Tc_Da2sv7O9KEOCkW2D6LFbXw_6_2"/>
      <w:bookmarkStart w:id="788" w:name="Tc_YclLZsw100yPvJXwlqGY6A_6_0"/>
      <w:bookmarkStart w:id="789" w:name="Tc_4X_fLBxSt0SQzIY4hZt8aw_5_0"/>
      <w:bookmarkStart w:id="790" w:name="Tc_6SNr_bxdH0-LKBrLBG58NQ_4_4"/>
      <w:bookmarkStart w:id="791" w:name="Tc_fEeljaTe8km6UmDEfpOgiQ_4_2"/>
      <w:bookmarkStart w:id="792" w:name="Tc_i5XFEHxEh0G9h28jOlKrUA_3_4"/>
      <w:bookmarkStart w:id="793" w:name="Tc_hJy5OOe0DU-40mQXH5VQ2Q_3_2"/>
      <w:bookmarkStart w:id="794" w:name="Tc_txN99Pci-EmGbVAa_FQP7g_2_4"/>
      <w:bookmarkStart w:id="795" w:name="Tc_qCGU0-ExDUaja3BWzgwDuw_2_2"/>
      <w:bookmarkStart w:id="796" w:name="Tc_jf7jje5G8UeDCxAcwWpGqQ_1_4"/>
      <w:bookmarkStart w:id="797" w:name="Tc_isAKqxuHqUyj-Nc54iobJA_1_2"/>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Common Share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RSUs and PSUs and the enrollment of employees in the ESPP. The computation of diluted loss per share excludes potentially dilutive securities of 1,950,212 and 597,020, as outlined in the table below, for the three and nine months ended September 30, 2024 and 2023, respectively, because their inclusion would be anti-dilutive.</w:t>
      </w:r>
    </w:p>
    <w:p>
      <w:pPr>
        <w:pStyle w:val="TextBody"/>
        <w:bidi w:val="0"/>
        <w:spacing w:before="0" w:after="0"/>
        <w:ind w:left="0" w:right="0" w:hanging="0"/>
        <w:jc w:val="left"/>
        <w:rPr/>
      </w:pPr>
      <w:r>
        <w:rPr/>
        <w:t>​</w:t>
      </w:r>
    </w:p>
    <w:tbl>
      <w:tblPr>
        <w:tblW w:w="6670" w:type="dxa"/>
        <w:jc w:val="left"/>
        <w:tblInd w:w="0" w:type="dxa"/>
        <w:tblLayout w:type="fixed"/>
        <w:tblCellMar>
          <w:top w:w="0" w:type="dxa"/>
          <w:left w:w="0" w:type="dxa"/>
          <w:bottom w:w="0" w:type="dxa"/>
          <w:right w:w="0" w:type="dxa"/>
        </w:tblCellMar>
      </w:tblPr>
      <w:tblGrid>
        <w:gridCol w:w="3001"/>
        <w:gridCol w:w="326"/>
        <w:gridCol w:w="1486"/>
        <w:gridCol w:w="326"/>
        <w:gridCol w:w="153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905635" cy="175260"/>
                      <wp:effectExtent l="0" t="0" r="0" b="0"/>
                      <wp:wrapNone/>
                      <wp:docPr id="72" name="Frame7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943610" cy="175260"/>
                      <wp:effectExtent l="0" t="0" r="0" b="0"/>
                      <wp:wrapNone/>
                      <wp:docPr id="74" name="Frame73"/>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972185" cy="175260"/>
                      <wp:effectExtent l="0" t="0" r="0" b="0"/>
                      <wp:wrapNone/>
                      <wp:docPr id="76" name="Frame75"/>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and</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0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issued to investors </w:t>
            </w:r>
          </w:p>
        </w:tc>
        <w:tc>
          <w:tcPr>
            <w:tcW w:w="326" w:type="dxa"/>
            <w:tcBorders/>
            <w:shd w:fill="CCEEFF" w:val="clear"/>
            <w:vAlign w:val="center"/>
          </w:tcPr>
          <w:p>
            <w:pPr>
              <w:pStyle w:val="TableContents"/>
              <w:bidi w:val="0"/>
              <w:spacing w:before="0" w:after="0"/>
              <w:ind w:left="0" w:right="0" w:hanging="0"/>
              <w:jc w:val="center"/>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1,432,909</w:t>
            </w:r>
          </w:p>
        </w:tc>
        <w:tc>
          <w:tcPr>
            <w:tcW w:w="326" w:type="dxa"/>
            <w:tcBorders/>
            <w:shd w:fill="CCEEFF" w:val="clear"/>
            <w:vAlign w:val="center"/>
          </w:tcPr>
          <w:p>
            <w:pPr>
              <w:pStyle w:val="TableContents"/>
              <w:bidi w:val="0"/>
              <w:spacing w:before="0" w:after="0"/>
              <w:ind w:left="0" w:right="0" w:hanging="0"/>
              <w:jc w:val="center"/>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to purchase common stock</w:t>
            </w:r>
          </w:p>
        </w:tc>
        <w:tc>
          <w:tcPr>
            <w:tcW w:w="326" w:type="dxa"/>
            <w:tcBorders/>
            <w:vAlign w:val="center"/>
          </w:tcPr>
          <w:p>
            <w:pPr>
              <w:pStyle w:val="TableContents"/>
              <w:bidi w:val="0"/>
              <w:spacing w:before="0" w:after="0"/>
              <w:ind w:left="0" w:right="0" w:hanging="0"/>
              <w:jc w:val="left"/>
              <w:rPr/>
            </w:pPr>
            <w:r>
              <w:rPr/>
              <w:t>​</w:t>
            </w:r>
          </w:p>
        </w:tc>
        <w:tc>
          <w:tcPr>
            <w:tcW w:w="14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26" w:type="dxa"/>
            <w:tcBorders/>
            <w:shd w:fill="CCEEFF" w:val="clear"/>
            <w:vAlign w:val="center"/>
          </w:tcPr>
          <w:p>
            <w:pPr>
              <w:pStyle w:val="TableContents"/>
              <w:bidi w:val="0"/>
              <w:spacing w:before="0" w:after="0"/>
              <w:ind w:left="0" w:right="0" w:hanging="0"/>
              <w:jc w:val="left"/>
              <w:rPr/>
            </w:pPr>
            <w:r>
              <w:rPr/>
              <w:t>​</w:t>
            </w:r>
          </w:p>
        </w:tc>
        <w:tc>
          <w:tcPr>
            <w:tcW w:w="14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517,303</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83,687</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PSUs</w:t>
            </w:r>
          </w:p>
        </w:tc>
        <w:tc>
          <w:tcPr>
            <w:tcW w:w="326" w:type="dxa"/>
            <w:tcBorders/>
            <w:vAlign w:val="center"/>
          </w:tcPr>
          <w:p>
            <w:pPr>
              <w:pStyle w:val="TableContents"/>
              <w:bidi w:val="0"/>
              <w:spacing w:before="0" w:after="0"/>
              <w:ind w:left="0" w:right="0" w:hanging="0"/>
              <w:jc w:val="left"/>
              <w:rPr/>
            </w:pPr>
            <w:r>
              <w:rPr/>
              <w:t>​</w:t>
            </w:r>
          </w:p>
        </w:tc>
        <w:tc>
          <w:tcPr>
            <w:tcW w:w="14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5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potentially dilutive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4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1,950,212</w:t>
            </w:r>
          </w:p>
        </w:tc>
        <w:tc>
          <w:tcPr>
            <w:tcW w:w="326" w:type="dxa"/>
            <w:tcBorders/>
            <w:shd w:fill="CCEEFF" w:val="clear"/>
            <w:vAlign w:val="center"/>
          </w:tcPr>
          <w:p>
            <w:pPr>
              <w:pStyle w:val="TableContents"/>
              <w:bidi w:val="0"/>
              <w:spacing w:before="0" w:after="0"/>
              <w:ind w:left="0" w:right="0" w:hanging="0"/>
              <w:jc w:val="left"/>
              <w:rPr/>
            </w:pPr>
            <w:r>
              <w:rPr/>
              <w:t>​</w:t>
            </w:r>
          </w:p>
        </w:tc>
        <w:tc>
          <w:tcPr>
            <w:tcW w:w="153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597,020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and nine months ended September 30, 2024, the table above includes 1,020,409 warrants expiring on February 20, 2029, which have an exercise price of $1.84 per share and 412,500 warrants expiring on March 28, 2029, which, as of September 30, 2024, have an exercise price of $0.56 per share. For the three and nine months ended September 30, 2023, the table above includes 83,333 warrants that expired on March 1, 2024, which had an exercise price of $200 per share, and 412,500 warrants expiring on March 28, 2029, which, as of September 30, 2024, have an exercise price of $0.56 per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later of the adoption date, January 1, 2019, or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Times New Roman;Times;serif" w:hAnsi="Times New Roman;Times;serif"/>
          <w:i/>
          <w:sz w:val="20"/>
        </w:rPr>
        <w:t>Operating Leases</w:t>
      </w:r>
      <w:r>
        <w:rPr>
          <w:rFonts w:ascii="Times New Roman;Times;serif" w:hAnsi="Times New Roman;Times;serif"/>
          <w:sz w:val="20"/>
        </w:rPr>
        <w:t xml:space="preserve"> for further discussion of the Company’s operating leases.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one operating segment and one reportable segment as its chief operating decision maker, who is its Chief Executive Officer and Chief Financial Officer, reviews financial information on a regular basis for purposes of allocating resources and evaluating financial performance. All long-lived assets are located in the United States and substantially all revenue is attributed to customers based in the United States.</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3 – Summary of Significant Accounting Policies,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2023, the FASB issued Accounting Standards Update (“ASU”) No. 2023-07, “Segment Reporting” (“Topic 280”), Improvements to Reportable Segment Reporting. This standard is intended to improve reportable segment disclosure requirements, primarily through enhanced disclosures about significant segment expenses This standard is effective for the Company’s annual fiscal period beginning January 1, 2024 and for the Company’s interim periods beginning January 1, 2025. Adoption of this standard will not likely have a material impact on the Company’s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FASB issued ASU No. 2023-09, “Income Taxes” (“Topic 740”), Improvements to Income Tax Disclosures. This standard is intended to enhance the transparency and usefulness of income tax disclosures to better assess how an entity’s operations and related tax risks and tax planning and operational opportunities affect its tax rate and prospects for future cash flows. This standard is effective for the Company’s annual fiscal period beginning January 1, 2025. Adoption of this standard will not likely have a material impact on the Company’s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reviewed other recently issued accounting pronouncements issued or proposed by the FASB and does not believe any of these accounting pronouncements has had or will have a material impact on the condensed financial statements.</w:t>
      </w:r>
    </w:p>
    <w:p>
      <w:pPr>
        <w:pStyle w:val="TextBody"/>
        <w:bidi w:val="0"/>
        <w:spacing w:before="0" w:after="240"/>
        <w:ind w:left="0" w:right="0" w:hanging="0"/>
        <w:jc w:val="left"/>
        <w:rPr>
          <w:rFonts w:ascii="Times New Roman;Times;serif" w:hAnsi="Times New Roman;Times;serif"/>
          <w:b/>
          <w:sz w:val="20"/>
        </w:rPr>
      </w:pPr>
      <w:bookmarkStart w:id="798" w:name="Tc_kBAlEjqGlkuw4SrHfkLZfQ_6_5"/>
      <w:bookmarkStart w:id="799" w:name="Tc_epRfLS5H6kyedIE4xbITcw_6_2"/>
      <w:bookmarkStart w:id="800" w:name="Tc_wk3avGsgsUSRClnOj7fbRw_6_0"/>
      <w:bookmarkStart w:id="801" w:name="Tc_fT9rCpr29kSI8PjvF2QEZg_5_0"/>
      <w:bookmarkStart w:id="802" w:name="Tc_iVsV0lszik6N3Px-AEYydw_4_3"/>
      <w:bookmarkStart w:id="803" w:name="Tc_c7WjiIwCVUaGF7v9d3aDfw_4_0"/>
      <w:bookmarkStart w:id="804" w:name="Tc_DBA6vckItkiHHkpmotnSpA_3_5"/>
      <w:bookmarkStart w:id="805" w:name="Tc_x_3nL-S72US65elnVB66Ng_3_2"/>
      <w:bookmarkStart w:id="806" w:name="Tc_oAf0GEowP0CCMyqQ-pKamg_3_0"/>
      <w:bookmarkStart w:id="807" w:name="Tc_D2xMJVKj00OUpBBjrSBNRg_2_5"/>
      <w:bookmarkStart w:id="808" w:name="Tc_OIJtECzlx0SgUElsc_6p4g_2_2"/>
      <w:bookmarkStart w:id="809" w:name="Tc_4STGji0N1EO5AjbhlIogZA_1_2"/>
      <w:bookmarkStart w:id="810" w:name="_7fa0163a_2e83_4fa4_a2b0_428ba749d6a7"/>
      <w:bookmarkEnd w:id="798"/>
      <w:bookmarkEnd w:id="799"/>
      <w:bookmarkEnd w:id="800"/>
      <w:bookmarkEnd w:id="801"/>
      <w:bookmarkEnd w:id="802"/>
      <w:bookmarkEnd w:id="803"/>
      <w:bookmarkEnd w:id="804"/>
      <w:bookmarkEnd w:id="805"/>
      <w:bookmarkEnd w:id="806"/>
      <w:bookmarkEnd w:id="807"/>
      <w:bookmarkEnd w:id="808"/>
      <w:bookmarkEnd w:id="809"/>
      <w:bookmarkEnd w:id="810"/>
      <w:r>
        <w:rPr>
          <w:rFonts w:ascii="Times New Roman;Times;serif" w:hAnsi="Times New Roman;Times;serif"/>
          <w:b/>
          <w:sz w:val="20"/>
        </w:rPr>
        <w:t>Note 4 – Inventory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Below is a summary of the Company’s inventory as of September 30, 2024 and December 31, 2023 (in thousands):</w:t>
      </w:r>
    </w:p>
    <w:p>
      <w:pPr>
        <w:pStyle w:val="TextBody"/>
        <w:bidi w:val="0"/>
        <w:spacing w:before="0" w:after="0"/>
        <w:ind w:left="0" w:right="0" w:hanging="0"/>
        <w:jc w:val="left"/>
        <w:rPr/>
      </w:pPr>
      <w:r>
        <w:rPr/>
        <w:t>​</w:t>
      </w:r>
    </w:p>
    <w:tbl>
      <w:tblPr>
        <w:tblW w:w="5200" w:type="dxa"/>
        <w:jc w:val="left"/>
        <w:tblInd w:w="0" w:type="dxa"/>
        <w:tblLayout w:type="fixed"/>
        <w:tblCellMar>
          <w:top w:w="0" w:type="dxa"/>
          <w:left w:w="0" w:type="dxa"/>
          <w:bottom w:w="0" w:type="dxa"/>
          <w:right w:w="0" w:type="dxa"/>
        </w:tblCellMar>
      </w:tblPr>
      <w:tblGrid>
        <w:gridCol w:w="1456"/>
        <w:gridCol w:w="326"/>
        <w:gridCol w:w="516"/>
        <w:gridCol w:w="1030"/>
        <w:gridCol w:w="326"/>
        <w:gridCol w:w="442"/>
        <w:gridCol w:w="1104"/>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924560" cy="175260"/>
                      <wp:effectExtent l="0" t="0" r="0" b="0"/>
                      <wp:wrapNone/>
                      <wp:docPr id="77" name="Frame7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7660" cy="175260"/>
                      <wp:effectExtent l="0" t="0" r="0" b="0"/>
                      <wp:wrapNone/>
                      <wp:docPr id="79" name="Frame78"/>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54050" cy="175260"/>
                      <wp:effectExtent l="0" t="0" r="0" b="0"/>
                      <wp:wrapNone/>
                      <wp:docPr id="80" name="Frame79"/>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80670" cy="175260"/>
                      <wp:effectExtent l="0" t="0" r="0" b="0"/>
                      <wp:wrapNone/>
                      <wp:docPr id="82" name="Frame8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701040" cy="175260"/>
                      <wp:effectExtent l="0" t="0" r="0" b="0"/>
                      <wp:wrapNone/>
                      <wp:docPr id="83" name="Frame82"/>
                      <a:graphic xmlns:a="http://schemas.openxmlformats.org/drawingml/2006/main">
                        <a:graphicData uri="http://schemas.microsoft.com/office/word/2010/wordprocessingShape">
                          <wps:wsp>
                            <wps:cNvSpPr txBox="1"/>
                            <wps:spPr>
                              <a:xfrm>
                                <a:off x="0" y="0"/>
                                <a:ext cx="70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442" w:type="dxa"/>
            <w:tcBorders/>
            <w:vAlign w:val="center"/>
          </w:tcPr>
          <w:p>
            <w:pPr>
              <w:pStyle w:val="TableContents"/>
              <w:bidi w:val="0"/>
              <w:spacing w:before="0" w:after="0"/>
              <w:ind w:left="0" w:right="0" w:hanging="0"/>
              <w:jc w:val="left"/>
              <w:rPr/>
            </w:pPr>
            <w:r>
              <w:rPr/>
              <w:t> </w:t>
            </w:r>
          </w:p>
        </w:tc>
        <w:tc>
          <w:tcPr>
            <w:tcW w:w="11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0"/>
              <w:ind w:left="0" w:right="0" w:hanging="0"/>
              <w:jc w:val="left"/>
              <w:rPr/>
            </w:pPr>
            <w:r>
              <w:rPr/>
              <w:t>​</w:t>
            </w:r>
          </w:p>
        </w:tc>
        <w:tc>
          <w:tcPr>
            <w:tcW w:w="4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5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737</w:t>
            </w:r>
          </w:p>
        </w:tc>
        <w:tc>
          <w:tcPr>
            <w:tcW w:w="326" w:type="dxa"/>
            <w:tcBorders/>
            <w:vAlign w:val="center"/>
          </w:tcPr>
          <w:p>
            <w:pPr>
              <w:pStyle w:val="TableContents"/>
              <w:bidi w:val="0"/>
              <w:spacing w:before="0" w:after="0"/>
              <w:ind w:left="0" w:right="0" w:hanging="0"/>
              <w:jc w:val="left"/>
              <w:rPr/>
            </w:pPr>
            <w:r>
              <w:rPr/>
              <w:t>​</w:t>
            </w:r>
          </w:p>
        </w:tc>
        <w:tc>
          <w:tcPr>
            <w:tcW w:w="44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430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1" w:name="Tc_ggjHE48_G024TT1Y4-lI5w_6_5"/>
      <w:bookmarkStart w:id="812" w:name="Tc_H6Fgp18SzkG799cE8fYO2w_6_2"/>
      <w:bookmarkStart w:id="813" w:name="Tc_qIcRogx7ukK_iEkB5MjXvQ_6_0"/>
      <w:bookmarkStart w:id="814" w:name="Tc_p9QJT_e18kamzERUBHS2qQ_5_0"/>
      <w:bookmarkStart w:id="815" w:name="Tc_Vbfy-x_EiUyYK9nqgsr_Jg_4_0"/>
      <w:bookmarkStart w:id="816" w:name="Tc_NjIe7g21Uk6BvHgrjD818g_3_5"/>
      <w:bookmarkStart w:id="817" w:name="Tc_ygqZDzXoRkq1hdTmtTh0dQ_3_2"/>
      <w:bookmarkStart w:id="818" w:name="Tc_8-32H-t8Ukq3wLsoj32f2g_3_0"/>
      <w:bookmarkStart w:id="819" w:name="Tc_xMQ4YvmoZEyzsMouzEfAog_2_5"/>
      <w:bookmarkStart w:id="820" w:name="Tc_MyIMlkYAJ0ClRcpgH9D8vA_2_2"/>
      <w:bookmarkStart w:id="821" w:name="Tc_0q-5hY9Ofkq9Po8Srkjj2w_1_2"/>
      <w:bookmarkStart w:id="822" w:name="_85d41a96_51b0_42c0_ab21_2a415919b4e1"/>
      <w:bookmarkEnd w:id="811"/>
      <w:bookmarkEnd w:id="812"/>
      <w:bookmarkEnd w:id="813"/>
      <w:bookmarkEnd w:id="814"/>
      <w:bookmarkEnd w:id="815"/>
      <w:bookmarkEnd w:id="816"/>
      <w:bookmarkEnd w:id="817"/>
      <w:bookmarkEnd w:id="818"/>
      <w:bookmarkEnd w:id="819"/>
      <w:bookmarkEnd w:id="820"/>
      <w:bookmarkEnd w:id="821"/>
      <w:bookmarkEnd w:id="822"/>
      <w:r>
        <w:rPr>
          <w:rFonts w:ascii="Times New Roman;Times;serif" w:hAnsi="Times New Roman;Times;serif"/>
          <w:b/>
          <w:sz w:val="20"/>
        </w:rPr>
        <w:t>Note 5 – Accrued Expenses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0" w:right="0" w:hanging="0"/>
        <w:jc w:val="left"/>
        <w:rPr/>
      </w:pPr>
      <w:r>
        <w:rPr/>
        <w:t>​</w:t>
      </w:r>
    </w:p>
    <w:tbl>
      <w:tblPr>
        <w:tblW w:w="5770" w:type="dxa"/>
        <w:jc w:val="left"/>
        <w:tblInd w:w="0" w:type="dxa"/>
        <w:tblLayout w:type="fixed"/>
        <w:tblCellMar>
          <w:top w:w="0" w:type="dxa"/>
          <w:left w:w="0" w:type="dxa"/>
          <w:bottom w:w="0" w:type="dxa"/>
          <w:right w:w="0" w:type="dxa"/>
        </w:tblCellMar>
      </w:tblPr>
      <w:tblGrid>
        <w:gridCol w:w="2026"/>
        <w:gridCol w:w="326"/>
        <w:gridCol w:w="516"/>
        <w:gridCol w:w="1030"/>
        <w:gridCol w:w="326"/>
        <w:gridCol w:w="367"/>
        <w:gridCol w:w="1179"/>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286510" cy="175260"/>
                      <wp:effectExtent l="0" t="0" r="0" b="0"/>
                      <wp:wrapNone/>
                      <wp:docPr id="84" name="Frame83"/>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27660" cy="175260"/>
                      <wp:effectExtent l="0" t="0" r="0" b="0"/>
                      <wp:wrapNone/>
                      <wp:docPr id="86" name="Frame85"/>
                      <a:graphic xmlns:a="http://schemas.openxmlformats.org/drawingml/2006/main">
                        <a:graphicData uri="http://schemas.microsoft.com/office/word/2010/wordprocessingShape">
                          <wps:wsp>
                            <wps:cNvSpPr txBox="1"/>
                            <wps:spPr>
                              <a:xfrm>
                                <a:off x="0" y="0"/>
                                <a:ext cx="327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54050" cy="175260"/>
                      <wp:effectExtent l="0" t="0" r="0" b="0"/>
                      <wp:wrapNone/>
                      <wp:docPr id="87" name="Frame86"/>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33045" cy="175260"/>
                      <wp:effectExtent l="0" t="0" r="0" b="0"/>
                      <wp:wrapNone/>
                      <wp:docPr id="89" name="Frame88"/>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748665" cy="175260"/>
                      <wp:effectExtent l="0" t="0" r="0" b="0"/>
                      <wp:wrapNone/>
                      <wp:docPr id="90" name="Frame89"/>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4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w:t>
            </w:r>
          </w:p>
        </w:tc>
      </w:tr>
      <w:tr>
        <w:trPr/>
        <w:tc>
          <w:tcPr>
            <w:tcW w:w="20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legal expenses</w:t>
            </w:r>
          </w:p>
        </w:tc>
        <w:tc>
          <w:tcPr>
            <w:tcW w:w="326" w:type="dxa"/>
            <w:tcBorders/>
            <w:vAlign w:val="center"/>
          </w:tcPr>
          <w:p>
            <w:pPr>
              <w:pStyle w:val="TableContents"/>
              <w:bidi w:val="0"/>
              <w:spacing w:before="0" w:after="0"/>
              <w:ind w:left="0" w:right="0" w:hanging="0"/>
              <w:jc w:val="left"/>
              <w:rPr/>
            </w:pPr>
            <w:r>
              <w:rPr/>
              <w:t>​</w:t>
            </w:r>
          </w:p>
        </w:tc>
        <w:tc>
          <w:tcPr>
            <w:tcW w:w="516" w:type="dxa"/>
            <w:tcBorders/>
            <w:vAlign w:val="center"/>
          </w:tcPr>
          <w:p>
            <w:pPr>
              <w:pStyle w:val="TableContents"/>
              <w:bidi w:val="0"/>
              <w:spacing w:before="0" w:after="0"/>
              <w:ind w:left="0" w:right="0" w:hanging="0"/>
              <w:jc w:val="left"/>
              <w:rPr/>
            </w:pPr>
            <w:r>
              <w:rPr/>
              <w:t> </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 </w:t>
            </w:r>
          </w:p>
        </w:tc>
        <w:tc>
          <w:tcPr>
            <w:tcW w:w="11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2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5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5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7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1,254</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23" w:name="Tc_ekLsyaBmEkaUhWWBjIm-Ag_6_2"/>
      <w:bookmarkStart w:id="824" w:name="Tc_QnXPP6tpj0SE2J8zjX-ngw_6_0"/>
      <w:bookmarkStart w:id="825" w:name="Tc_uEce1k6SCkq9OjBoDyc6PA_5_0"/>
      <w:bookmarkStart w:id="826" w:name="Tc_sAFOuUOt3U-38VduW82ivA_4_0"/>
      <w:bookmarkStart w:id="827" w:name="Tc_5q67lgKmpkizxqVW9hcSxA_3_0"/>
      <w:bookmarkStart w:id="828" w:name="Tc_Wpb0xDFXUkK2K94TZPUNwg_2_2"/>
      <w:bookmarkStart w:id="829" w:name="Tc_wIPlH8Q0yU-3ws1fVG2ZqA_2_0"/>
      <w:bookmarkStart w:id="830" w:name="Tc_u6K-DkjEbk2SRKD6XF-Kyw_1_2"/>
      <w:bookmarkStart w:id="831" w:name="Tc_0g_hgNP9zUWCoiArVCqyUg_1_0"/>
      <w:bookmarkStart w:id="832" w:name="_843a28d6_24bb_4b8d_a93d_bfa003dcb94d"/>
      <w:bookmarkEnd w:id="823"/>
      <w:bookmarkEnd w:id="824"/>
      <w:bookmarkEnd w:id="825"/>
      <w:bookmarkEnd w:id="826"/>
      <w:bookmarkEnd w:id="827"/>
      <w:bookmarkEnd w:id="828"/>
      <w:bookmarkEnd w:id="829"/>
      <w:bookmarkEnd w:id="830"/>
      <w:bookmarkEnd w:id="831"/>
      <w:bookmarkEnd w:id="832"/>
      <w:r>
        <w:rPr>
          <w:rFonts w:ascii="Times New Roman;Times;serif" w:hAnsi="Times New Roman;Times;serif"/>
          <w:b/>
          <w:sz w:val="20"/>
        </w:rPr>
        <w:t>Note 6 –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San Jose Lease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20, 2022, the Company signed a lease amendment to the existing lease for its office space at its corporate headquarters in San Jose, California, extending the term of the lease for an additional three years. Upon signing the lease amendment, the Company recorded a new ROU lease asset of $2.1 million and operating lease liability of $2.1 million, using a present value discount rate of 3.0%, which was used as an incremental borrowing rate for a hypothetical fully collateralized real estate transaction. As of January 1, 2024, the discount rate was adjusted to 8% in order to reflect a realistic incremental borrowing rate at lease commencement. The adjustment created a </w:t>
      </w:r>
      <w:r>
        <w:rPr>
          <w:rFonts w:ascii="Times New Roman;Times;serif" w:hAnsi="Times New Roman;Times;serif"/>
          <w:b w:val="false"/>
          <w:i w:val="false"/>
          <w:caps w:val="false"/>
          <w:smallCaps w:val="false"/>
          <w:sz w:val="20"/>
        </w:rPr>
        <w:t>one</w:t>
      </w:r>
      <w:r>
        <w:rPr>
          <w:rFonts w:ascii="Times New Roman;Times;serif" w:hAnsi="Times New Roman;Times;serif"/>
          <w:sz w:val="20"/>
        </w:rPr>
        <w:t>-time reduction to the ROU lease asset and operating lease liability of approximately $51,000. Upon expiration of the original lease on September 30, 2022, the new monthly lease payment starting October 1, 2022 is approximately $59,000, subject to annual escalations up to a maximum monthly lease payment of approximately $62,000. On July 31, 2024, the Company signed an additional lease amendment where the monthly payments through the remainder of 2024 were reduced to approximately $37,000 and the monthly payments from January 2025 through September 2025 were increased to approximately $76,000. No other changes were made to the existing lease. As a result of this amendment, the Company revalued its ROU lease asset to $0.8 million and its operating lease liability to $0.8 million on July 31, 2024. The Company recorded lease expense of $0.2 million and $0.6 million for the three and nine months ended September 30, 2024, respectively. The Company recorded lease expense of $0.2 million and $0.6 million for the three and nine months ended September 30, 2023,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Operating Lease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follows ASC 842, “Leases” (“Topic 842”) and recognizes the required ROU assets and operating lease liabilities on its balance sheet. The Company anticipates having future total lease payments of $0.8 million during the period from the fourth quarter of 2024 to the third quarter of 2025. As of September 30, 2024, the Company has total operating lease ROU assets of $0.7 million and current portion of operating lease liabilities of $0.8 million. The weighted average remaining lease term is 1.0 years as of September 30, 2024.</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reconciliation of undiscounted cash flows to lease liabilities recognized as of September 30, 2024 is as follows (in thousands):</w:t>
      </w:r>
    </w:p>
    <w:p>
      <w:pPr>
        <w:pStyle w:val="TextBody"/>
        <w:bidi w:val="0"/>
        <w:spacing w:before="0" w:after="0"/>
        <w:ind w:left="0" w:right="0" w:hanging="0"/>
        <w:jc w:val="left"/>
        <w:rPr/>
      </w:pPr>
      <w:r>
        <w:rPr/>
        <w:t>​</w:t>
      </w:r>
    </w:p>
    <w:tbl>
      <w:tblPr>
        <w:tblW w:w="5069" w:type="dxa"/>
        <w:jc w:val="left"/>
        <w:tblInd w:w="0" w:type="dxa"/>
        <w:tblLayout w:type="fixed"/>
        <w:tblCellMar>
          <w:top w:w="0" w:type="dxa"/>
          <w:left w:w="0" w:type="dxa"/>
          <w:bottom w:w="0" w:type="dxa"/>
          <w:right w:w="0" w:type="dxa"/>
        </w:tblCellMar>
      </w:tblPr>
      <w:tblGrid>
        <w:gridCol w:w="4006"/>
        <w:gridCol w:w="326"/>
        <w:gridCol w:w="211"/>
        <w:gridCol w:w="5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543810" cy="175260"/>
                      <wp:effectExtent l="0" t="0" r="0" b="0"/>
                      <wp:wrapNone/>
                      <wp:docPr id="91" name="Frame9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334010" cy="175260"/>
                      <wp:effectExtent l="0" t="0" r="0" b="0"/>
                      <wp:wrapNone/>
                      <wp:docPr id="94" name="Frame9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For the year ending December 31, </w:t>
            </w:r>
          </w:p>
        </w:tc>
        <w:tc>
          <w:tcPr>
            <w:tcW w:w="326" w:type="dxa"/>
            <w:tcBorders/>
            <w:vAlign w:val="center"/>
          </w:tcPr>
          <w:p>
            <w:pPr>
              <w:pStyle w:val="TableContents"/>
              <w:bidi w:val="0"/>
              <w:spacing w:before="0" w:after="0"/>
              <w:ind w:left="0" w:right="0" w:hanging="0"/>
              <w:jc w:val="center"/>
              <w:rPr/>
            </w:pPr>
            <w:r>
              <w:rPr/>
              <w:t>    </w:t>
            </w:r>
          </w:p>
        </w:tc>
        <w:tc>
          <w:tcPr>
            <w:tcW w:w="7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 (Remaining)</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lease payments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discount (8.0% weighted average)</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767</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Hosted Design Software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June 2024, the Company renewed an electronic design automation software in a hosted environment license agreement through the end of </w:t>
      </w:r>
      <w:r>
        <w:rPr>
          <w:rFonts w:ascii="Times New Roman;Times;serif" w:hAnsi="Times New Roman;Times;serif"/>
          <w:color w:val="222222"/>
          <w:sz w:val="20"/>
        </w:rPr>
        <w:t xml:space="preserve">2025 </w:t>
      </w:r>
      <w:r>
        <w:rPr>
          <w:rFonts w:ascii="Times New Roman;Times;serif" w:hAnsi="Times New Roman;Times;serif"/>
          <w:sz w:val="20"/>
        </w:rPr>
        <w:t>under which the Company is required to remit quarterly payments of approximately</w:t>
      </w:r>
      <w:r>
        <w:rPr>
          <w:rFonts w:ascii="Times New Roman;Times;serif" w:hAnsi="Times New Roman;Times;serif"/>
          <w:color w:val="222222"/>
          <w:sz w:val="20"/>
        </w:rPr>
        <w:t xml:space="preserve"> $52,000 through the fourth quarter of 2025. During the three and nine months ended September 30, 2024, the Company recorded expense of approximately $52,000 and $500,000, respectively, under this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Litigations, Claims, and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MBO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15, 2018, the Company’s Board of Directors (the “Board”), on the recommendation of the Board’s Compensation Committee (the “Compensation Committee”), approved the Energous Corporation MBO Bonus Plan (“Bonus Plan”) for executive officers of the Company. To be eligible to receive a bonus under the Bonus Plan, an executive officer must be continuously employed throughout the applicable performance period, in good standing, and achieve the performance objectives selected by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Bonus Plan, the Compensation Committee was responsible for selecting the amounts of potential bonuses for executive officers, the performance metrics used to determine whether any such bonuses would be paid and determining whether those performance metrics had been achieved.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did not record any expense under the Bonus Plan during the three or nine months ended September 30, 2024. During the three and nine months ended September 30, 2023, the Company recorded $0.1 million and $0.4 million, respectively, in expense under the Bonus Plan. As of December 31, 2023, the Company had $0.5 million in bonuses earned during 2023 that had not yet been paid and was included in accrued expenses. As of September 30, 2024, the Company had paid all amounts accrued under the Bonus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May 30, 2024, the Board, on the recommendation of the Compensation Committee, approved the 2024 Corporate Bonus Plan (the “2024 Bonus Plan”), whereby employees’ bonuses will be based upon achievement of performance objectives set by the Compensation Committee and paid annually. Employees must be continuously employed throughout the applicable performance period and payment date and achieve the performance objectives.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2024 Bonus Plan, the Compensation Committee is responsible for selecting the amounts of potential bonuses for executive officers and vice presidents, the performance metrics used to determine whether any such bonuses will be paid and determining whether those performance metrics have been achieved. As of September 30, 2024, the Company recorded approximately $0.1 million under the 2024 Bonus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and Change in Control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15, 2018, the Compensation Committee approved a form of Severance and Change in Control Agreement that the Company may enter into with executive officers.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May 30, 2024, the Compensation Committee approved a new form of Severance Agreement and Change in Control Agreement (“Severance Agreement”) that the Company may enter into with executive officers and vice presidents (each, an “Executive”). Under the Severance Agreement, if an Executive party thereto is terminated without cause or in a qualifying change in control termination, the Company agrees to pay the Executive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to twelve months of that Executive’s monthly base salary and 25% to 100% of the Executive’s target bonus, and to accelerate the vesting of 25% to 100% of the Executive’s unvested equity awards. If an Executive elects continued coverage under the Consolidated Omnibus Budget Reconciliation Act of 1985, as amended (“COBRA”) the Company will pay the full amount of the Executive’s premiums under the Company’s health, dental and vision plans, including coverage for the Executive’s eligible dependents, for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-to-twelve-month period, as applicable, following the Executive’s termination.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Commitments and Contingencies, continued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Cesar Johnston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26, 2024, the Company announced that Cesar Johnston was no longer serving as President and Chief Executive Officer of the Company effective March 24, 2024. In connection with his cessation as an officer of the Company, Mr. Johnston was entitled to receive the benefits and payments set forth in the Amended and Restated Severance and Change in Control Agreement, dated December 6, 2021 (“Johnston Severance Agreement”), between the Company and Mr. Johnston. Accordingly, Mr. Johnston received (a) 18 months of his monthly salary plus the amount equal to 100% of his target bonus, (b) any outstanding unvested equity awards held by Mr. Johnston that were scheduled to vest during the next 18 months following the termination date, and (c) reimbursement for continued COBRA payments, if elected by Mr. Johnston, during the 18 months following the termination date. The Company recorded $1.2 million in total severance expense pertaining to Mr. Johnston’s departure during the nine months ended September 30, 2024, including $0.1 million in stock-based compensation as a result of accelerated vesting of RSUs and options (see Note 8 – Stock-Based Compensation for additional details).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the Company had accrued unpaid severance expense related to COBRA reimbursements of approximately $37,000 pertaining to the Johnston Severance Agreement, which is due to be paid through September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Mr. Johnston received approximately $8,000 in Director's fees for the period of March 28, 2024 through June 12, 2024, during which he did not serve as President and Chief Executive Officer but continued to serve as a member of the Board.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Executive Transition – William Mannina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2023, the Company announced the departure of William Mannina, former Acting Chief Financial Officer, effective August 16, 2023. Pursuant to the terms of a letter agreement between Mr. Mannina and the Company, Mr. Mannina received payments and benefits including cash severance payments equivalent to nine months of his then-current salary of approximately $266,000 and premium payments for continued healthcare coverage for nine months following his resignation effective date. Mr. Mannina’s restricted stock units continued to vest through August 16,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the Company had no accrued unpaid severance expense pertaining to Mr. Mannina’s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Strategic Alliance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November 2016, the Company and Dialog Semiconductor plc (“Dialog”), a related party,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In addition, both parties agreed on a revenue sharing arrangement and to collaborate on the commercialization of Licensed Products based on a mutually-agreed upon plan. Each party will retain all of its intellectual property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Alliance Agreement had an initial term of seven years, with automatic renewal annually thereafter unless terminated by either party upon 180 days’ prior written notice. The Company could terminate the Alliance Agreement at any time after the third anniversary of the Alliance Agreement upon 180 days’ prior written notice to Dialog, or if Dialog breached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agreed to terminate the requirement.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20, 2021, the Company was notified by Dialog, which had been recently acquired by Renesas Electronics Corporation (“Renesas”), that it was terminating the Alliance Agreement between the Company and Dialog. There is a wind down period included in the Alliance Agreement which concluded in September 2024. During the wind down period, the Alliance Agreement’s terms applied to the Company’s products that are covered by certain existing customer relationships, except that the parties’ respective exclusivity rights have terminated.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7 – Capital Stock and Warrants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Authorized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holders of the Company’s common stock are entitled to one vote per share. Holders of common stock are entitled to receive ratably such dividends, if any, as may be declared by the Board out of legally available funds. Upon the liquidation, dissolution or winding up of the Company, holders of common stock are entitled to share ratably in all assets of the Company that are legally available for distribution.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September 15, 2020, the Company filed a shelf registration statement on Form S-3 with the SEC, which became effective on September 24, 2020 (“Prior Shelf”), and contained two prospectuses: a base prospectus, which covered the offering, issuance and sale by the Company of up to $75 million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 million of its common stock that may be issued and sold under the At Market Issuance Sales Agreement, as amended, between the Company and B. Riley Securities, Inc. (the “Prior ATM Program”). The $40 million of common stock to be offered, issued and sold under the Prior ATM Program was included in the $75 million of securities that may be offered, issued and sold by the Company under the base prospectus. The Company sold shares which raised net proceeds of $38.8 million (net of $1.2 million in issuance costs) during the third and fourth quarters of 2020 under the Prior ATM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4, 2021, the Company filed a prospectus supplement covering the offering, issuance and sale of up to an additional $35 million of shares of the Company’s common stock pursuant to the Prior ATM Program. The Company raised net proceeds of $27.0 million (net of $0.9 million in issuance costs), during 2021 under the Prior ATM Program. During 2022, the Company raised an additional $0.7 million (net of $0.1 million in issuance costs) under the Prior ATM Program. During the first quarter of 2023, the Company raised $3.6 million (net of $0.2 million in issuance costs) under the Prior ATM Program. As of September 30, 2024, there is no amount remaining in the Prior Shelf due to its expiration on September 24,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15, 2021, the Company filed a shelf registration statement on Form S-3 with the SEC, which became effective on December 16, 2021. This shelf registration statement allows the Company to sell, from time to time, any combination of debt or equity securities described in the registration statement up to aggregate proceeds of $100 million. Pursuant to this registration statement, on March 28, 2023, the Company completed an underwritten offering pursuant to which it issued and sold an aggregate of (i) 412,500 shares of its common stock and (ii) warrants to purchase up to 412,500 shares of its common stock (the “2023 Warrants”), for net proceeds of $2.7 million, after deducting underwriting discounts, commission and expenses payable by the Company. The 2023 Warrants were immediately exercisable upon issuance and have a term of six years and an exercise price of $8.00. The Company allocated the proceeds received first to the 2023 Warrants based on the fair value of the 2023 Warrants as determined at initial measurement, with the remaining proceeds allocated to the Shares (see Note 9 – Warrant Liability and Note 10 – Fair Value Measurements). Pursuant to the terms of the 2023 Warrants, the exercise price was adjusted to $1.66 during 2023 and was further adjusted to $0.56 as of September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the Company entered into a securities purchase agreement with an institutional investor, providing for the issuance and sale by the Company in a registered direct offering (the “Offering”), of (i) 570,000 shares of the Company’s common stock, (ii) pre-funded warrants to purchase up to 450,409 shares of common stock (referred to individually as a “Pre-Funded Warrant” and collectively as the “Pre-Funded Warrants”), and (iii) warrants to purchase an aggregate of 1,020,409 shares of common stock (referred to individually as a “Warrant” and collectively as the “2024 Warrants”). Each share of common stock and Pre-Funded Warrant was offered and sold together with an accompanying 2024 Warrant at a combined price of $1.96 per share of common stock or Pre-Funded Warrant, as applicable. Each Pre-Funded Warrant and 2024 Warrant is exercisable at any time on or after the date of issuance to purchase one share of common stock at a price of either $0.001 per share, in the case of Pre-Funded Warrants, or $1.84 per share, in the case of 2024 Warrants. The Pre-Funded Warrants expired upon full exercise in April 2024, and the 2024 Warrants expire five years from the date of issuance. The Offering closed on February 20, 2024. The Company received net proceeds of approximately $1.8 million (net of $0.2 million in issuance costs).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3" w:name="Tc_bPXsulzM2E-laPKLztE-AQ_11_0"/>
      <w:bookmarkStart w:id="834" w:name="Tc_33dJy8AuckKNoDzgafDAPg_10_0"/>
      <w:bookmarkStart w:id="835" w:name="Tc_xuu-prwQWUuvODIEqS6cAg_9_6"/>
      <w:bookmarkStart w:id="836" w:name="Tc_8wyCstE20E2qCX1TgEN_2Q_9_0"/>
      <w:bookmarkStart w:id="837" w:name="Tc_O8IvBqPHCEKDq80Jaum09Q_8_3"/>
      <w:bookmarkStart w:id="838" w:name="Tc_2_6UKr23bkqsvwr24bAOtQ_8_0"/>
      <w:bookmarkStart w:id="839" w:name="Tc_ITCCv_uyAkSYHqbBUT8mXQ_7_3"/>
      <w:bookmarkStart w:id="840" w:name="Tc_wcL-RKBnp0SvKCCOannTog_7_0"/>
      <w:bookmarkStart w:id="841" w:name="Tc_niTkKo-AOkGIywKj_0PYqQ_6_3"/>
      <w:bookmarkStart w:id="842" w:name="Tc_uKOkGb4B8E-BSIFjSBlG4A_6_0"/>
      <w:bookmarkStart w:id="843" w:name="Tc__Ud_WCXe4kOw0BNuNFmSdg_5_3"/>
      <w:bookmarkStart w:id="844" w:name="Tc_3pRCFWjHdkqfgGNlAC-X-Q_5_0"/>
      <w:bookmarkStart w:id="845" w:name="Tc_gcRZMUf0k0ql3RMn9SMzdQ_4_0"/>
      <w:bookmarkStart w:id="846" w:name="Tc_2UzzE_hSzUm0Iu3OtMXXgw_3_0"/>
      <w:bookmarkStart w:id="847" w:name="Tc_YHhjwBf83km3lsJpTI8LtQ_2_3"/>
      <w:bookmarkStart w:id="848" w:name="Tc_zQ6A_4ntp0eft0RZ-cOyIQ_2_0"/>
      <w:bookmarkStart w:id="849" w:name="Tc_JtxnqVLWikC_NByY7Un3TA_1_5"/>
      <w:bookmarkStart w:id="850" w:name="Tc_cCMu4Vt2Qk-frrwBCkPV1w_1_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imes New Roman;Times;serif" w:hAnsi="Times New Roman;Times;serif"/>
          <w:b/>
          <w:sz w:val="20"/>
        </w:rPr>
        <w:t>Note 7 – Capital Stock and Warrants,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21, 2024, the Company filed a prospectus supplement covering the offering, issuance and sale of up to $3.4 million in shares of the Company’s common stock pursuant to the At the Market Offering Agreement, dated June 21, 2024, between the Company and H.C. Wainwright &amp; Co., LLC (the “Current ATM Program”, and together with the Prior ATM program, the “ATM Program”). In addition, on June 20, 2024, the Company provided notice of termination of the Prior ATM Program that the Company had entered into with Roth Capital Partners, LLC, as sales agent. The Company entered into the Current ATM Program discussed above to replace the Prior ATM Program. During both the three and nine months ended September 30, 2024, the Company sold 1,217,168 shares of its common stock under the Current ATM Program for proceeds of approximately $0.7 million (net of commissions and other related offering expenses of approximately $0.2 million). As of September 30, 2024, the Company has approximately $2.5 million remaining on the Current ATM Program for potential future sales.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Common Stock Reserved for Future Issuance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reserved the following shares of common stock for future issuance: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461"/>
        <w:gridCol w:w="326"/>
        <w:gridCol w:w="209"/>
        <w:gridCol w:w="1337"/>
        <w:gridCol w:w="326"/>
        <w:gridCol w:w="218"/>
        <w:gridCol w:w="1328"/>
      </w:tblGrid>
      <w:tr>
        <w:trPr/>
        <w:tc>
          <w:tcPr>
            <w:tcW w:w="6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102735" cy="175260"/>
                      <wp:effectExtent l="0" t="0" r="0" b="0"/>
                      <wp:wrapNone/>
                      <wp:docPr id="95" name="Frame94"/>
                      <a:graphic xmlns:a="http://schemas.openxmlformats.org/drawingml/2006/main">
                        <a:graphicData uri="http://schemas.microsoft.com/office/word/2010/wordprocessingShape">
                          <wps:wsp>
                            <wps:cNvSpPr txBox="1"/>
                            <wps:spPr>
                              <a:xfrm>
                                <a:off x="0" y="0"/>
                                <a:ext cx="4102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2715" cy="175260"/>
                      <wp:effectExtent l="0" t="0" r="0" b="0"/>
                      <wp:wrapNone/>
                      <wp:docPr id="97" name="Frame96"/>
                      <a:graphic xmlns:a="http://schemas.openxmlformats.org/drawingml/2006/main">
                        <a:graphicData uri="http://schemas.microsoft.com/office/word/2010/wordprocessingShape">
                          <wps:wsp>
                            <wps:cNvSpPr txBox="1"/>
                            <wps:spPr>
                              <a:xfrm>
                                <a:off x="0" y="0"/>
                                <a:ext cx="132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848995" cy="175260"/>
                      <wp:effectExtent l="0" t="0" r="0" b="0"/>
                      <wp:wrapNone/>
                      <wp:docPr id="98" name="Frame97"/>
                      <a:graphic xmlns:a="http://schemas.openxmlformats.org/drawingml/2006/main">
                        <a:graphicData uri="http://schemas.microsoft.com/office/word/2010/wordprocessingShape">
                          <wps:wsp>
                            <wps:cNvSpPr txBox="1"/>
                            <wps:spPr>
                              <a:xfrm>
                                <a:off x="0" y="0"/>
                                <a:ext cx="848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8430" cy="175260"/>
                      <wp:effectExtent l="0" t="0" r="0" b="0"/>
                      <wp:wrapNone/>
                      <wp:docPr id="100" name="Frame9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843280" cy="175260"/>
                      <wp:effectExtent l="0" t="0" r="0" b="0"/>
                      <wp:wrapNone/>
                      <wp:docPr id="101" name="Frame100"/>
                      <a:graphic xmlns:a="http://schemas.openxmlformats.org/drawingml/2006/main">
                        <a:graphicData uri="http://schemas.microsoft.com/office/word/2010/wordprocessingShape">
                          <wps:wsp>
                            <wps:cNvSpPr txBox="1"/>
                            <wps:spPr>
                              <a:xfrm>
                                <a:off x="0" y="0"/>
                                <a:ext cx="843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RSUs outstanding</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517,303</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71,734</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outstanding</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1,432,909</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495,833</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2013 Equity Incentive Plan</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118,877</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2014 Non-employee Equity Compensation Plan</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29,137</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2015 Performance Share Unit Plan</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 </w:t>
            </w:r>
          </w:p>
        </w:tc>
        <w:tc>
          <w:tcPr>
            <w:tcW w:w="13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 </w:t>
            </w:r>
          </w:p>
        </w:tc>
        <w:tc>
          <w:tcPr>
            <w:tcW w:w="13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108,897</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2017 Equity Inducement Plan</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shd w:fill="CCEEFF" w:val="clear"/>
            <w:vAlign w:val="center"/>
          </w:tcPr>
          <w:p>
            <w:pPr>
              <w:pStyle w:val="TableContents"/>
              <w:bidi w:val="0"/>
              <w:spacing w:before="0" w:after="1"/>
              <w:ind w:left="0" w:right="0" w:hanging="0"/>
              <w:jc w:val="left"/>
              <w:rPr/>
            </w:pPr>
            <w:r>
              <w:rPr/>
              <w:t> </w:t>
            </w:r>
          </w:p>
        </w:tc>
        <w:tc>
          <w:tcPr>
            <w:tcW w:w="133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shd w:fill="CCEEFF" w:val="clear"/>
            <w:vAlign w:val="center"/>
          </w:tcPr>
          <w:p>
            <w:pPr>
              <w:pStyle w:val="TableContents"/>
              <w:bidi w:val="0"/>
              <w:spacing w:before="0" w:after="1"/>
              <w:ind w:left="0" w:right="0" w:hanging="0"/>
              <w:jc w:val="left"/>
              <w:rPr/>
            </w:pPr>
            <w:r>
              <w:rPr/>
              <w:t> </w:t>
            </w:r>
          </w:p>
        </w:tc>
        <w:tc>
          <w:tcPr>
            <w:tcW w:w="13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51,084</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2024 Equity Incentive Plan</w:t>
            </w:r>
          </w:p>
        </w:tc>
        <w:tc>
          <w:tcPr>
            <w:tcW w:w="326" w:type="dxa"/>
            <w:tcBorders/>
            <w:vAlign w:val="center"/>
          </w:tcPr>
          <w:p>
            <w:pPr>
              <w:pStyle w:val="TableContents"/>
              <w:bidi w:val="0"/>
              <w:spacing w:before="0" w:after="1"/>
              <w:ind w:left="0" w:right="0" w:hanging="0"/>
              <w:jc w:val="left"/>
              <w:rPr/>
            </w:pPr>
            <w:r>
              <w:rPr/>
              <w:t>​</w:t>
            </w:r>
          </w:p>
        </w:tc>
        <w:tc>
          <w:tcPr>
            <w:tcW w:w="209" w:type="dxa"/>
            <w:tcBorders/>
            <w:vAlign w:val="center"/>
          </w:tcPr>
          <w:p>
            <w:pPr>
              <w:pStyle w:val="TableContents"/>
              <w:bidi w:val="0"/>
              <w:spacing w:before="0" w:after="1"/>
              <w:ind w:left="0" w:right="0" w:hanging="0"/>
              <w:jc w:val="left"/>
              <w:rPr/>
            </w:pPr>
            <w:r>
              <w:rPr/>
              <w:t>​</w:t>
            </w:r>
          </w:p>
        </w:tc>
        <w:tc>
          <w:tcPr>
            <w:tcW w:w="1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284,758</w:t>
            </w:r>
          </w:p>
        </w:tc>
        <w:tc>
          <w:tcPr>
            <w:tcW w:w="326" w:type="dxa"/>
            <w:tcBorders/>
            <w:vAlign w:val="center"/>
          </w:tcPr>
          <w:p>
            <w:pPr>
              <w:pStyle w:val="TableContents"/>
              <w:bidi w:val="0"/>
              <w:spacing w:before="0" w:after="1"/>
              <w:ind w:left="0" w:right="0" w:hanging="0"/>
              <w:jc w:val="left"/>
              <w:rPr/>
            </w:pPr>
            <w:r>
              <w:rPr/>
              <w:t>​</w:t>
            </w:r>
          </w:p>
        </w:tc>
        <w:tc>
          <w:tcPr>
            <w:tcW w:w="218" w:type="dxa"/>
            <w:tcBorders/>
            <w:vAlign w:val="center"/>
          </w:tcPr>
          <w:p>
            <w:pPr>
              <w:pStyle w:val="TableContents"/>
              <w:bidi w:val="0"/>
              <w:spacing w:before="0" w:after="1"/>
              <w:ind w:left="0" w:right="0" w:hanging="0"/>
              <w:jc w:val="left"/>
              <w:rPr/>
            </w:pPr>
            <w:r>
              <w:rPr/>
              <w:t>​</w:t>
            </w:r>
          </w:p>
        </w:tc>
        <w:tc>
          <w:tcPr>
            <w:tcW w:w="1328" w:type="dxa"/>
            <w:tcBorders/>
            <w:vAlign w:val="center"/>
          </w:tcPr>
          <w:p>
            <w:pPr>
              <w:pStyle w:val="TableContents"/>
              <w:bidi w:val="0"/>
              <w:spacing w:before="0" w:after="1"/>
              <w:ind w:left="0" w:right="0" w:hanging="0"/>
              <w:jc w:val="right"/>
              <w:rPr/>
            </w:pPr>
            <w:r>
              <w:rPr/>
              <w:t>—</w:t>
            </w:r>
          </w:p>
        </w:tc>
      </w:tr>
      <w:tr>
        <w:trPr/>
        <w:tc>
          <w:tcPr>
            <w:tcW w:w="64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Shares available for issuance under the Employee Stock Purchase Plan</w:t>
            </w:r>
          </w:p>
        </w:tc>
        <w:tc>
          <w:tcPr>
            <w:tcW w:w="326" w:type="dxa"/>
            <w:tcBorders/>
            <w:shd w:fill="CCEEFF" w:val="clear"/>
            <w:vAlign w:val="center"/>
          </w:tcPr>
          <w:p>
            <w:pPr>
              <w:pStyle w:val="TableContents"/>
              <w:bidi w:val="0"/>
              <w:spacing w:before="0" w:after="1"/>
              <w:ind w:left="0" w:right="0" w:hanging="0"/>
              <w:jc w:val="left"/>
              <w:rPr/>
            </w:pPr>
            <w:r>
              <w:rPr/>
              <w:t>​</w:t>
            </w:r>
          </w:p>
        </w:tc>
        <w:tc>
          <w:tcPr>
            <w:tcW w:w="2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17,166</w:t>
            </w:r>
          </w:p>
        </w:tc>
        <w:tc>
          <w:tcPr>
            <w:tcW w:w="326" w:type="dxa"/>
            <w:tcBorders/>
            <w:shd w:fill="CCEEFF" w:val="clear"/>
            <w:vAlign w:val="center"/>
          </w:tcPr>
          <w:p>
            <w:pPr>
              <w:pStyle w:val="TableContents"/>
              <w:bidi w:val="0"/>
              <w:spacing w:before="0" w:after="1"/>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3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14,716</w:t>
            </w:r>
          </w:p>
        </w:tc>
      </w:tr>
      <w:tr>
        <w:trPr/>
        <w:tc>
          <w:tcPr>
            <w:tcW w:w="64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09"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33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2,252,136</w:t>
            </w:r>
          </w:p>
        </w:tc>
        <w:tc>
          <w:tcPr>
            <w:tcW w:w="326" w:type="dxa"/>
            <w:tcBorders/>
            <w:vAlign w:val="center"/>
          </w:tcPr>
          <w:p>
            <w:pPr>
              <w:pStyle w:val="TableContents"/>
              <w:bidi w:val="0"/>
              <w:spacing w:before="0" w:after="1"/>
              <w:ind w:left="0" w:right="0" w:hanging="0"/>
              <w:jc w:val="left"/>
              <w:rPr/>
            </w:pPr>
            <w:r>
              <w:rPr/>
              <w:t>​</w:t>
            </w:r>
          </w:p>
        </w:tc>
        <w:tc>
          <w:tcPr>
            <w:tcW w:w="218" w:type="dxa"/>
            <w:tcBorders>
              <w:bottom w:val="double" w:sz="6" w:space="0" w:color="000000"/>
            </w:tcBorders>
            <w:tcMar>
              <w:bottom w:w="28" w:type="dxa"/>
            </w:tcMar>
            <w:vAlign w:val="center"/>
          </w:tcPr>
          <w:p>
            <w:pPr>
              <w:pStyle w:val="TableContents"/>
              <w:bidi w:val="0"/>
              <w:spacing w:before="0" w:after="1"/>
              <w:ind w:left="0" w:right="0" w:hanging="0"/>
              <w:jc w:val="left"/>
              <w:rPr/>
            </w:pPr>
            <w:r>
              <w:rPr/>
              <w:t> </w:t>
            </w:r>
          </w:p>
        </w:tc>
        <w:tc>
          <w:tcPr>
            <w:tcW w:w="1328"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905,278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2017 Equity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December 28, 2017, the Board approved the 2017 Equity Inducement Plan. Under the 2017 Equity Inducement Plan, the Board reserved 30,000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July 20, 2022, the Board increased the number of shares of common stock reserved and available for issuance under the 2017 Equity Inducement Plan by 100,000 shares. On March 28, 2024, the Board increased the number of shares of common stock reserved and available for issuance under the 2017 Equity Inducement Plan by 121,510 shares. As of September 30, 2024, 62,802 shares of common stock remain available to be issued through outstanding RSUs under the 2017 Equity Inducement Plan. No new equity award grants are to be issued from the 2017 Equity Inducement Plan.</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8 – Stock-Based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2024 Equity Incentive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June 12, 2024, the Energous Corporation 2024 Equity Incentive Plan (the “2024 Plan”) was approved by stockholders for the issuance of equity incentive awards to eligible participants, which replaced the following equity plans of the Company: (i) the 2013 Equity Incentive Plan, (ii) 2014 Non-Employee Equity Compensation Plan, (iii) the Performance Share Unit Plan and (iv) the 2017 Equity Inducement Plan (collectively, the “Prior Equity Plans”). All existing outstanding awards remain outstanding under the Prior Equity Plans, and an additional 456,000 shares of common stock were approved for issuance under the 2024 Plan.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284,758 shares of common stock remain available for issuance under the 2024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April 2015, the Board approved the Energous Corporation Employee Stock Purchase Plan (“ESPP”), under which 30,000 shares of common stock were reserved for purchase by the Company’s employees, subject to the approval by the Company’s stockholders. On May 21, 2015, the Company’s stockholders approved the ESPP. On June 12, 2024, the Company’s stockholders approved the amendment and restatement of the ESPP to increase the number of shares reserved for issuance under the ESPP by 6,200 shares. Under the ESPP, employees may designate an amount not less than 1% but not more than 10% of their annual compensation for the purchase of Company shares. No more than 375 shares may be purchased by an employee under the ESPP during an offering period. Excess contributions during an offering period are refunded to the employees. An offering period is six months in duration commencing on or about January 1 and July 1 of each year. The exercise price of options purchased under the ESPP is the lesser of 85% of the fair market of the common stock on the first business day of the offering period and 85% of the fair market value of the common stock on the applicable exercise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17,166 shares of common stock remain eligible to be issued under the ESPP. Employees contributed approximately $5,000 through payroll withholdings to the ESPP as of September 30, 2024 for the current offering period which concludes on December 31,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 Option Activity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February 2022, the Board granted the Company’s former Chief Executive Officer 15,000 stock options at an exercise price of $25.40 per share with half of the options vesting on the second anniversary of the vesting start date and a quarter of the options vesting on each of the two following anniversaries. Under the former Chief Executive Officer’s Severance Agreement, unvested awards vesting within 18 months of termination were accelerated and became vested on March 26, 2024. Consequently, 3,750 options became vested and another 3,750 options were forfeited. This resulted in stock-based compensation expense of approximately $0 and $53,000 during the three and nine months ended September 30, 2024, respectively. As of September 30, 2024, all stock options granted to the former Chief Executive Officer were forfeited.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stock options were granted during the three and nine months ended September 30, 2023 and 2024.</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51" w:name="Tc_mWyX0Q9eMUCgT2-UH-IBgg_10_4"/>
      <w:bookmarkStart w:id="852" w:name="Tc_HVLKhfH4vkCiDr3D8zDINw_10_0"/>
      <w:bookmarkStart w:id="853" w:name="Tc_T6MkQop-hkC9kYACbWwMKA_9_0"/>
      <w:bookmarkStart w:id="854" w:name="Tc_5xp4SmNWdkydANjHocX9Uw_8_0"/>
      <w:bookmarkStart w:id="855" w:name="Tc_cWKl0pQ9nUSNCSyyHkTAmA_7_0"/>
      <w:bookmarkStart w:id="856" w:name="Tc_i-BC0pm59EiWqFgj3sUWbg_6_4"/>
      <w:bookmarkStart w:id="857" w:name="Tc_-D_uP5ePFkCezkptjPQRiw_6_0"/>
      <w:bookmarkStart w:id="858" w:name="Tc_dluXLjzwTkqXR9sWCqdyig_5_4"/>
      <w:bookmarkStart w:id="859" w:name="Tc_peZjTunkiUGs-AOqGcnb9Q_5_2"/>
      <w:bookmarkStart w:id="860" w:name="Tc_8CJaY-D430GYYUySGEOuWw_4_4"/>
      <w:bookmarkStart w:id="861" w:name="Tc_Z4C-LogmvkG3KO59u2R5lw_3_4"/>
      <w:bookmarkStart w:id="862" w:name="Tc_DISOD1mfq06g8ckcpI7_1g_2_4"/>
      <w:bookmarkStart w:id="863" w:name="Tc_iE7fG0W9HkuB9e6zwqtQ6g_1_4"/>
      <w:bookmarkStart w:id="864" w:name="Tc_nxHNsTyDFkKyqHCVlRtGLA_15_10"/>
      <w:bookmarkStart w:id="865" w:name="Tc_MHcqDXz1DEypzP111Rv2pQ_15_9"/>
      <w:bookmarkStart w:id="866" w:name="Tc__vvj5sHsNUyz9YgEU-hn_g_15_7"/>
      <w:bookmarkStart w:id="867" w:name="Tc_jMdIsxJHmEi3H2k6ftqP3Q_15_5"/>
      <w:bookmarkStart w:id="868" w:name="Tc_4tRq94bZg0iXALv_h6UG4Q_15_4"/>
      <w:bookmarkStart w:id="869" w:name="Tc_dL_OdxgmbkWo_KPb5vjDPg_15_2"/>
      <w:bookmarkStart w:id="870" w:name="Tc_ay8ugjbB4UqHHXw0wJv0Qg_15_0"/>
      <w:bookmarkStart w:id="871" w:name="Tc_mbjQiKsKJk2jpvPrasjEFw_14_10"/>
      <w:bookmarkStart w:id="872" w:name="Tc_uxo-SOvLf0mGaXkWZ3OULw_14_7"/>
      <w:bookmarkStart w:id="873" w:name="Tc_u6gzSGTNoUuFv-z3r94wvw_14_0"/>
      <w:bookmarkStart w:id="874" w:name="Tc_dWvPZlTNkkSUhROQ-_K7Lg_13_10"/>
      <w:bookmarkStart w:id="875" w:name="Tc_3tyIwMLFoEWuj5L28fIwig_13_7"/>
      <w:bookmarkStart w:id="876" w:name="Tc_4R_P0qEKhEmMzmPVPI-vQQ_13_5"/>
      <w:bookmarkStart w:id="877" w:name="Tc_4_LPh_jo_kOo3wDDgKTvDQ_13_2"/>
      <w:bookmarkStart w:id="878" w:name="Tc_xJBjJNH37kSQSb6wcyeWTw_13_0"/>
      <w:bookmarkStart w:id="879" w:name="Tc_Z3rwpdJP70mMhq2QTF_k8g_12_10"/>
      <w:bookmarkStart w:id="880" w:name="Tc_Km6tQP-4PE23DgQApqERPw_12_7"/>
      <w:bookmarkStart w:id="881" w:name="Tc_b20Rw-dyh0ikzXpleqzMCA_12_0"/>
      <w:bookmarkStart w:id="882" w:name="Tc_vsOyvzOkuEq7AA5523hmmw_11_10"/>
      <w:bookmarkStart w:id="883" w:name="Tc_bIfcUIumsk64U--eBoX9aw_11_9"/>
      <w:bookmarkStart w:id="884" w:name="Tc_f5NA8r4qYECwzfrfK0ZvCQ_11_4"/>
      <w:bookmarkStart w:id="885" w:name="Tc_0F6lFQ7KLUyFEAwD9Ecpjw_11_0"/>
      <w:bookmarkStart w:id="886" w:name="Tc_Hdj6whJgWEqj_wZqr4c35A_10_10"/>
      <w:bookmarkStart w:id="887" w:name="Tc_t-aRetPeXkyhsVK1ShqFQg_10_9"/>
      <w:bookmarkStart w:id="888" w:name="Tc_xN_ZOwm9hUalpMxgrAuhCw_10_7"/>
      <w:bookmarkStart w:id="889" w:name="Tc_4FEB1WfxrkKuNlpIy7f7WQ_10_5"/>
      <w:bookmarkStart w:id="890" w:name="Tc_DFpzRlc-_kSqC0Qe8zRIzQ_10_4"/>
      <w:bookmarkStart w:id="891" w:name="Tc_34GLa-o9tUKTFWyCL1BIuQ_10_2"/>
      <w:bookmarkStart w:id="892" w:name="Tc_qFDG7gght0-jiz-b72gFNw_10_0"/>
      <w:bookmarkStart w:id="893" w:name="Tc_VKIxq-KPYky7g9VT8SCwQg_9_10"/>
      <w:bookmarkStart w:id="894" w:name="Tc_kPnv8vpfWEeCNvBok9ubZA_9_7"/>
      <w:bookmarkStart w:id="895" w:name="Tc_8rzwMFc00EWKe1dOnjKgbA_9_0"/>
      <w:bookmarkStart w:id="896" w:name="Tc_cUgAYHv7pUu_kccdOiShyA_8_10"/>
      <w:bookmarkStart w:id="897" w:name="Tc_rSc3DzHJnUKALdQt41j9Xg_8_7"/>
      <w:bookmarkStart w:id="898" w:name="Tc_9_mqyb-R10eWG4nuDOUUjA_8_5"/>
      <w:bookmarkStart w:id="899" w:name="Tc_nTLstefhQ023n0Bs8QCiRQ_8_2"/>
      <w:bookmarkStart w:id="900" w:name="Tc_RTdk_SGUf0CGkphMVtg-GQ_8_0"/>
      <w:bookmarkStart w:id="901" w:name="Tc_xQS8d9Q8UEGk3b3DorhooQ_7_10"/>
      <w:bookmarkStart w:id="902" w:name="Tc_mxmIokY-5Eqp6fylQ7MUFQ_7_7"/>
      <w:bookmarkStart w:id="903" w:name="Tc_dIG2zfDwikeIQ9UxsUz0Fg_7_5"/>
      <w:bookmarkStart w:id="904" w:name="Tc_lqoKJYjpwE24YHeBoQoGyg_7_2"/>
      <w:bookmarkStart w:id="905" w:name="Tc_fEoYF6HrYESYo6hMS3UIlQ_7_0"/>
      <w:bookmarkStart w:id="906" w:name="Tc_YsKCIVGwGEaLU7d0L6SODQ_6_10"/>
      <w:bookmarkStart w:id="907" w:name="Tc_JUKdkucBKEqMDvo1bpLyWA_6_9"/>
      <w:bookmarkStart w:id="908" w:name="Tc_sU5OSl3zykaTDvoM6CVwzA_6_4"/>
      <w:bookmarkStart w:id="909" w:name="Tc_xwGXR52y_EK_k1LrSieGyg_6_0"/>
      <w:bookmarkStart w:id="910" w:name="Tc_Ic4gGhGmCUWZvwvblFiSPg_5_9"/>
      <w:bookmarkStart w:id="911" w:name="Tc_azBsul4Yw0mrmgIonnmS_g_5_7"/>
      <w:bookmarkStart w:id="912" w:name="Tc_OV-RKJVVJUm9a3ydLV86PQ_5_4"/>
      <w:bookmarkStart w:id="913" w:name="Tc_kcveR4sYQEqbNe8cyYR4ew_5_2"/>
      <w:bookmarkStart w:id="914" w:name="Tc_oHjuzYe6wku3W85FuMOhBg_4_9"/>
      <w:bookmarkStart w:id="915" w:name="Tc_AdKjo3ptAkqlVsq5H7OIfQ_4_7"/>
      <w:bookmarkStart w:id="916" w:name="Tc_lE9PuLKSk0qoDSBCIT8sMw_4_4"/>
      <w:bookmarkStart w:id="917" w:name="Tc_CwapYo5jp0efa373ltWG-A_4_2"/>
      <w:bookmarkStart w:id="918" w:name="Tc_u5oMGAyRo0OgGNdl8U97LA_3_7"/>
      <w:bookmarkStart w:id="919" w:name="Tc_gE1uE5XR_E2S5F986sNrXA_3_4"/>
      <w:bookmarkStart w:id="920" w:name="Tc_TUF44SwsOkKC6jzmgv7T5Q_2_7"/>
      <w:bookmarkStart w:id="921" w:name="Tc_qY-tE_SGTkGWxjn9oYLWig_2_4"/>
      <w:bookmarkStart w:id="922" w:name="Tc_zkRsBKt4I0Oj_bEbzhj4nQ_1_7"/>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b/>
          <w:sz w:val="20"/>
        </w:rPr>
        <w:t>Note 8 – Stock-Based Compensation, continued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summary of the Company’s stock option activity during the nine months ended September 30, 2024:</w:t>
      </w:r>
    </w:p>
    <w:p>
      <w:pPr>
        <w:pStyle w:val="TextBody"/>
        <w:bidi w:val="0"/>
        <w:spacing w:before="0" w:after="0"/>
        <w:ind w:left="0" w:right="0" w:hanging="0"/>
        <w:jc w:val="left"/>
        <w:rPr/>
      </w:pPr>
      <w:r>
        <w:rPr/>
        <w:t>​</w:t>
      </w:r>
    </w:p>
    <w:tbl>
      <w:tblPr>
        <w:tblW w:w="7967" w:type="dxa"/>
        <w:jc w:val="left"/>
        <w:tblInd w:w="0" w:type="dxa"/>
        <w:tblLayout w:type="fixed"/>
        <w:tblCellMar>
          <w:top w:w="0" w:type="dxa"/>
          <w:left w:w="0" w:type="dxa"/>
          <w:bottom w:w="0" w:type="dxa"/>
          <w:right w:w="0" w:type="dxa"/>
        </w:tblCellMar>
      </w:tblPr>
      <w:tblGrid>
        <w:gridCol w:w="3211"/>
        <w:gridCol w:w="326"/>
        <w:gridCol w:w="886"/>
        <w:gridCol w:w="326"/>
        <w:gridCol w:w="226"/>
        <w:gridCol w:w="614"/>
        <w:gridCol w:w="326"/>
        <w:gridCol w:w="931"/>
        <w:gridCol w:w="326"/>
        <w:gridCol w:w="253"/>
        <w:gridCol w:w="542"/>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38985" cy="175260"/>
                      <wp:effectExtent l="0" t="0" r="0" b="0"/>
                      <wp:wrapNone/>
                      <wp:docPr id="102" name="Frame101"/>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562610" cy="175260"/>
                      <wp:effectExtent l="0" t="0" r="0" b="0"/>
                      <wp:wrapNone/>
                      <wp:docPr id="104" name="Frame1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43510" cy="175260"/>
                      <wp:effectExtent l="0" t="0" r="0" b="0"/>
                      <wp:wrapNone/>
                      <wp:docPr id="106" name="Frame10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389890" cy="175260"/>
                      <wp:effectExtent l="0" t="0" r="0" b="0"/>
                      <wp:wrapNone/>
                      <wp:docPr id="107" name="Frame106"/>
                      <a:graphic xmlns:a="http://schemas.openxmlformats.org/drawingml/2006/main">
                        <a:graphicData uri="http://schemas.microsoft.com/office/word/2010/wordprocessingShape">
                          <wps:wsp>
                            <wps:cNvSpPr txBox="1"/>
                            <wps:spPr>
                              <a:xfrm>
                                <a:off x="0" y="0"/>
                                <a:ext cx="389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91185" cy="175260"/>
                      <wp:effectExtent l="0" t="0" r="0" b="0"/>
                      <wp:wrapNone/>
                      <wp:docPr id="109" name="Frame1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60655" cy="175260"/>
                      <wp:effectExtent l="0" t="0" r="0" b="0"/>
                      <wp:wrapNone/>
                      <wp:docPr id="111" name="Frame110"/>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44170" cy="175260"/>
                      <wp:effectExtent l="0" t="0" r="0" b="0"/>
                      <wp:wrapNone/>
                      <wp:docPr id="112" name="Frame111"/>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Remaining </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Life In </w:t>
            </w:r>
          </w:p>
        </w:tc>
        <w:tc>
          <w:tcPr>
            <w:tcW w:w="326" w:type="dxa"/>
            <w:tcBorders/>
            <w:vAlign w:val="center"/>
          </w:tcPr>
          <w:p>
            <w:pPr>
              <w:pStyle w:val="TableContents"/>
              <w:bidi w:val="0"/>
              <w:spacing w:before="0" w:after="0"/>
              <w:ind w:left="0" w:right="0" w:hanging="0"/>
              <w:jc w:val="center"/>
              <w:rPr/>
            </w:pPr>
            <w:r>
              <w:rPr/>
              <w:t>​</w:t>
            </w:r>
          </w:p>
        </w:tc>
        <w:tc>
          <w:tcPr>
            <w:tcW w:w="7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Intrinsic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8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c>
          <w:tcPr>
            <w:tcW w:w="326" w:type="dxa"/>
            <w:tcBorders/>
            <w:vAlign w:val="center"/>
          </w:tcPr>
          <w:p>
            <w:pPr>
              <w:pStyle w:val="TableContents"/>
              <w:bidi w:val="0"/>
              <w:spacing w:before="0" w:after="0"/>
              <w:ind w:left="0" w:right="0" w:hanging="0"/>
              <w:jc w:val="center"/>
              <w:rPr/>
            </w:pPr>
            <w:r>
              <w:rPr/>
              <w:t>​</w:t>
            </w:r>
          </w:p>
        </w:tc>
        <w:tc>
          <w:tcPr>
            <w:tcW w:w="7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53"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center"/>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53"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righ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January 1, 2024</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0" w:hanging="0"/>
              <w:jc w:val="righ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pPr>
            <w:r>
              <w:rPr/>
              <w:t> </w:t>
            </w:r>
          </w:p>
        </w:tc>
        <w:tc>
          <w:tcPr>
            <w:tcW w:w="542" w:type="dxa"/>
            <w:tcBorders/>
            <w:vAlign w:val="center"/>
          </w:tcPr>
          <w:p>
            <w:pPr>
              <w:pStyle w:val="TableContents"/>
              <w:bidi w:val="0"/>
              <w:spacing w:before="0" w:after="0"/>
              <w:ind w:left="0" w:right="0" w:hanging="0"/>
              <w:jc w:val="right"/>
              <w:rPr/>
            </w:pPr>
            <w:r>
              <w:rPr/>
              <w:t>—</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3" w:type="dxa"/>
            <w:tcBorders/>
            <w:shd w:fill="CCEEFF" w:val="clear"/>
            <w:vAlign w:val="center"/>
          </w:tcPr>
          <w:p>
            <w:pPr>
              <w:pStyle w:val="TableContents"/>
              <w:bidi w:val="0"/>
              <w:spacing w:before="0" w:after="0"/>
              <w:ind w:left="0" w:right="0" w:hanging="0"/>
              <w:jc w:val="left"/>
              <w:rPr/>
            </w:pPr>
            <w:r>
              <w:rPr/>
              <w:t> </w:t>
            </w:r>
          </w:p>
        </w:tc>
        <w:tc>
          <w:tcPr>
            <w:tcW w:w="542" w:type="dxa"/>
            <w:tcBorders/>
            <w:shd w:fill="CCEEFF" w:val="clear"/>
            <w:vAlign w:val="center"/>
          </w:tcPr>
          <w:p>
            <w:pPr>
              <w:pStyle w:val="TableContents"/>
              <w:bidi w:val="0"/>
              <w:spacing w:before="0" w:after="0"/>
              <w:ind w:left="0" w:right="0" w:hanging="0"/>
              <w:jc w:val="right"/>
              <w:rPr/>
            </w:pPr>
            <w:r>
              <w:rPr/>
              <w:t>—</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September 30, 2024</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the unamortized fair value of stock options was $0.</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the Board granted its Interim Principal Executive officer and Chief Financial Officer 77,000 RSUs. Each RSU represents the contingent right to one share of common stock of the Company. The RSU awards vest over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the Compensation Committee granted directors an aggregate of 6,000 RSUs for service on the Board. These RSU awards vest on the one-year anniversary of the grant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the Board granted employees an aggregate of 468,000 RSUs, which vest over four years.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former Chief Executive Officer’s Severance Agreement, unvested RSUs vesting within 18 months of termination were accelerated and vested on March 26, 2024. Consequently, 3,017 RSUs vested resulting in stock-based compensation expense of approximately $0 and $77,000 during the three and nine months ended September 30, 2024,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September 30, 2024, the unamortized fair value of the RSUs was $0.9 million. The unamortized amount will be expensed over a weighted average period of 2.8 years. A summary of the activity related to RSUs for the nine months ended September 30, 2024 is presented below:</w:t>
      </w:r>
    </w:p>
    <w:p>
      <w:pPr>
        <w:pStyle w:val="TextBody"/>
        <w:bidi w:val="0"/>
        <w:spacing w:before="0" w:after="0"/>
        <w:ind w:left="0" w:right="0" w:hanging="0"/>
        <w:jc w:val="left"/>
        <w:rPr/>
      </w:pPr>
      <w:r>
        <w:rPr/>
        <w:t>​</w:t>
      </w:r>
    </w:p>
    <w:tbl>
      <w:tblPr>
        <w:tblW w:w="5334" w:type="dxa"/>
        <w:jc w:val="left"/>
        <w:tblInd w:w="0" w:type="dxa"/>
        <w:tblLayout w:type="fixed"/>
        <w:tblCellMar>
          <w:top w:w="0" w:type="dxa"/>
          <w:left w:w="0" w:type="dxa"/>
          <w:bottom w:w="0" w:type="dxa"/>
          <w:right w:w="0" w:type="dxa"/>
        </w:tblCellMar>
      </w:tblPr>
      <w:tblGrid>
        <w:gridCol w:w="2986"/>
        <w:gridCol w:w="326"/>
        <w:gridCol w:w="796"/>
        <w:gridCol w:w="326"/>
        <w:gridCol w:w="229"/>
        <w:gridCol w:w="671"/>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896110" cy="175260"/>
                      <wp:effectExtent l="0" t="0" r="0" b="0"/>
                      <wp:wrapNone/>
                      <wp:docPr id="113" name="Frame112"/>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5460" cy="175260"/>
                      <wp:effectExtent l="0" t="0" r="0" b="0"/>
                      <wp:wrapNone/>
                      <wp:docPr id="115" name="Frame11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6"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5415" cy="175260"/>
                      <wp:effectExtent l="0" t="0" r="0" b="0"/>
                      <wp:wrapNone/>
                      <wp:docPr id="117" name="Frame116"/>
                      <a:graphic xmlns:a="http://schemas.openxmlformats.org/drawingml/2006/main">
                        <a:graphicData uri="http://schemas.microsoft.com/office/word/2010/wordprocessingShape">
                          <wps:wsp>
                            <wps:cNvSpPr txBox="1"/>
                            <wps:spPr>
                              <a:xfrm>
                                <a:off x="0" y="0"/>
                                <a:ext cx="145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6085" cy="175260"/>
                      <wp:effectExtent l="0" t="0" r="0" b="0"/>
                      <wp:wrapNone/>
                      <wp:docPr id="118" name="Frame117"/>
                      <a:graphic xmlns:a="http://schemas.openxmlformats.org/drawingml/2006/main">
                        <a:graphicData uri="http://schemas.microsoft.com/office/word/2010/wordprocessingShape">
                          <wps:wsp>
                            <wps:cNvSpPr txBox="1"/>
                            <wps:spPr>
                              <a:xfrm>
                                <a:off x="0" y="0"/>
                                <a:ext cx="42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Average </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Grant </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Date Fair </w:t>
            </w:r>
          </w:p>
        </w:tc>
      </w:tr>
      <w:tr>
        <w:trPr/>
        <w:tc>
          <w:tcPr>
            <w:tcW w:w="29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 2024</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71,734</w:t>
            </w:r>
          </w:p>
        </w:tc>
        <w:tc>
          <w:tcPr>
            <w:tcW w:w="326"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24.65</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granted</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551,000</w:t>
            </w:r>
          </w:p>
        </w:tc>
        <w:tc>
          <w:tcPr>
            <w:tcW w:w="326"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forfeited</w:t>
            </w:r>
          </w:p>
        </w:tc>
        <w:tc>
          <w:tcPr>
            <w:tcW w:w="326"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(71,474)</w:t>
            </w:r>
          </w:p>
        </w:tc>
        <w:tc>
          <w:tcPr>
            <w:tcW w:w="326" w:type="dxa"/>
            <w:tcBorders/>
            <w:shd w:fill="CCEEFF" w:val="clear"/>
            <w:vAlign w:val="center"/>
          </w:tcPr>
          <w:p>
            <w:pPr>
              <w:pStyle w:val="TableContents"/>
              <w:bidi w:val="0"/>
              <w:spacing w:before="0" w:after="0"/>
              <w:ind w:left="0" w:right="0" w:hanging="0"/>
              <w:jc w:val="center"/>
              <w:rPr/>
            </w:pPr>
            <w:r>
              <w:rPr/>
              <w:t>​</w:t>
            </w:r>
          </w:p>
        </w:tc>
        <w:tc>
          <w:tcPr>
            <w:tcW w:w="229" w:type="dxa"/>
            <w:tcBorders/>
            <w:shd w:fill="CCEEFF" w:val="clear"/>
            <w:vAlign w:val="center"/>
          </w:tcPr>
          <w:p>
            <w:pPr>
              <w:pStyle w:val="TableContents"/>
              <w:bidi w:val="0"/>
              <w:spacing w:before="0" w:after="0"/>
              <w:ind w:left="0" w:right="0" w:hanging="0"/>
              <w:jc w:val="left"/>
              <w:rPr/>
            </w:pPr>
            <w:r>
              <w:rPr/>
              <w:t>​</w:t>
            </w:r>
          </w:p>
        </w:tc>
        <w:tc>
          <w:tcPr>
            <w:tcW w:w="6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 vested</w:t>
            </w:r>
          </w:p>
        </w:tc>
        <w:tc>
          <w:tcPr>
            <w:tcW w:w="326" w:type="dxa"/>
            <w:tcBorders/>
            <w:vAlign w:val="center"/>
          </w:tcPr>
          <w:p>
            <w:pPr>
              <w:pStyle w:val="TableContents"/>
              <w:bidi w:val="0"/>
              <w:spacing w:before="0" w:after="0"/>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(33,957)</w:t>
            </w:r>
          </w:p>
        </w:tc>
        <w:tc>
          <w:tcPr>
            <w:tcW w:w="326" w:type="dxa"/>
            <w:tcBorders/>
            <w:vAlign w:val="center"/>
          </w:tcPr>
          <w:p>
            <w:pPr>
              <w:pStyle w:val="TableContents"/>
              <w:bidi w:val="0"/>
              <w:spacing w:before="0" w:after="0"/>
              <w:ind w:left="0" w:right="0" w:hanging="0"/>
              <w:jc w:val="center"/>
              <w:rPr/>
            </w:pPr>
            <w:r>
              <w:rPr/>
              <w:t>​</w:t>
            </w:r>
          </w:p>
        </w:tc>
        <w:tc>
          <w:tcPr>
            <w:tcW w:w="229" w:type="dxa"/>
            <w:tcBorders/>
            <w:vAlign w:val="center"/>
          </w:tcPr>
          <w:p>
            <w:pPr>
              <w:pStyle w:val="TableContents"/>
              <w:bidi w:val="0"/>
              <w:spacing w:before="0" w:after="0"/>
              <w:ind w:left="0" w:right="0" w:hanging="0"/>
              <w:jc w:val="left"/>
              <w:rPr/>
            </w:pPr>
            <w:r>
              <w:rPr/>
              <w:t>​</w:t>
            </w:r>
          </w:p>
        </w:tc>
        <w:tc>
          <w:tcPr>
            <w:tcW w:w="6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517,303</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2.50</w:t>
            </w:r>
          </w:p>
        </w:tc>
      </w:tr>
    </w:tbl>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Performance Stock Units (“PSUs”)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PSUs are grants that vest upon the achievement of certain performance goals. The goals are commonly related to the Company’s revenue and achievement of sales and marketing goals.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bookmarkStart w:id="923" w:name="Tc_IuHZXcRrQ0-50xez9n3Zkw_7_11"/>
      <w:bookmarkStart w:id="924" w:name="Tc_OEMBh_dt80-zhZtn-oxWJA_7_8"/>
      <w:bookmarkStart w:id="925" w:name="Tc_blI7tpTPFE-aAWU1UA0roA_7_5"/>
      <w:bookmarkStart w:id="926" w:name="Tc_XX8mA1SbSUCWCoeWNVkYig_7_2"/>
      <w:bookmarkStart w:id="927" w:name="Tc_aHFSCqDq8UOY_HOIeifftg_7_0"/>
      <w:bookmarkStart w:id="928" w:name="Tc_mctik0TPKEyxRNYRsOQM6Q_6_12"/>
      <w:bookmarkStart w:id="929" w:name="Tc_M_7j9nU2W02zrcHz3kEMkA_6_6"/>
      <w:bookmarkStart w:id="930" w:name="Tc_z9Y4frnoNEiH5vNvoTMU8A_6_3"/>
      <w:bookmarkStart w:id="931" w:name="Tc_-O5glKXXsky1xjk0IXJtUQ_6_0"/>
      <w:bookmarkStart w:id="932" w:name="Tc_e2zB2017fkGiH1uzxX1ZTQ_5_0"/>
      <w:bookmarkStart w:id="933" w:name="Tc_4r7wJ6wZIUapj4B1bUMx-g_4_0"/>
      <w:bookmarkStart w:id="934" w:name="Tc_x_UswBQUOUGZxM_hNeCaeQ_3_11"/>
      <w:bookmarkStart w:id="935" w:name="Tc_Wi6leH_6ekyVcjbOA-gGXQ_3_8"/>
      <w:bookmarkStart w:id="936" w:name="Tc_C9pT_ILJTky2xcYPeGJZ7A_3_5"/>
      <w:bookmarkStart w:id="937" w:name="Tc_xnIyIr2nXk-yohkS-HTt8Q_3_2"/>
      <w:bookmarkStart w:id="938" w:name="Tc_wsbIyFhNXkO5YDO90UWJqg_3_0"/>
      <w:bookmarkStart w:id="939" w:name="Tc_T5Y6Pf3QiUmzDXHv6-hSKg_2_11"/>
      <w:bookmarkStart w:id="940" w:name="Tc_SJEzaT6J_kO2UjcPH53nbw_2_8"/>
      <w:bookmarkStart w:id="941" w:name="Tc_nzqjM9s74ky25UB6Wg2POQ_2_5"/>
      <w:bookmarkStart w:id="942" w:name="Tc_x4rmlTyDV0KKtKyA2fElow_2_2"/>
      <w:bookmarkStart w:id="943" w:name="Tc_iJtQKt30REyvFJBqF_H1Zw_1_8"/>
      <w:bookmarkStart w:id="944" w:name="Tc_nPr8gm_3n0KAjCLAyOTkww_1_2"/>
      <w:bookmarkStart w:id="945" w:name="_2cf34ecf_e23e_49e7_81e0_2a24d45659ac"/>
      <w:bookmarkStart w:id="946" w:name="Tc_SmNubV9M_UuH84b2uY0lXA_7_0"/>
      <w:bookmarkStart w:id="947" w:name="Tc_M1dJX-lUZEOAqPkm7pe81Q_6_4"/>
      <w:bookmarkStart w:id="948" w:name="Tc_1O4jI5xvSk-_C-Utc-NjUg_6_2"/>
      <w:bookmarkStart w:id="949" w:name="Tc_JFrpEf1Nrk6VgAvvh12MLA_6_0"/>
      <w:bookmarkStart w:id="950" w:name="Tc_JDlXNMw4HUqGj1adN1N-nQ_5_4"/>
      <w:bookmarkStart w:id="951" w:name="Tc_Ewd67mcUzkOslO8JEcKjXA_5_2"/>
      <w:bookmarkStart w:id="952" w:name="Tc_F9Tjn6qRRk2uU2orqlWyKw_5_0"/>
      <w:bookmarkStart w:id="953" w:name="Tc_aY0uKCgV7kO-FulB7DvaQQ_4_5"/>
      <w:bookmarkStart w:id="954" w:name="Tc_YOg-r5YvEUSwnRHm1t6WmQ_4_3"/>
      <w:bookmarkStart w:id="955" w:name="Tc_G2CiQZY57kSVcKpqN-xnXQ_4_0"/>
      <w:bookmarkStart w:id="956" w:name="Tc_uDl7dFrdqkyNxYy7ciBjEQ_3_4"/>
      <w:bookmarkStart w:id="957" w:name="Tc_2KjEaWICYUK56h8TJQQNdA_3_2"/>
      <w:bookmarkStart w:id="958" w:name="Tc_OWGL3-N2SEqOq00HFmSsow_3_0"/>
      <w:bookmarkStart w:id="959" w:name="Tc_pQYIuexGuE259DxZHfuerA_2_4"/>
      <w:bookmarkStart w:id="960" w:name="Tc_alqyPw1Sf0ii5_bblDPPhg_2_2"/>
      <w:bookmarkStart w:id="961" w:name="Tc_Vzjh5h5Nwk2IgQQAKfw10w_1_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ascii="Times New Roman;Times;serif" w:hAnsi="Times New Roman;Times;serif"/>
          <w:b/>
          <w:i w:val="false"/>
          <w:caps w:val="false"/>
          <w:smallCaps w:val="false"/>
          <w:sz w:val="20"/>
        </w:rPr>
        <w:t>Note 8 – Stock-Based Compensation, continued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July 20, 2022, the Board granted the Company’s former Chief Executive Officer 14,350 PSUs under the Company’s 2015 Performance Share Unit Plan pursuant to the terms of the former executive’s offer letter with the Company (See Note 6 – Commitments and Contingencies). The 14,350 PSUs that had been approved were to vest as follows: (a) up to 9,350 PSU shares would vest on December 31, 2022, subject to the former executive’s continued service as Chief Executive Officer and the achievement, to be determined in the Compensation Committee’s sole discretion, by the former executive of certain performance metrics previously determined by the Compensation Committee and approved by the Board, and (b) up to an additional 2,500 PSU shares would vest on each of December 31, 2023 and December 31, 2024, subject to continued service as Chief Executive Officer and the achievement, to be determined in the Compensation Committee’s sole discretion, of certain performance metrics.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was no PSU activity for the three or nine months ended September 30, 2024 and 2023. The 2,500 PSU shares that were reserved for grant during 2024 per the former executive’s offer letter with the Company, as well as the 1,250 shares reserved for potential outperformance by the former executive of 2024 goals were returned to the 2015 Performance Share Unit Plan for future issuance upon the former executive’s termination of service with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current offering period under the ESPP began on July 1, 2024 and will conclude on December 31, 2024. The recently completely offering period under the ESPP started on January 1, 2024 and concluded on June 30, 2024. During the year ended December 31, 2023, there were two offering periods. The first offering period began on January 1, 2023 and concluded on June 30, 2023. The second offering period began on July 1, 2023 and concluded on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weighted average grant-date fair value of the purchase option for each designated share purchased under the ESPP was approximately $0.63 per share and $4.05 per share for the nine months ended September 30, 2024 and 2023,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recognized compensation expense for the ESPP of approximately $1,000 and $4,000 for the three and nine months ended September 30, 2024, respectively. The Company recognized compensation expense for the ESPP of approximately $1,000 and $42,000 for the three and nine months ended September 30, 2023,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estimated the fair value of ESPP purchase options granted during the nine months ended September 30, 2024 and 2023 using the Black-Scholes option pricing model. The fair values of ESPP purchase options granted were estimated using the following assumptions:</w:t>
      </w:r>
    </w:p>
    <w:p>
      <w:pPr>
        <w:pStyle w:val="TextBody"/>
        <w:bidi w:val="0"/>
        <w:spacing w:before="0" w:after="0"/>
        <w:ind w:left="0" w:right="0" w:hanging="0"/>
        <w:jc w:val="left"/>
        <w:rPr/>
      </w:pPr>
      <w:r>
        <w:rPr/>
        <w:t>​</w:t>
      </w:r>
    </w:p>
    <w:tbl>
      <w:tblPr>
        <w:tblW w:w="5281" w:type="dxa"/>
        <w:jc w:val="left"/>
        <w:tblInd w:w="0" w:type="dxa"/>
        <w:tblLayout w:type="fixed"/>
        <w:tblCellMar>
          <w:top w:w="0" w:type="dxa"/>
          <w:left w:w="0" w:type="dxa"/>
          <w:bottom w:w="0" w:type="dxa"/>
          <w:right w:w="0" w:type="dxa"/>
        </w:tblCellMar>
      </w:tblPr>
      <w:tblGrid>
        <w:gridCol w:w="1846"/>
        <w:gridCol w:w="326"/>
        <w:gridCol w:w="1216"/>
        <w:gridCol w:w="361"/>
        <w:gridCol w:w="121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172210" cy="175260"/>
                      <wp:effectExtent l="0" t="0" r="0" b="0"/>
                      <wp:wrapNone/>
                      <wp:docPr id="119" name="Frame118"/>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772160" cy="175260"/>
                      <wp:effectExtent l="0" t="0" r="0" b="0"/>
                      <wp:wrapNone/>
                      <wp:docPr id="121" name="Frame12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29235" cy="175260"/>
                      <wp:effectExtent l="0" t="0" r="0" b="0"/>
                      <wp:wrapNone/>
                      <wp:docPr id="122" name="Frame12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72160" cy="175260"/>
                      <wp:effectExtent l="0" t="0" r="0" b="0"/>
                      <wp:wrapNone/>
                      <wp:docPr id="123" name="Frame122"/>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0660" cy="175260"/>
                      <wp:effectExtent l="0" t="0" r="0" b="0"/>
                      <wp:wrapNone/>
                      <wp:docPr id="124" name="Frame12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7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center"/>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$1.09-1.83</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$4.80-16.72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76%-112%</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5.26%-5.37%</w:t>
            </w:r>
          </w:p>
        </w:tc>
        <w:tc>
          <w:tcPr>
            <w:tcW w:w="36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4.42%-5.47%</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61"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 months</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total amount of stock-based compensation was reflected within the statements of operations as (in thousands):</w:t>
      </w:r>
    </w:p>
    <w:p>
      <w:pPr>
        <w:pStyle w:val="TextBody"/>
        <w:bidi w:val="0"/>
        <w:spacing w:before="0" w:after="0"/>
        <w:ind w:left="0" w:right="0" w:hanging="0"/>
        <w:jc w:val="left"/>
        <w:rPr/>
      </w:pPr>
      <w:r>
        <w:rPr/>
        <w:t>​</w:t>
      </w:r>
    </w:p>
    <w:tbl>
      <w:tblPr>
        <w:tblW w:w="8496" w:type="dxa"/>
        <w:jc w:val="left"/>
        <w:tblInd w:w="0" w:type="dxa"/>
        <w:tblLayout w:type="fixed"/>
        <w:tblCellMar>
          <w:top w:w="0" w:type="dxa"/>
          <w:left w:w="0" w:type="dxa"/>
          <w:bottom w:w="0" w:type="dxa"/>
          <w:right w:w="0" w:type="dxa"/>
        </w:tblCellMar>
      </w:tblPr>
      <w:tblGrid>
        <w:gridCol w:w="2311"/>
        <w:gridCol w:w="386"/>
        <w:gridCol w:w="362"/>
        <w:gridCol w:w="723"/>
        <w:gridCol w:w="559"/>
        <w:gridCol w:w="362"/>
        <w:gridCol w:w="723"/>
        <w:gridCol w:w="386"/>
        <w:gridCol w:w="307"/>
        <w:gridCol w:w="612"/>
        <w:gridCol w:w="474"/>
        <w:gridCol w:w="307"/>
        <w:gridCol w:w="984"/>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67485" cy="175260"/>
                      <wp:effectExtent l="0" t="0" r="0" b="0"/>
                      <wp:wrapNone/>
                      <wp:docPr id="125" name="Frame12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45110" cy="175260"/>
                      <wp:effectExtent l="0" t="0" r="0" b="0"/>
                      <wp:wrapNone/>
                      <wp:docPr id="126" name="Frame12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29870" cy="175260"/>
                      <wp:effectExtent l="0" t="0" r="0" b="0"/>
                      <wp:wrapNone/>
                      <wp:docPr id="127" name="Frame126"/>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59105" cy="175260"/>
                      <wp:effectExtent l="0" t="0" r="0" b="0"/>
                      <wp:wrapNone/>
                      <wp:docPr id="128" name="Frame127"/>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54965" cy="175260"/>
                      <wp:effectExtent l="0" t="0" r="0" b="0"/>
                      <wp:wrapNone/>
                      <wp:docPr id="129" name="Frame128"/>
                      <a:graphic xmlns:a="http://schemas.openxmlformats.org/drawingml/2006/main">
                        <a:graphicData uri="http://schemas.microsoft.com/office/word/2010/wordprocessingShape">
                          <wps:wsp>
                            <wps:cNvSpPr txBox="1"/>
                            <wps:spPr>
                              <a:xfrm>
                                <a:off x="0" y="0"/>
                                <a:ext cx="354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29870" cy="175260"/>
                      <wp:effectExtent l="0" t="0" r="0" b="0"/>
                      <wp:wrapNone/>
                      <wp:docPr id="130" name="Frame129"/>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59105" cy="175260"/>
                      <wp:effectExtent l="0" t="0" r="0" b="0"/>
                      <wp:wrapNone/>
                      <wp:docPr id="131" name="Frame13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45110" cy="175260"/>
                      <wp:effectExtent l="0" t="0" r="0" b="0"/>
                      <wp:wrapNone/>
                      <wp:docPr id="132" name="Frame131"/>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4945" cy="175260"/>
                      <wp:effectExtent l="0" t="0" r="0" b="0"/>
                      <wp:wrapNone/>
                      <wp:docPr id="133" name="Frame132"/>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88620" cy="175260"/>
                      <wp:effectExtent l="0" t="0" r="0" b="0"/>
                      <wp:wrapNone/>
                      <wp:docPr id="134" name="Frame133"/>
                      <a:graphic xmlns:a="http://schemas.openxmlformats.org/drawingml/2006/main">
                        <a:graphicData uri="http://schemas.microsoft.com/office/word/2010/wordprocessingShape">
                          <wps:wsp>
                            <wps:cNvSpPr txBox="1"/>
                            <wps:spPr>
                              <a:xfrm>
                                <a:off x="0" y="0"/>
                                <a:ext cx="388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300990" cy="175260"/>
                      <wp:effectExtent l="0" t="0" r="0" b="0"/>
                      <wp:wrapNone/>
                      <wp:docPr id="135" name="Frame134"/>
                      <a:graphic xmlns:a="http://schemas.openxmlformats.org/drawingml/2006/main">
                        <a:graphicData uri="http://schemas.microsoft.com/office/word/2010/wordprocessingShape">
                          <wps:wsp>
                            <wps:cNvSpPr txBox="1"/>
                            <wps:spPr>
                              <a:xfrm>
                                <a:off x="0" y="0"/>
                                <a:ext cx="300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94945" cy="175260"/>
                      <wp:effectExtent l="0" t="0" r="0" b="0"/>
                      <wp:wrapNone/>
                      <wp:docPr id="136" name="Frame135"/>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24840" cy="175260"/>
                      <wp:effectExtent l="0" t="0" r="0" b="0"/>
                      <wp:wrapNone/>
                      <wp:docPr id="137" name="Frame136"/>
                      <a:graphic xmlns:a="http://schemas.openxmlformats.org/drawingml/2006/main">
                        <a:graphicData uri="http://schemas.microsoft.com/office/word/2010/wordprocessingShape">
                          <wps:wsp>
                            <wps:cNvSpPr txBox="1"/>
                            <wps:spPr>
                              <a:xfrm>
                                <a:off x="0" y="0"/>
                                <a:ext cx="624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w:t>
            </w:r>
          </w:p>
        </w:tc>
        <w:tc>
          <w:tcPr>
            <w:tcW w:w="272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 </w:t>
            </w:r>
          </w:p>
        </w:tc>
        <w:tc>
          <w:tcPr>
            <w:tcW w:w="386" w:type="dxa"/>
            <w:tcBorders/>
            <w:vAlign w:val="center"/>
          </w:tcPr>
          <w:p>
            <w:pPr>
              <w:pStyle w:val="TableContents"/>
              <w:bidi w:val="0"/>
              <w:spacing w:before="0" w:after="0"/>
              <w:ind w:left="0" w:right="0" w:hanging="0"/>
              <w:jc w:val="center"/>
              <w:rPr/>
            </w:pPr>
            <w:r>
              <w:rPr/>
              <w:t>    </w:t>
            </w:r>
          </w:p>
        </w:tc>
        <w:tc>
          <w:tcPr>
            <w:tcW w:w="268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r>
      <w:tr>
        <w:trPr/>
        <w:tc>
          <w:tcPr>
            <w:tcW w:w="231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 xml:space="preserve">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59" w:type="dxa"/>
            <w:tcBorders/>
            <w:vAlign w:val="center"/>
          </w:tcPr>
          <w:p>
            <w:pPr>
              <w:pStyle w:val="TableContents"/>
              <w:bidi w:val="0"/>
              <w:spacing w:before="0" w:after="0"/>
              <w:ind w:left="0" w:right="0" w:hanging="0"/>
              <w:jc w:val="center"/>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86" w:type="dxa"/>
            <w:tcBorders/>
            <w:vAlign w:val="center"/>
          </w:tcPr>
          <w:p>
            <w:pPr>
              <w:pStyle w:val="TableContents"/>
              <w:bidi w:val="0"/>
              <w:spacing w:before="0" w:after="0"/>
              <w:ind w:left="0" w:right="0" w:hanging="0"/>
              <w:jc w:val="center"/>
              <w:rPr/>
            </w:pPr>
            <w:r>
              <w:rPr/>
              <w:t xml:space="preserve">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74" w:type="dxa"/>
            <w:tcBorders/>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8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559"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c>
          <w:tcPr>
            <w:tcW w:w="38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474"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86"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559"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 </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8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6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474"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9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86"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559"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w:t>
            </w:r>
          </w:p>
        </w:tc>
        <w:tc>
          <w:tcPr>
            <w:tcW w:w="38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6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w:t>
            </w:r>
          </w:p>
        </w:tc>
        <w:tc>
          <w:tcPr>
            <w:tcW w:w="474"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86"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59" w:type="dxa"/>
            <w:tcBorders/>
            <w:vAlign w:val="center"/>
          </w:tcPr>
          <w:p>
            <w:pPr>
              <w:pStyle w:val="TableContents"/>
              <w:bidi w:val="0"/>
              <w:spacing w:before="0" w:after="0"/>
              <w:ind w:left="0" w:right="0" w:hanging="0"/>
              <w:jc w:val="left"/>
              <w:rPr/>
            </w:pPr>
            <w:r>
              <w:rPr/>
              <w:t>​</w:t>
            </w:r>
          </w:p>
        </w:tc>
        <w:tc>
          <w:tcPr>
            <w:tcW w:w="36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86"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474" w:type="dxa"/>
            <w:tcBorders/>
            <w:vAlign w:val="center"/>
          </w:tcPr>
          <w:p>
            <w:pPr>
              <w:pStyle w:val="TableContents"/>
              <w:bidi w:val="0"/>
              <w:spacing w:before="0" w:after="0"/>
              <w:ind w:left="0" w:right="0" w:hanging="0"/>
              <w:jc w:val="left"/>
              <w:rPr/>
            </w:pPr>
            <w:r>
              <w:rPr/>
              <w:t>​</w:t>
            </w:r>
          </w:p>
        </w:tc>
        <w:tc>
          <w:tcPr>
            <w:tcW w:w="30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86"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559"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86"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474" w:type="dxa"/>
            <w:tcBorders/>
            <w:shd w:fill="CCEEFF" w:val="clear"/>
            <w:vAlign w:val="center"/>
          </w:tcPr>
          <w:p>
            <w:pPr>
              <w:pStyle w:val="TableContents"/>
              <w:bidi w:val="0"/>
              <w:spacing w:before="0" w:after="0"/>
              <w:ind w:left="0" w:right="0" w:hanging="0"/>
              <w:jc w:val="left"/>
              <w:rPr/>
            </w:pPr>
            <w:r>
              <w:rPr/>
              <w:t>​</w:t>
            </w:r>
          </w:p>
        </w:tc>
        <w:tc>
          <w:tcPr>
            <w:tcW w:w="30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Warrant Liability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March 2023, the Company issued 412,500 warrants to purchase up to 412,500 shares of its common stock. The 2023 Warrants have a six-year term and were exercisable upon issuance on March 28, 2023. Each 2023 Warrant was initially exercisable for one share of the Company’s common stock at a price of $8.00 per share. As of September 30, 2024, the exercise price was adjusted to $0.56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Program, the “Exercise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 million. As of September 30, 2024, all 2023 Warrants were outstanding. As of September 30, 2024, the fair value of the warrant liability was $0.2 million. The Company recorded a change in fair value of the warrant liability of $0.2 million and $0.4 million for the three and nine months ended September 30, 2024, respectively. The Company recorded a change in fair value of the warrant liability of $0.8 million and $2.7 million for the three and nine months ended September 30, 2023, respectively.</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2" w:name="Tc_D4EiZgQDgUipg4_tri_NVg_6_5"/>
      <w:bookmarkStart w:id="963" w:name="Tc_hIEtJQI12026svPAZGzNAA_6_2"/>
      <w:bookmarkStart w:id="964" w:name="Tc_6jNUpk72mEGgYsslV1dIjQ_6_0"/>
      <w:bookmarkStart w:id="965" w:name="Tc_j5H1EjUOnUKHzrPpGVKitQ_5_0"/>
      <w:bookmarkStart w:id="966" w:name="Tc_l4eQqAw850uYPNnMr38D8Q_4_3"/>
      <w:bookmarkStart w:id="967" w:name="Tc_7f1Emw3UDUGNxY_uj1zB3w_4_0"/>
      <w:bookmarkStart w:id="968" w:name="Tc_wKqhNfojr0WbAnRObZGMSQ_3_6"/>
      <w:bookmarkStart w:id="969" w:name="Tc_Xuzf_RS6qEO2F0osNvK2fw_3_5"/>
      <w:bookmarkStart w:id="970" w:name="Tc_JASMC51q70WQ_VeIdgHJ9A_3_2"/>
      <w:bookmarkStart w:id="971" w:name="Tc__UewRhpY1EaaOS4_Fst7PA_3_0"/>
      <w:bookmarkStart w:id="972" w:name="Tc_j7T_mHnKTUyIK4ZeaDBlqA_2_5"/>
      <w:bookmarkStart w:id="973" w:name="Tc_SrIOU-hA_USCPCzF4bx3Wg_2_2"/>
      <w:bookmarkStart w:id="974" w:name="Tc_6dqQklCJuUGGUXN9P_5CVw_1_2"/>
      <w:bookmarkStart w:id="975" w:name="Tc_H8it5ar7MkeRAkn131Om1Q_8_19"/>
      <w:bookmarkStart w:id="976" w:name="Tc_45UTl_Y83U-j__sKomncqQ_8_16"/>
      <w:bookmarkStart w:id="977" w:name="Tc_roqC1S1_80qxRzFV-A2AHg_8_13"/>
      <w:bookmarkStart w:id="978" w:name="Tc_5eCk7_bsPkSUqtEaCSGbKA_8_10"/>
      <w:bookmarkStart w:id="979" w:name="Tc_VLQLAE2xH0aCuXoCCXnexw_8_7"/>
      <w:bookmarkStart w:id="980" w:name="Tc_aBqYoXH4C0OOtb3L_8fIug_8_4"/>
      <w:bookmarkStart w:id="981" w:name="Tc_5I0ESVkKX0axlSSYaC4GUA_8_0"/>
      <w:bookmarkStart w:id="982" w:name="Tc_TPzxHfd4VEuPjwabxrn_rA_7_19"/>
      <w:bookmarkStart w:id="983" w:name="Tc_970Zb1WMDkWcbdq4zmyPOg_7_16"/>
      <w:bookmarkStart w:id="984" w:name="Tc_5zNZeKnvE0-wJB6eELSZ5A_7_13"/>
      <w:bookmarkStart w:id="985" w:name="Tc_fTTKmrbg6UmuH24pWlw_eA_7_10"/>
      <w:bookmarkStart w:id="986" w:name="Tc_vQrgVzutVUeOPAF33xcp9w_7_7"/>
      <w:bookmarkStart w:id="987" w:name="Tc_RQISXex_5EWaPi-6obQPCQ_7_4"/>
      <w:bookmarkStart w:id="988" w:name="Tc_DcB5F4mpcUCkHiRYylve2A_7_0"/>
      <w:bookmarkStart w:id="989" w:name="Tc_2zonAbyrzUK49xRSjppMTA_6_19"/>
      <w:bookmarkStart w:id="990" w:name="Tc_eRcPS_n8f0GM2RwTf62alA_6_16"/>
      <w:bookmarkStart w:id="991" w:name="Tc_xclQOGmriU2DBoV2bYSWow_6_13"/>
      <w:bookmarkStart w:id="992" w:name="Tc_kERujQwG9EGVjoAv1r0pJw_6_10"/>
      <w:bookmarkStart w:id="993" w:name="Tc_jU0O7V8bm0CEtlT-kTo6yw_6_7"/>
      <w:bookmarkStart w:id="994" w:name="Tc_WO85JRJCMki3iYJRuaUA5w_6_4"/>
      <w:bookmarkStart w:id="995" w:name="Tc_yvvBhERFiEWRJV5OhDPcNQ_6_0"/>
      <w:bookmarkStart w:id="996" w:name="Tc_VLj-QzSjGkizDdP9BWFGXQ_5_0"/>
      <w:bookmarkStart w:id="997" w:name="Tc_f5ZVMbM1TEGt1--KEgnrzQ_4_17"/>
      <w:bookmarkStart w:id="998" w:name="Tc_afTCLzmyVkucToGODBrHQw_4_14"/>
      <w:bookmarkStart w:id="999" w:name="Tc_I3ozvk0zNEGnwRy0l464Pg_4_11"/>
      <w:bookmarkStart w:id="1000" w:name="Tc___y6gN-1i0-Tu0argqc5og_4_8"/>
      <w:bookmarkStart w:id="1001" w:name="Tc_D7EcxkgIZkWlAjOtD250Vg_4_5"/>
      <w:bookmarkStart w:id="1002" w:name="Tc_BgJx7cCuiEG9F_TfQIznOg_4_2"/>
      <w:bookmarkStart w:id="1003" w:name="Tc_46QnBZGEsU-7-Wy7DXbuaA_4_0"/>
      <w:bookmarkStart w:id="1004" w:name="Tc_aaTHjK5FBk-7d4F3oS0sEg_3_17"/>
      <w:bookmarkStart w:id="1005" w:name="Tc_3gzyi8dylkS4W7Ilpy1mJA_3_14"/>
      <w:bookmarkStart w:id="1006" w:name="Tc_rFfiYGygLEK7v0NtFQs-fg_3_11"/>
      <w:bookmarkStart w:id="1007" w:name="Tc_SXgd7lGVp0iYhqrExGSHLw_3_8"/>
      <w:bookmarkStart w:id="1008" w:name="Tc_lMyWqhx560yEWThQBmVdAQ_3_5"/>
      <w:bookmarkStart w:id="1009" w:name="Tc_Huqg7UsMZESp2I8J5p0vfQ_3_2"/>
      <w:bookmarkStart w:id="1010" w:name="Tc_fby4sBfZ2EKtQcW4FKdGjA_3_0"/>
      <w:bookmarkStart w:id="1011" w:name="Tc_FfdMkBe6sk6C3W7HUNenhg_2_17"/>
      <w:bookmarkStart w:id="1012" w:name="Tc_iUReHWHXp0e2JXq0QE_asA_2_14"/>
      <w:bookmarkStart w:id="1013" w:name="Tc_6cViXV93pkG6y-aYp4_xvg_2_11"/>
      <w:bookmarkStart w:id="1014" w:name="Tc_FmAo07k4m0e21RXHrgeWGg_2_8"/>
      <w:bookmarkStart w:id="1015" w:name="Tc__1skxHvY5USAhpqdS96PEQ_2_5"/>
      <w:bookmarkStart w:id="1016" w:name="Tc_t8pXCHQwkky2eEcGrgtnMQ_2_2"/>
      <w:bookmarkStart w:id="1017" w:name="Tc_agxQIJ7vGkqItP8u_nwP3Q_1_17"/>
      <w:bookmarkStart w:id="1018" w:name="Tc_R5AHwA9Xuk2FsbbTqbgGzQ_1_14"/>
      <w:bookmarkStart w:id="1019" w:name="Tc_IcgF0qE_cUmflzzL5s_BFg_1_11"/>
      <w:bookmarkStart w:id="1020" w:name="Tc_JrpKGwH6NkqrzWAsgLuHrA_1_8"/>
      <w:bookmarkStart w:id="1021" w:name="Tc_KXFcSuk_7U6fxkYAEmiBdQ_1_5"/>
      <w:bookmarkStart w:id="1022" w:name="Tc_b0GlDaDm3EmEZJU9S-zmOw_1_2"/>
      <w:bookmarkStart w:id="1023" w:name="_e7cdf219_1040_402f_95f9_f97636ee89cb_3"/>
      <w:bookmarkStart w:id="1024" w:name="_e7cdf219_1040_402f_95f9_f97636ee89cb_2"/>
      <w:bookmarkStart w:id="1025" w:name="_e7cdf219_1040_402f_95f9_f97636ee89cb"/>
      <w:bookmarkStart w:id="1026" w:name="_d11abbee_a041_4811_b172_3b7b57603a67_3"/>
      <w:bookmarkStart w:id="1027" w:name="_d11abbee_a041_4811_b172_3b7b57603a67_2"/>
      <w:bookmarkStart w:id="1028" w:name="_d11abbee_a041_4811_b172_3b7b57603a67"/>
      <w:bookmarkStart w:id="1029" w:name="_b56d9a48_a4db_4458_9a5c_350f767d0bfd_3"/>
      <w:bookmarkStart w:id="1030" w:name="_b56d9a48_a4db_4458_9a5c_350f767d0bfd_2"/>
      <w:bookmarkStart w:id="1031" w:name="_b56d9a48_a4db_4458_9a5c_350f767d0bfd"/>
      <w:bookmarkStart w:id="1032" w:name="_757d99f6_1eab_410c_a69f_bb4d887445dd_3"/>
      <w:bookmarkStart w:id="1033" w:name="_757d99f6_1eab_410c_a69f_bb4d887445dd_2"/>
      <w:bookmarkStart w:id="1034" w:name="_757d99f6_1eab_410c_a69f_bb4d887445dd"/>
      <w:bookmarkStart w:id="1035" w:name="_5bfe7b22_f89a_48f3_9a23_f33aef0ee944_3"/>
      <w:bookmarkStart w:id="1036" w:name="_5bfe7b22_f89a_48f3_9a23_f33aef0ee944_2"/>
      <w:bookmarkStart w:id="1037" w:name="_5bfe7b22_f89a_48f3_9a23_f33aef0ee944"/>
      <w:bookmarkStart w:id="1038" w:name="Tc_6LnaL7lbLUC3zRJLLiagaQ_6_11"/>
      <w:bookmarkStart w:id="1039" w:name="Tc_Iqs9ehxiDkyZlxYot0kuPQ_6_8"/>
      <w:bookmarkStart w:id="1040" w:name="Tc_0i9rZGli00idwLcBeIC5eg_6_6"/>
      <w:bookmarkStart w:id="1041" w:name="Tc_bbzJBa6ws0mMA5vqHnNflQ_6_5"/>
      <w:bookmarkStart w:id="1042" w:name="Tc_8yBYHeCe4EaN3YT5W0eEMQ_6_3"/>
      <w:bookmarkStart w:id="1043" w:name="Tc_j_xUrqQ0lUOh6jjRb3DjSw_6_2"/>
      <w:bookmarkStart w:id="1044" w:name="Tc_zvIpcM-wXUySf-jLJzDB-g_6_0"/>
      <w:bookmarkStart w:id="1045" w:name="Tc_3MsE3YEx6kC_tzLD8WWJlg_5_0"/>
      <w:bookmarkStart w:id="1046" w:name="Tc_wWR33TDkwkG_tHzQzoC_bw_4_11"/>
      <w:bookmarkStart w:id="1047" w:name="Tc_lUilxgB3nkyiy0jcF6hg8Q_4_9"/>
      <w:bookmarkStart w:id="1048" w:name="Tc_LbxOl7Jtr0qPcpwaWFp33Q_4_8"/>
      <w:bookmarkStart w:id="1049" w:name="Tc_Wy23-7eMmk6ngmxmat9hbA_4_6"/>
      <w:bookmarkStart w:id="1050" w:name="Tc_qRJGuwF_dUykPnbVSuVTZQ_4_5"/>
      <w:bookmarkStart w:id="1051" w:name="Tc_1oVxQ9qGNU-89_vHciXBeQ_4_2"/>
      <w:bookmarkStart w:id="1052" w:name="Tc_en1rFnvQXEKy1sFnhvYXCw_4_0"/>
      <w:bookmarkStart w:id="1053" w:name="Tc_icGW_XxHU0KbXplL3PnBBA_3_0"/>
      <w:bookmarkStart w:id="1054" w:name="Tc_g79f5laRykGqoMbcULi8TA_2_11"/>
      <w:bookmarkStart w:id="1055" w:name="Tc_k0qrJ0BkGUaBivAIN8xpyQ_2_8"/>
      <w:bookmarkStart w:id="1056" w:name="Tc_V-bPuf1ZxEytUlwia6hNAg_2_5"/>
      <w:bookmarkStart w:id="1057" w:name="Tc_Sras2waAvUih-QUeGr9sqQ_2_2"/>
      <w:bookmarkStart w:id="1058" w:name="Tc_hj_LGr59r0-OkRNd82YdLg_1_2"/>
      <w:bookmarkStart w:id="1059" w:name="_e74f4021_925c_406b_94e9_331066b8cb9f"/>
      <w:bookmarkStart w:id="1060" w:name="Tc_t4dwA2xIBEqdXR_HFIOxxw_6_11"/>
      <w:bookmarkStart w:id="1061" w:name="Tc_4YZ24NqZf0G9-Twl4OSPJg_6_8"/>
      <w:bookmarkStart w:id="1062" w:name="Tc_GA_M1aEg4kSO0uwl0AAd0g_6_6"/>
      <w:bookmarkStart w:id="1063" w:name="Tc_f6gsQ2NIUEClUWkA2rcS3w_6_5"/>
      <w:bookmarkStart w:id="1064" w:name="Tc_gN12WI4nf0q9SietyH96ew_6_3"/>
      <w:bookmarkStart w:id="1065" w:name="Tc_fUA0eenz5UmUq3ob6bAd_Q_6_2"/>
      <w:bookmarkStart w:id="1066" w:name="Tc_cwWHZpsQjU2LNRKL-lcW4Q_6_0"/>
      <w:bookmarkStart w:id="1067" w:name="Tc_dFehWWq0M0ymogafZzEo4w_5_0"/>
      <w:bookmarkStart w:id="1068" w:name="Tc_UHJ5I-RSpkeCb7LckQq5GA_4_11"/>
      <w:bookmarkStart w:id="1069" w:name="Tc_0Z_4kos51kalxyBGes-QmA_4_9"/>
      <w:bookmarkStart w:id="1070" w:name="Tc_wkdnRCCTGkSiQFCc8iTlWQ_4_8"/>
      <w:bookmarkStart w:id="1071" w:name="Tc_CjB0ZQgrV0yix4Wv1z_8mA_4_6"/>
      <w:bookmarkStart w:id="1072" w:name="Tc_ZlQIW-aQZ0GOFpElrUrLHA_4_5"/>
      <w:bookmarkStart w:id="1073" w:name="Tc_acRWI67UmkC0vPLqiiuUzQ_4_2"/>
      <w:bookmarkStart w:id="1074" w:name="Tc_3XpY0BfScUyXwQzrA1PVbA_4_0"/>
      <w:bookmarkStart w:id="1075" w:name="Tc_v6Fa8-BTwUaaqX2Ici1iBA_3_0"/>
      <w:bookmarkStart w:id="1076" w:name="Tc_z5pG9IKrpUq0vzy6bUHVHw_2_11"/>
      <w:bookmarkStart w:id="1077" w:name="Tc_jyKjrJwdpUKQlhbIkQzeNw_2_8"/>
      <w:bookmarkStart w:id="1078" w:name="Tc_7I5DBur4kUqZTk99zohXLQ_2_5"/>
      <w:bookmarkStart w:id="1079" w:name="Tc_sbaaQ50iZEyj5vGqDAm1Rg_2_2"/>
      <w:bookmarkStart w:id="1080" w:name="Tc_6pYUFIq5KEmyhppcE99srA_1_2"/>
      <w:bookmarkStart w:id="1081" w:name="_b711a831_d0dd_4494_b794_eeaa935a9779"/>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Pr>
          <w:rFonts w:ascii="Times New Roman;Times;serif" w:hAnsi="Times New Roman;Times;serif"/>
          <w:b/>
          <w:sz w:val="20"/>
        </w:rPr>
        <w:t>Note 10 – Fair Value Measurements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information about the Company’s assets and liabilities that are measured at fair value on a recurring basis as of September 30, 2024 and December 31, 2023 and indicate the fair value hierarchy of the valuation inputs utilized to determine such fair value (in thousands):</w:t>
      </w:r>
    </w:p>
    <w:p>
      <w:pPr>
        <w:pStyle w:val="TextBody"/>
        <w:bidi w:val="0"/>
        <w:spacing w:before="0" w:after="0"/>
        <w:ind w:left="0" w:right="0" w:hanging="0"/>
        <w:jc w:val="left"/>
        <w:rPr/>
      </w:pPr>
      <w:r>
        <w:rPr/>
        <w:t>​</w:t>
      </w:r>
    </w:p>
    <w:tbl>
      <w:tblPr>
        <w:tblW w:w="5691" w:type="dxa"/>
        <w:jc w:val="left"/>
        <w:tblInd w:w="0" w:type="dxa"/>
        <w:tblLayout w:type="fixed"/>
        <w:tblCellMar>
          <w:top w:w="0" w:type="dxa"/>
          <w:left w:w="0" w:type="dxa"/>
          <w:bottom w:w="0" w:type="dxa"/>
          <w:right w:w="0" w:type="dxa"/>
        </w:tblCellMar>
      </w:tblPr>
      <w:tblGrid>
        <w:gridCol w:w="1516"/>
        <w:gridCol w:w="326"/>
        <w:gridCol w:w="211"/>
        <w:gridCol w:w="571"/>
        <w:gridCol w:w="326"/>
        <w:gridCol w:w="239"/>
        <w:gridCol w:w="391"/>
        <w:gridCol w:w="326"/>
        <w:gridCol w:w="211"/>
        <w:gridCol w:w="421"/>
        <w:gridCol w:w="326"/>
        <w:gridCol w:w="211"/>
        <w:gridCol w:w="616"/>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62660" cy="175260"/>
                      <wp:effectExtent l="0" t="0" r="0" b="0"/>
                      <wp:wrapNone/>
                      <wp:docPr id="138" name="Frame13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62585" cy="175260"/>
                      <wp:effectExtent l="0" t="0" r="0" b="0"/>
                      <wp:wrapNone/>
                      <wp:docPr id="141" name="Frame14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51765" cy="175260"/>
                      <wp:effectExtent l="0" t="0" r="0" b="0"/>
                      <wp:wrapNone/>
                      <wp:docPr id="143" name="Frame14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48285" cy="175260"/>
                      <wp:effectExtent l="0" t="0" r="0" b="0"/>
                      <wp:wrapNone/>
                      <wp:docPr id="144" name="Frame14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67335" cy="175260"/>
                      <wp:effectExtent l="0" t="0" r="0" b="0"/>
                      <wp:wrapNone/>
                      <wp:docPr id="147" name="Frame14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9"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91160" cy="175260"/>
                      <wp:effectExtent l="0" t="0" r="0" b="0"/>
                      <wp:wrapNone/>
                      <wp:docPr id="150" name="Frame149"/>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84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as of September 30, 2024</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center"/>
              <w:rPr/>
            </w:pPr>
            <w:r>
              <w:rPr/>
              <w:t>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9"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  </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 </w:t>
            </w:r>
          </w:p>
        </w:tc>
        <w:tc>
          <w:tcPr>
            <w:tcW w:w="3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w:t>
            </w:r>
          </w:p>
        </w:tc>
      </w:tr>
    </w:tbl>
    <w:p>
      <w:pPr>
        <w:pStyle w:val="TextBody"/>
        <w:bidi w:val="0"/>
        <w:spacing w:before="0" w:after="0"/>
        <w:ind w:left="0" w:right="0" w:hanging="0"/>
        <w:jc w:val="center"/>
        <w:rPr/>
      </w:pPr>
      <w:r>
        <w:rPr/>
        <w:t>​</w:t>
      </w:r>
    </w:p>
    <w:tbl>
      <w:tblPr>
        <w:tblW w:w="5901" w:type="dxa"/>
        <w:jc w:val="left"/>
        <w:tblInd w:w="0" w:type="dxa"/>
        <w:tblLayout w:type="fixed"/>
        <w:tblCellMar>
          <w:top w:w="0" w:type="dxa"/>
          <w:left w:w="0" w:type="dxa"/>
          <w:bottom w:w="0" w:type="dxa"/>
          <w:right w:w="0" w:type="dxa"/>
        </w:tblCellMar>
      </w:tblPr>
      <w:tblGrid>
        <w:gridCol w:w="1516"/>
        <w:gridCol w:w="326"/>
        <w:gridCol w:w="211"/>
        <w:gridCol w:w="676"/>
        <w:gridCol w:w="326"/>
        <w:gridCol w:w="239"/>
        <w:gridCol w:w="391"/>
        <w:gridCol w:w="326"/>
        <w:gridCol w:w="211"/>
        <w:gridCol w:w="421"/>
        <w:gridCol w:w="326"/>
        <w:gridCol w:w="211"/>
        <w:gridCol w:w="72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62660" cy="175260"/>
                      <wp:effectExtent l="0" t="0" r="0" b="0"/>
                      <wp:wrapNone/>
                      <wp:docPr id="151" name="Frame150"/>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1765" cy="175260"/>
                      <wp:effectExtent l="0" t="0" r="0" b="0"/>
                      <wp:wrapNone/>
                      <wp:docPr id="156" name="Frame155"/>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48285" cy="175260"/>
                      <wp:effectExtent l="0" t="0" r="0" b="0"/>
                      <wp:wrapNone/>
                      <wp:docPr id="157" name="Frame15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67335" cy="175260"/>
                      <wp:effectExtent l="0" t="0" r="0" b="0"/>
                      <wp:wrapNone/>
                      <wp:docPr id="160" name="Frame15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57835" cy="175260"/>
                      <wp:effectExtent l="0" t="0" r="0" b="0"/>
                      <wp:wrapNone/>
                      <wp:docPr id="163" name="Frame16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059"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Balance as of December 31, 2023</w:t>
            </w:r>
          </w:p>
        </w:tc>
      </w:tr>
      <w:tr>
        <w:trPr/>
        <w:tc>
          <w:tcPr>
            <w:tcW w:w="151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39"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12,567</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12,567</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 </w:t>
            </w:r>
          </w:p>
        </w:tc>
        <w:tc>
          <w:tcPr>
            <w:tcW w:w="39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pPr>
            <w:r>
              <w:rPr/>
              <w:t>  </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620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transfers among Level 1, Level 2, or Level 3 categories during the periods presented.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2023 Warrants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key inputs into the Monte Carlo simulation model for the 2023 Warrants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29"/>
        <w:gridCol w:w="326"/>
        <w:gridCol w:w="418"/>
        <w:gridCol w:w="927"/>
        <w:gridCol w:w="361"/>
        <w:gridCol w:w="288"/>
        <w:gridCol w:w="637"/>
        <w:gridCol w:w="361"/>
        <w:gridCol w:w="302"/>
        <w:gridCol w:w="668"/>
        <w:gridCol w:w="361"/>
        <w:gridCol w:w="418"/>
        <w:gridCol w:w="927"/>
        <w:gridCol w:w="361"/>
        <w:gridCol w:w="288"/>
        <w:gridCol w:w="637"/>
        <w:gridCol w:w="361"/>
        <w:gridCol w:w="276"/>
        <w:gridCol w:w="747"/>
        <w:gridCol w:w="412"/>
      </w:tblGrid>
      <w:tr>
        <w:trPr/>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716915" cy="175260"/>
                      <wp:effectExtent l="0" t="0" r="0" b="0"/>
                      <wp:wrapNone/>
                      <wp:docPr id="164" name="Frame163"/>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65430" cy="175260"/>
                      <wp:effectExtent l="0" t="0" r="0" b="0"/>
                      <wp:wrapNone/>
                      <wp:docPr id="166" name="Frame165"/>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88645" cy="175260"/>
                      <wp:effectExtent l="0" t="0" r="0" b="0"/>
                      <wp:wrapNone/>
                      <wp:docPr id="167" name="Frame166"/>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8"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2880" cy="175260"/>
                      <wp:effectExtent l="0" t="0" r="0" b="0"/>
                      <wp:wrapNone/>
                      <wp:docPr id="169" name="Frame168"/>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04495" cy="175260"/>
                      <wp:effectExtent l="0" t="0" r="0" b="0"/>
                      <wp:wrapNone/>
                      <wp:docPr id="170" name="Frame169"/>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29235" cy="175260"/>
                      <wp:effectExtent l="0" t="0" r="0" b="0"/>
                      <wp:wrapNone/>
                      <wp:docPr id="171" name="Frame1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1770" cy="175260"/>
                      <wp:effectExtent l="0" t="0" r="0" b="0"/>
                      <wp:wrapNone/>
                      <wp:docPr id="172" name="Frame171"/>
                      <a:graphic xmlns:a="http://schemas.openxmlformats.org/drawingml/2006/main">
                        <a:graphicData uri="http://schemas.microsoft.com/office/word/2010/wordprocessingShape">
                          <wps:wsp>
                            <wps:cNvSpPr txBox="1"/>
                            <wps:spPr>
                              <a:xfrm>
                                <a:off x="0" y="0"/>
                                <a:ext cx="19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4180" cy="175260"/>
                      <wp:effectExtent l="0" t="0" r="0" b="0"/>
                      <wp:wrapNone/>
                      <wp:docPr id="173" name="Frame172"/>
                      <a:graphic xmlns:a="http://schemas.openxmlformats.org/drawingml/2006/main">
                        <a:graphicData uri="http://schemas.microsoft.com/office/word/2010/wordprocessingShape">
                          <wps:wsp>
                            <wps:cNvSpPr txBox="1"/>
                            <wps:spPr>
                              <a:xfrm>
                                <a:off x="0" y="0"/>
                                <a:ext cx="424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9235" cy="175260"/>
                      <wp:effectExtent l="0" t="0" r="0" b="0"/>
                      <wp:wrapNone/>
                      <wp:docPr id="174" name="Frame17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65430" cy="175260"/>
                      <wp:effectExtent l="0" t="0" r="0" b="0"/>
                      <wp:wrapNone/>
                      <wp:docPr id="175" name="Frame174"/>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588645" cy="175260"/>
                      <wp:effectExtent l="0" t="0" r="0" b="0"/>
                      <wp:wrapNone/>
                      <wp:docPr id="176" name="Frame175"/>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29235" cy="175260"/>
                      <wp:effectExtent l="0" t="0" r="0" b="0"/>
                      <wp:wrapNone/>
                      <wp:docPr id="177" name="Frame17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82880" cy="175260"/>
                      <wp:effectExtent l="0" t="0" r="0" b="0"/>
                      <wp:wrapNone/>
                      <wp:docPr id="178" name="Frame177"/>
                      <a:graphic xmlns:a="http://schemas.openxmlformats.org/drawingml/2006/main">
                        <a:graphicData uri="http://schemas.microsoft.com/office/word/2010/wordprocessingShape">
                          <wps:wsp>
                            <wps:cNvSpPr txBox="1"/>
                            <wps:spPr>
                              <a:xfrm>
                                <a:off x="0" y="0"/>
                                <a:ext cx="182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404495" cy="175260"/>
                      <wp:effectExtent l="0" t="0" r="0" b="0"/>
                      <wp:wrapNone/>
                      <wp:docPr id="179" name="Frame178"/>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29235" cy="175260"/>
                      <wp:effectExtent l="0" t="0" r="0" b="0"/>
                      <wp:wrapNone/>
                      <wp:docPr id="180" name="Frame17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5260" cy="175260"/>
                      <wp:effectExtent l="0" t="0" r="0" b="0"/>
                      <wp:wrapNone/>
                      <wp:docPr id="181" name="Frame180"/>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74345" cy="175260"/>
                      <wp:effectExtent l="0" t="0" r="0" b="0"/>
                      <wp:wrapNone/>
                      <wp:docPr id="182" name="Frame181"/>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61620" cy="175260"/>
                      <wp:effectExtent l="0" t="0" r="0" b="0"/>
                      <wp:wrapNone/>
                      <wp:docPr id="183" name="Frame182"/>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61" w:type="dxa"/>
            <w:tcBorders/>
            <w:vAlign w:val="center"/>
          </w:tcPr>
          <w:p>
            <w:pPr>
              <w:pStyle w:val="TableContents"/>
              <w:bidi w:val="0"/>
              <w:spacing w:before="0" w:after="1"/>
              <w:ind w:left="0" w:right="0" w:hanging="0"/>
              <w:jc w:val="left"/>
              <w:rPr/>
            </w:pPr>
            <w:r>
              <w:rPr/>
              <w:t>​</w:t>
            </w:r>
          </w:p>
        </w:tc>
        <w:tc>
          <w:tcPr>
            <w:tcW w:w="9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June 30, </w:t>
            </w:r>
          </w:p>
        </w:tc>
        <w:tc>
          <w:tcPr>
            <w:tcW w:w="361" w:type="dxa"/>
            <w:tcBorders/>
            <w:vAlign w:val="center"/>
          </w:tcPr>
          <w:p>
            <w:pPr>
              <w:pStyle w:val="TableContents"/>
              <w:bidi w:val="0"/>
              <w:spacing w:before="0" w:after="1"/>
              <w:ind w:left="0" w:right="0" w:hanging="0"/>
              <w:jc w:val="left"/>
              <w:rPr/>
            </w:pPr>
            <w:r>
              <w:rPr/>
              <w:t>​</w:t>
            </w:r>
          </w:p>
        </w:tc>
        <w:tc>
          <w:tcPr>
            <w:tcW w:w="97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361" w:type="dxa"/>
            <w:tcBorders/>
            <w:vAlign w:val="center"/>
          </w:tcPr>
          <w:p>
            <w:pPr>
              <w:pStyle w:val="TableContents"/>
              <w:bidi w:val="0"/>
              <w:spacing w:before="0" w:after="1"/>
              <w:ind w:left="0" w:right="0" w:hanging="0"/>
              <w:jc w:val="left"/>
              <w:rPr/>
            </w:pPr>
            <w:r>
              <w:rPr/>
              <w:t>    </w:t>
            </w:r>
          </w:p>
        </w:tc>
        <w:tc>
          <w:tcPr>
            <w:tcW w:w="134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September 30, </w:t>
            </w:r>
          </w:p>
        </w:tc>
        <w:tc>
          <w:tcPr>
            <w:tcW w:w="361" w:type="dxa"/>
            <w:tcBorders/>
            <w:vAlign w:val="center"/>
          </w:tcPr>
          <w:p>
            <w:pPr>
              <w:pStyle w:val="TableContents"/>
              <w:bidi w:val="0"/>
              <w:spacing w:before="0" w:after="1"/>
              <w:ind w:left="0" w:right="0" w:hanging="0"/>
              <w:jc w:val="left"/>
              <w:rPr/>
            </w:pPr>
            <w:r>
              <w:rPr/>
              <w:t>    </w:t>
            </w:r>
          </w:p>
        </w:tc>
        <w:tc>
          <w:tcPr>
            <w:tcW w:w="9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As of June 30, </w:t>
            </w:r>
          </w:p>
        </w:tc>
        <w:tc>
          <w:tcPr>
            <w:tcW w:w="361" w:type="dxa"/>
            <w:tcBorders/>
            <w:vAlign w:val="center"/>
          </w:tcPr>
          <w:p>
            <w:pPr>
              <w:pStyle w:val="TableContents"/>
              <w:bidi w:val="0"/>
              <w:spacing w:before="0" w:after="1"/>
              <w:ind w:left="0" w:right="0" w:hanging="0"/>
              <w:jc w:val="left"/>
              <w:rPr/>
            </w:pPr>
            <w:r>
              <w:rPr/>
              <w:t>    </w:t>
            </w:r>
          </w:p>
        </w:tc>
        <w:tc>
          <w:tcPr>
            <w:tcW w:w="102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March 31,</w:t>
            </w:r>
          </w:p>
        </w:tc>
        <w:tc>
          <w:tcPr>
            <w:tcW w:w="412" w:type="dxa"/>
            <w:tcBorders/>
            <w:vAlign w:val="center"/>
          </w:tcPr>
          <w:p>
            <w:pPr>
              <w:pStyle w:val="TableContents"/>
              <w:bidi w:val="0"/>
              <w:spacing w:before="0" w:after="1"/>
              <w:ind w:left="0" w:right="0" w:hanging="0"/>
              <w:jc w:val="left"/>
              <w:rPr/>
            </w:pPr>
            <w:r>
              <w:rPr/>
              <w:t>​</w:t>
            </w:r>
          </w:p>
        </w:tc>
      </w:tr>
      <w:tr>
        <w:trPr/>
        <w:tc>
          <w:tcPr>
            <w:tcW w:w="112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9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0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12" w:type="dxa"/>
            <w:tcBorders/>
            <w:vAlign w:val="center"/>
          </w:tcPr>
          <w:p>
            <w:pPr>
              <w:pStyle w:val="TableContents"/>
              <w:bidi w:val="0"/>
              <w:spacing w:before="0" w:after="1"/>
              <w:ind w:left="0" w:right="0" w:hanging="0"/>
              <w:jc w:val="left"/>
              <w:rPr/>
            </w:pPr>
            <w:r>
              <w:rPr/>
              <w:t>    </w:t>
            </w:r>
          </w:p>
        </w:tc>
      </w:tr>
      <w:tr>
        <w:trPr/>
        <w:tc>
          <w:tcPr>
            <w:tcW w:w="1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price</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c>
          <w:tcPr>
            <w:tcW w:w="361" w:type="dxa"/>
            <w:tcBorders/>
            <w:shd w:fill="CCEEFF" w:val="clear"/>
            <w:vAlign w:val="center"/>
          </w:tcPr>
          <w:p>
            <w:pPr>
              <w:pStyle w:val="TableContents"/>
              <w:bidi w:val="0"/>
              <w:spacing w:before="0" w:after="1"/>
              <w:ind w:left="0" w:right="0" w:hanging="0"/>
              <w:jc w:val="left"/>
              <w:rPr/>
            </w:pPr>
            <w:r>
              <w:rPr/>
              <w:t>    </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61"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61"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61" w:type="dxa"/>
            <w:tcBorders/>
            <w:shd w:fill="CCEEFF" w:val="clear"/>
            <w:vAlign w:val="center"/>
          </w:tcPr>
          <w:p>
            <w:pPr>
              <w:pStyle w:val="TableContents"/>
              <w:bidi w:val="0"/>
              <w:spacing w:before="0" w:after="1"/>
              <w:ind w:left="0" w:right="0" w:hanging="0"/>
              <w:jc w:val="left"/>
              <w:rPr/>
            </w:pPr>
            <w:r>
              <w:rPr/>
              <w:t>    </w:t>
            </w:r>
          </w:p>
        </w:tc>
        <w:tc>
          <w:tcPr>
            <w:tcW w:w="2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61"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10.80</w:t>
            </w:r>
          </w:p>
        </w:tc>
        <w:tc>
          <w:tcPr>
            <w:tcW w:w="412" w:type="dxa"/>
            <w:tcBorders/>
            <w:shd w:fill="CCEEFF" w:val="clear"/>
            <w:vAlign w:val="center"/>
          </w:tcPr>
          <w:p>
            <w:pPr>
              <w:pStyle w:val="TableContents"/>
              <w:bidi w:val="0"/>
              <w:spacing w:before="0" w:after="1"/>
              <w:ind w:left="0" w:right="0" w:hanging="0"/>
              <w:jc w:val="left"/>
              <w:rPr/>
            </w:pPr>
            <w:r>
              <w:rPr/>
              <w:t>    </w:t>
            </w:r>
          </w:p>
        </w:tc>
      </w:tr>
      <w:tr>
        <w:trPr/>
        <w:tc>
          <w:tcPr>
            <w:tcW w:w="1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0.56</w:t>
            </w:r>
          </w:p>
        </w:tc>
        <w:tc>
          <w:tcPr>
            <w:tcW w:w="361"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1"/>
              <w:ind w:left="0" w:right="0" w:hanging="0"/>
              <w:jc w:val="left"/>
              <w:rPr/>
            </w:pPr>
            <w:r>
              <w:rPr/>
              <w:t>​</w:t>
            </w:r>
          </w:p>
        </w:tc>
        <w:tc>
          <w:tcPr>
            <w:tcW w:w="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w:t>
            </w:r>
          </w:p>
        </w:tc>
        <w:tc>
          <w:tcPr>
            <w:tcW w:w="361" w:type="dxa"/>
            <w:tcBorders/>
            <w:vAlign w:val="center"/>
          </w:tcPr>
          <w:p>
            <w:pPr>
              <w:pStyle w:val="TableContents"/>
              <w:bidi w:val="0"/>
              <w:spacing w:before="0" w:after="1"/>
              <w:ind w:left="0" w:right="0" w:hanging="0"/>
              <w:jc w:val="left"/>
              <w:rPr/>
            </w:pPr>
            <w:r>
              <w:rPr/>
              <w:t>​</w:t>
            </w:r>
          </w:p>
        </w:tc>
        <w:tc>
          <w:tcPr>
            <w:tcW w:w="2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361" w:type="dxa"/>
            <w:tcBorders/>
            <w:vAlign w:val="center"/>
          </w:tcPr>
          <w:p>
            <w:pPr>
              <w:pStyle w:val="TableContents"/>
              <w:bidi w:val="0"/>
              <w:spacing w:before="0" w:after="1"/>
              <w:ind w:left="0" w:right="0" w:hanging="0"/>
              <w:jc w:val="left"/>
              <w:rPr/>
            </w:pPr>
            <w:r>
              <w:rPr/>
              <w:t>​</w:t>
            </w:r>
          </w:p>
        </w:tc>
        <w:tc>
          <w:tcPr>
            <w:tcW w:w="2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w:t>
            </w:r>
          </w:p>
        </w:tc>
        <w:tc>
          <w:tcPr>
            <w:tcW w:w="412" w:type="dxa"/>
            <w:tcBorders/>
            <w:vAlign w:val="center"/>
          </w:tcPr>
          <w:p>
            <w:pPr>
              <w:pStyle w:val="TableContents"/>
              <w:bidi w:val="0"/>
              <w:spacing w:before="0" w:after="1"/>
              <w:ind w:left="0" w:right="0" w:hanging="0"/>
              <w:jc w:val="left"/>
              <w:rPr/>
            </w:pPr>
            <w:r>
              <w:rPr/>
              <w:t>​</w:t>
            </w:r>
          </w:p>
        </w:tc>
      </w:tr>
      <w:tr>
        <w:trPr/>
        <w:tc>
          <w:tcPr>
            <w:tcW w:w="1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(in years)</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w:t>
            </w:r>
          </w:p>
        </w:tc>
        <w:tc>
          <w:tcPr>
            <w:tcW w:w="361"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4.75</w:t>
            </w:r>
          </w:p>
        </w:tc>
        <w:tc>
          <w:tcPr>
            <w:tcW w:w="361" w:type="dxa"/>
            <w:tcBorders/>
            <w:shd w:fill="CCEEFF" w:val="clear"/>
            <w:vAlign w:val="center"/>
          </w:tcPr>
          <w:p>
            <w:pPr>
              <w:pStyle w:val="TableContents"/>
              <w:bidi w:val="0"/>
              <w:spacing w:before="0" w:after="1"/>
              <w:ind w:left="0" w:right="0" w:hanging="0"/>
              <w:jc w:val="left"/>
              <w:rPr/>
            </w:pPr>
            <w:r>
              <w:rPr/>
              <w:t>​</w:t>
            </w:r>
          </w:p>
        </w:tc>
        <w:tc>
          <w:tcPr>
            <w:tcW w:w="302" w:type="dxa"/>
            <w:tcBorders/>
            <w:shd w:fill="CCEEFF" w:val="clear"/>
            <w:vAlign w:val="center"/>
          </w:tcPr>
          <w:p>
            <w:pPr>
              <w:pStyle w:val="TableContents"/>
              <w:bidi w:val="0"/>
              <w:spacing w:before="0" w:after="1"/>
              <w:ind w:left="0" w:right="0" w:hanging="0"/>
              <w:jc w:val="left"/>
              <w:rPr/>
            </w:pPr>
            <w:r>
              <w:rPr/>
              <w:t> </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5.00</w:t>
            </w:r>
          </w:p>
        </w:tc>
        <w:tc>
          <w:tcPr>
            <w:tcW w:w="361"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5.50</w:t>
            </w:r>
          </w:p>
        </w:tc>
        <w:tc>
          <w:tcPr>
            <w:tcW w:w="361" w:type="dxa"/>
            <w:tcBorders/>
            <w:shd w:fill="CCEEFF" w:val="clear"/>
            <w:vAlign w:val="center"/>
          </w:tcPr>
          <w:p>
            <w:pPr>
              <w:pStyle w:val="TableContents"/>
              <w:bidi w:val="0"/>
              <w:spacing w:before="0" w:after="1"/>
              <w:ind w:left="0" w:right="0" w:hanging="0"/>
              <w:jc w:val="left"/>
              <w:rPr/>
            </w:pPr>
            <w:r>
              <w:rPr/>
              <w:t>​</w:t>
            </w:r>
          </w:p>
        </w:tc>
        <w:tc>
          <w:tcPr>
            <w:tcW w:w="288"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w:t>
            </w:r>
          </w:p>
        </w:tc>
        <w:tc>
          <w:tcPr>
            <w:tcW w:w="361" w:type="dxa"/>
            <w:tcBorders/>
            <w:shd w:fill="CCEEFF" w:val="clear"/>
            <w:vAlign w:val="center"/>
          </w:tcPr>
          <w:p>
            <w:pPr>
              <w:pStyle w:val="TableContents"/>
              <w:bidi w:val="0"/>
              <w:spacing w:before="0" w:after="1"/>
              <w:ind w:left="0" w:right="0" w:hanging="0"/>
              <w:jc w:val="left"/>
              <w:rPr/>
            </w:pPr>
            <w:r>
              <w:rPr/>
              <w:t>​</w:t>
            </w:r>
          </w:p>
        </w:tc>
        <w:tc>
          <w:tcPr>
            <w:tcW w:w="276"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6.00</w:t>
            </w:r>
          </w:p>
        </w:tc>
        <w:tc>
          <w:tcPr>
            <w:tcW w:w="412" w:type="dxa"/>
            <w:tcBorders/>
            <w:shd w:fill="CCEEFF" w:val="clear"/>
            <w:vAlign w:val="center"/>
          </w:tcPr>
          <w:p>
            <w:pPr>
              <w:pStyle w:val="TableContents"/>
              <w:bidi w:val="0"/>
              <w:spacing w:before="0" w:after="1"/>
              <w:ind w:left="0" w:right="0" w:hanging="0"/>
              <w:jc w:val="left"/>
              <w:rPr/>
            </w:pPr>
            <w:r>
              <w:rPr/>
              <w:t>​</w:t>
            </w:r>
          </w:p>
        </w:tc>
      </w:tr>
      <w:tr>
        <w:trPr/>
        <w:tc>
          <w:tcPr>
            <w:tcW w:w="1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Volatility</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2"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6" w:type="dxa"/>
            <w:tcBorders/>
            <w:vAlign w:val="center"/>
          </w:tcPr>
          <w:p>
            <w:pPr>
              <w:pStyle w:val="TableContents"/>
              <w:bidi w:val="0"/>
              <w:spacing w:before="0" w:after="1"/>
              <w:ind w:left="0" w:right="0" w:hanging="0"/>
              <w:jc w:val="left"/>
              <w:rPr/>
            </w:pPr>
            <w:r>
              <w:rPr/>
              <w:t> </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1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rate</w:t>
            </w:r>
          </w:p>
        </w:tc>
        <w:tc>
          <w:tcPr>
            <w:tcW w:w="326" w:type="dxa"/>
            <w:tcBorders/>
            <w:shd w:fill="CCEEFF" w:val="clear"/>
            <w:vAlign w:val="center"/>
          </w:tcPr>
          <w:p>
            <w:pPr>
              <w:pStyle w:val="TableContents"/>
              <w:bidi w:val="0"/>
              <w:spacing w:before="0" w:after="1"/>
              <w:ind w:left="0" w:right="0" w:hanging="0"/>
              <w:jc w:val="left"/>
              <w:rPr/>
            </w:pPr>
            <w:r>
              <w:rPr/>
              <w:t>​</w:t>
            </w:r>
          </w:p>
        </w:tc>
        <w:tc>
          <w:tcPr>
            <w:tcW w:w="418"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2" w:type="dxa"/>
            <w:tcBorders/>
            <w:shd w:fill="CCEEFF" w:val="clear"/>
            <w:vAlign w:val="center"/>
          </w:tcPr>
          <w:p>
            <w:pPr>
              <w:pStyle w:val="TableContents"/>
              <w:bidi w:val="0"/>
              <w:spacing w:before="0" w:after="1"/>
              <w:ind w:left="0" w:right="0" w:hanging="0"/>
              <w:jc w:val="left"/>
              <w:rPr/>
            </w:pPr>
            <w:r>
              <w:rPr/>
              <w:t>​</w:t>
            </w:r>
          </w:p>
        </w:tc>
        <w:tc>
          <w:tcPr>
            <w:tcW w:w="66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shd w:fill="CCEEFF" w:val="clear"/>
            <w:vAlign w:val="center"/>
          </w:tcPr>
          <w:p>
            <w:pPr>
              <w:pStyle w:val="TableContents"/>
              <w:bidi w:val="0"/>
              <w:spacing w:before="0" w:after="1"/>
              <w:ind w:left="0" w:right="0" w:hanging="0"/>
              <w:jc w:val="left"/>
              <w:rPr/>
            </w:pPr>
            <w:r>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shd w:fill="CCEEFF" w:val="clear"/>
            <w:vAlign w:val="center"/>
          </w:tcPr>
          <w:p>
            <w:pPr>
              <w:pStyle w:val="TableContents"/>
              <w:bidi w:val="0"/>
              <w:spacing w:before="0" w:after="1"/>
              <w:ind w:left="0" w:right="0" w:hanging="0"/>
              <w:jc w:val="left"/>
              <w:rPr/>
            </w:pPr>
            <w:r>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6" w:type="dxa"/>
            <w:tcBorders/>
            <w:shd w:fill="CCEEFF" w:val="clear"/>
            <w:vAlign w:val="center"/>
          </w:tcPr>
          <w:p>
            <w:pPr>
              <w:pStyle w:val="TableContents"/>
              <w:bidi w:val="0"/>
              <w:spacing w:before="0" w:after="1"/>
              <w:ind w:left="0" w:right="0" w:hanging="0"/>
              <w:jc w:val="left"/>
              <w:rPr/>
            </w:pPr>
            <w:r>
              <w:rPr/>
              <w:t>​</w:t>
            </w:r>
          </w:p>
        </w:tc>
        <w:tc>
          <w:tcPr>
            <w:tcW w:w="7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12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yield</w:t>
            </w:r>
          </w:p>
        </w:tc>
        <w:tc>
          <w:tcPr>
            <w:tcW w:w="326" w:type="dxa"/>
            <w:tcBorders/>
            <w:vAlign w:val="center"/>
          </w:tcPr>
          <w:p>
            <w:pPr>
              <w:pStyle w:val="TableContents"/>
              <w:bidi w:val="0"/>
              <w:spacing w:before="0" w:after="1"/>
              <w:ind w:left="0" w:right="0" w:hanging="0"/>
              <w:jc w:val="left"/>
              <w:rPr/>
            </w:pPr>
            <w:r>
              <w:rPr/>
              <w:t>​</w:t>
            </w:r>
          </w:p>
        </w:tc>
        <w:tc>
          <w:tcPr>
            <w:tcW w:w="418"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2" w:type="dxa"/>
            <w:tcBorders/>
            <w:vAlign w:val="center"/>
          </w:tcPr>
          <w:p>
            <w:pPr>
              <w:pStyle w:val="TableContents"/>
              <w:bidi w:val="0"/>
              <w:spacing w:before="0" w:after="1"/>
              <w:ind w:left="0" w:right="0" w:hanging="0"/>
              <w:jc w:val="left"/>
              <w:rPr/>
            </w:pPr>
            <w:r>
              <w:rPr/>
              <w:t>​</w:t>
            </w:r>
          </w:p>
        </w:tc>
        <w:tc>
          <w:tcPr>
            <w:tcW w:w="66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418"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8"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76" w:type="dxa"/>
            <w:tcBorders/>
            <w:vAlign w:val="center"/>
          </w:tcPr>
          <w:p>
            <w:pPr>
              <w:pStyle w:val="TableContents"/>
              <w:bidi w:val="0"/>
              <w:spacing w:before="0" w:after="1"/>
              <w:ind w:left="0" w:right="0" w:hanging="0"/>
              <w:jc w:val="left"/>
              <w:rPr/>
            </w:pPr>
            <w:r>
              <w:rPr/>
              <w:t>​</w:t>
            </w:r>
          </w:p>
        </w:tc>
        <w:tc>
          <w:tcPr>
            <w:tcW w:w="74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41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change in the fair value of the 2023 Warrant liability was $0.4 million during the nine months ended September 30, 2024. The change in fair value of the 2023 Warrant liability was $2.7 million during the nine months ended September 30, 2023 (see Note 9 – Warrant Liability).</w:t>
      </w:r>
    </w:p>
    <w:p>
      <w:pPr>
        <w:pStyle w:val="TextBody"/>
        <w:bidi w:val="0"/>
        <w:spacing w:before="0" w:after="0"/>
        <w:ind w:left="0" w:right="0" w:hanging="0"/>
        <w:jc w:val="left"/>
        <w:rPr/>
      </w:pPr>
      <w:r>
        <w:rPr/>
        <w:t>​</w:t>
      </w:r>
    </w:p>
    <w:tbl>
      <w:tblPr>
        <w:tblW w:w="6536" w:type="dxa"/>
        <w:jc w:val="left"/>
        <w:tblInd w:w="0" w:type="dxa"/>
        <w:tblLayout w:type="fixed"/>
        <w:tblCellMar>
          <w:top w:w="0" w:type="dxa"/>
          <w:left w:w="0" w:type="dxa"/>
          <w:bottom w:w="0" w:type="dxa"/>
          <w:right w:w="0" w:type="dxa"/>
        </w:tblCellMar>
      </w:tblPr>
      <w:tblGrid>
        <w:gridCol w:w="3016"/>
        <w:gridCol w:w="326"/>
        <w:gridCol w:w="333"/>
        <w:gridCol w:w="853"/>
        <w:gridCol w:w="514"/>
        <w:gridCol w:w="333"/>
        <w:gridCol w:w="1161"/>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915160" cy="175260"/>
                      <wp:effectExtent l="0" t="0" r="0" b="0"/>
                      <wp:wrapNone/>
                      <wp:docPr id="184" name="Frame18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1455" cy="175260"/>
                      <wp:effectExtent l="0" t="0" r="0" b="0"/>
                      <wp:wrapNone/>
                      <wp:docPr id="186" name="Frame185"/>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541655" cy="175260"/>
                      <wp:effectExtent l="0" t="0" r="0" b="0"/>
                      <wp:wrapNone/>
                      <wp:docPr id="187" name="Frame186"/>
                      <a:graphic xmlns:a="http://schemas.openxmlformats.org/drawingml/2006/main">
                        <a:graphicData uri="http://schemas.microsoft.com/office/word/2010/wordprocessingShape">
                          <wps:wsp>
                            <wps:cNvSpPr txBox="1"/>
                            <wps:spPr>
                              <a:xfrm>
                                <a:off x="0" y="0"/>
                                <a:ext cx="541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26390" cy="175260"/>
                      <wp:effectExtent l="0" t="0" r="0" b="0"/>
                      <wp:wrapNone/>
                      <wp:docPr id="188" name="Frame187"/>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1455" cy="175260"/>
                      <wp:effectExtent l="0" t="0" r="0" b="0"/>
                      <wp:wrapNone/>
                      <wp:docPr id="189" name="Frame188"/>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37235" cy="175260"/>
                      <wp:effectExtent l="0" t="0" r="0" b="0"/>
                      <wp:wrapNone/>
                      <wp:docPr id="190" name="Frame189"/>
                      <a:graphic xmlns:a="http://schemas.openxmlformats.org/drawingml/2006/main">
                        <a:graphicData uri="http://schemas.microsoft.com/office/word/2010/wordprocessingShape">
                          <wps:wsp>
                            <wps:cNvSpPr txBox="1"/>
                            <wps:spPr>
                              <a:xfrm>
                                <a:off x="0" y="0"/>
                                <a:ext cx="737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nine months ended September 30,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14" w:type="dxa"/>
            <w:tcBorders/>
            <w:vAlign w:val="center"/>
          </w:tcPr>
          <w:p>
            <w:pPr>
              <w:pStyle w:val="TableContents"/>
              <w:bidi w:val="0"/>
              <w:spacing w:before="0" w:after="0"/>
              <w:ind w:left="0" w:right="0" w:hanging="0"/>
              <w:jc w:val="center"/>
              <w:rPr/>
            </w:pPr>
            <w:r>
              <w:rPr/>
              <w:t>    </w:t>
            </w:r>
          </w:p>
        </w:tc>
        <w:tc>
          <w:tcPr>
            <w:tcW w:w="14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value</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514"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shd w:fill="CCEEFF" w:val="clear"/>
            <w:vAlign w:val="center"/>
          </w:tcPr>
          <w:p>
            <w:pPr>
              <w:pStyle w:val="TableContents"/>
              <w:bidi w:val="0"/>
              <w:spacing w:before="0" w:after="0"/>
              <w:ind w:left="0" w:right="0" w:hanging="0"/>
              <w:jc w:val="right"/>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valuation of new warrants</w:t>
            </w:r>
          </w:p>
        </w:tc>
        <w:tc>
          <w:tcPr>
            <w:tcW w:w="32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853" w:type="dxa"/>
            <w:tcBorders/>
            <w:vAlign w:val="center"/>
          </w:tcPr>
          <w:p>
            <w:pPr>
              <w:pStyle w:val="TableContents"/>
              <w:bidi w:val="0"/>
              <w:spacing w:before="0" w:after="0"/>
              <w:ind w:left="0" w:right="0" w:hanging="0"/>
              <w:jc w:val="right"/>
              <w:rPr/>
            </w:pPr>
            <w:r>
              <w:rPr/>
              <w:t>—</w:t>
            </w:r>
          </w:p>
        </w:tc>
        <w:tc>
          <w:tcPr>
            <w:tcW w:w="514"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11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value of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514" w:type="dxa"/>
            <w:tcBorders/>
            <w:shd w:fill="CCEEFF" w:val="clear"/>
            <w:vAlign w:val="center"/>
          </w:tcPr>
          <w:p>
            <w:pPr>
              <w:pStyle w:val="TableContents"/>
              <w:bidi w:val="0"/>
              <w:spacing w:before="0" w:after="0"/>
              <w:ind w:left="0" w:right="0" w:hanging="0"/>
              <w:jc w:val="left"/>
              <w:rPr/>
            </w:pPr>
            <w:r>
              <w:rPr/>
              <w:t>​</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value</w:t>
            </w:r>
          </w:p>
        </w:tc>
        <w:tc>
          <w:tcPr>
            <w:tcW w:w="326"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514" w:type="dxa"/>
            <w:tcBorders/>
            <w:vAlign w:val="center"/>
          </w:tcPr>
          <w:p>
            <w:pPr>
              <w:pStyle w:val="TableContents"/>
              <w:bidi w:val="0"/>
              <w:spacing w:before="0" w:after="0"/>
              <w:ind w:left="0" w:right="0" w:hanging="0"/>
              <w:jc w:val="left"/>
              <w:rPr/>
            </w:pPr>
            <w:r>
              <w:rPr/>
              <w:t>​</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11 – Customer Concentrations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Two customers accounted for approximately 85% of the Company’s revenue for the three months ended September 30, 2024, and two customers accounted for approximately 74% of the Company’s revenue for the nine months ended September 30, 2024. Three customers accounted for approximately 75% of the Company’s revenue for the three months ended September 30, 2023, and three customers accounted for approximately 67% of the Company’s revenue for the nine months ended September 30, 2023. Two customers accounted for approximately 89% of the Company’s accounts receivable balance as of September 30, 2024, and two customers accounted for approximately 88% of the Company’s accounts receivable balance as of December 31,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12 – Subsequent Event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Current ATM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period October 1, 2024 through November 12, 2024, the Company sold 1,069,169 shares through its Current ATM, representing $0.6 million in net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Agile Subordinated Loan Agreement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October 1, 2024, the Company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“Term Loan”). Principal and interest on the initial term loan in the aggregate amount of $756,000 was to be repaid in weekly payments of $27,000 commencing on October 14, 2024 and fully repaid on or before the maturity date of April 21, 2025. The Term Loan would be expressly subordinated to the Company's obligations on certain senior indebtedness of the Company as provided in the Original Loan Agreement. Effective only upon the occurrence and continuance of an event of default under the Loan Agreement, the Company would grant the Lender a security interest in certain collateral, excluding intellectual property, of the Company as set forth in the Original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November 5, 2024, the Company entered into an amended subordinated business loan agreement with the Lender (the “Amended Loan Agreement”) to refinance the Term Loan. The Amended Loan Agreement provides for a new term loan of $997,000, with the ability to receive additional term loans of up to $1.6 million, subject to certain conditions (such new loans, the “New Term Loan”). Principal and interest on the initial new term loan in the aggregate amount of $1,415,740 is to be repaid in weekly payments of approximately $39,000 and fully repaid on or before the maturity date of July 17, 2025. The proceeds of the New Term Loan were used to repay in full the Term Loan described above, which had a balance of $648,000 on November 5, 2024, and the remaining proceeds will be used for working capital. The New Term Loan will be expressly subordinated to the Company's obligations on certain senior indebtedness of the Company as provided in the Amended Loan Agreement. The Amended Loan Agreement replaces the Original Loan Agreement and otherwise contains substantially the same terms as the Original Loan Agreement.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Regulation A Offering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October 11, 2024, the Company filed a Regulation A Offering Statement on Form 1-A with an offering of a maximum of 5,000,000 Units (the “Regulation A Offering”), with each Unit consisting of one share of Series A Convertible Preferred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exercise price of $2.00 per share, at an offering price of $1.50 per Unit, for a maximum offering amount of $7,500,000. The Regulation A Offering is subject to qualification by the SEC.</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82" w:name="Item2ManagementsDiscussionandAnalysisofF"/>
      <w:bookmarkStart w:id="1083" w:name="_8298773c_71de_45f2_9be2_2b00d2629455"/>
      <w:bookmarkEnd w:id="1082"/>
      <w:bookmarkEnd w:id="108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used in this Quarterly Report on Form 10-Q (this “Report”), unless the context otherwise requires the terms “we,” “us,” “our,” and “Energous” refer to Energous Corporation d/b/a Energous Wireless Power Solutions, a Delaware corporation. This Report contains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“would,” “should,” “could,” “seek,” “intend,” “plan,” “continue,”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and expectations for revenues, liquidity cash flows and financial performance, the anticipated results of our research and development efforts, the timing for receipt of required regulatory approvals and product launches; and the impact of geopolitical, macroeconomic, health and other world events.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relate to the future and are subject to inherent uncertainties, risks and changes in circumstances that are difficult to predict and generally outside of our control, so actual results and financial condition may differ materially from those indicated in the forward-looking statements. Important factors that could cause our actual results and financial condition to differ materially from those indicated in the forward-looking statements include, among others: our ability to develop commercially feasible technology; timing of customer implementations of our technology in consumer products; timing and receipt of regulatory approvals in the United States and internationally; our ability to find and maintain development partners; market acceptance of our technology; competition in our industry; our ability to protect our intellectual property; competition; our ability to maintain or improve our financial position, cash flows, and liquidity and our expected financial needs; and other risks and uncertainties described in the Risk Factors and in Management’s Discussion and Analysis sections of our most recently filed Annual Report on Form 10-K and subsequently filed Quarterly Reports on Form 10-Q, including this Report. We undertake no obligation to publicly update any of our forward-looking statements, whether as a result of new information, future developments or otherwise.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developed scalable, over-the-air wireless power networks (“WPN”) technology, consisting of semiconductor chipsets, software controls, hardware designs and antennas, that enable radio frequency (“RF”) based charging for Internet of Things (“IoT”) devices. The WPN technology has a broad spectrum of capabilities to enable the next generation of wireless power networks, delivering power and data in a seamless device portfolio, enabling unprecedented levels of visibility, control, and intelligent business automation. This includes near field and at-a-distance wireless charging with multiple power levels at various distances. Our wireless power transmitter and receiver technologies deliver continuous access to wireless power, helping drive a new generation of battery-free devices for asset and inventory tracking and management – from retail sensors, electronic shelf labels, and asset trackers, to air quality monitors, motion detectors, and more.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0" w:type="dxa"/>
          <w:left w:w="0" w:type="dxa"/>
          <w:bottom w:w="0" w:type="dxa"/>
          <w:right w:w="0" w:type="dxa"/>
        </w:tblCellMar>
      </w:tblPr>
      <w:tblGrid>
        <w:gridCol w:w="2056"/>
        <w:gridCol w:w="3496"/>
      </w:tblGrid>
      <w:tr>
        <w:trPr/>
        <w:tc>
          <w:tcPr>
            <w:tcW w:w="2056" w:type="dxa"/>
            <w:tcBorders/>
            <w:vAlign w:val="center"/>
          </w:tcPr>
          <w:p>
            <w:pPr>
              <w:pStyle w:val="TableContents"/>
              <w:bidi w:val="0"/>
              <w:spacing w:before="0" w:after="0"/>
              <w:ind w:left="0" w:right="0" w:hanging="0"/>
              <w:jc w:val="left"/>
              <w:rPr/>
            </w:pPr>
            <w:r>
              <w:rPr/>
              <w:t>​</w:t>
            </w:r>
          </w:p>
        </w:tc>
        <w:tc>
          <w:tcPr>
            <w:tcW w:w="3496" w:type="dxa"/>
            <w:tcBorders/>
            <w:vAlign w:val="center"/>
          </w:tcPr>
          <w:p>
            <w:pPr>
              <w:pStyle w:val="TableContents"/>
              <w:bidi w:val="0"/>
              <w:spacing w:before="0" w:after="0"/>
              <w:ind w:left="0" w:right="0" w:hanging="0"/>
              <w:jc w:val="left"/>
              <w:rPr/>
            </w:pPr>
            <w:r>
              <w:rPr/>
              <w: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Device Type</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Application</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RF Tags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Cold Chain, Asset Tracking, Medical IoT</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IoT Sensors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Cold Chain, Logistics, Asset Tracking </w:t>
            </w:r>
          </w:p>
        </w:tc>
      </w:tr>
      <w:tr>
        <w:trPr/>
        <w:tc>
          <w:tcPr>
            <w:tcW w:w="205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Electronic Shelf Labels </w:t>
            </w:r>
          </w:p>
        </w:tc>
        <w:tc>
          <w:tcPr>
            <w:tcW w:w="3496" w:type="dxa"/>
            <w:tcBorders>
              <w:top w:val="single" w:sz="2" w:space="0" w:color="000000"/>
              <w:left w:val="single" w:sz="2" w:space="0" w:color="000000"/>
              <w:bottom w:val="single" w:sz="2" w:space="0" w:color="000000"/>
              <w:right w:val="single" w:sz="2" w:space="0" w:color="000000"/>
            </w:tcBorders>
            <w:tcMar>
              <w:top w:w="28" w:type="dxa"/>
              <w:left w:w="110" w:type="dxa"/>
              <w:bottom w:w="28" w:type="dxa"/>
              <w:right w:w="11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and Industrial IoT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first WPN end product featuring our technology entered the market in 2019. We started shipping our first at-a-distance wireless PowerBridges for commercial IoT applications and proofs of concept in the fourth quarter of 2021, and we expect additional wireless power enabled products to be released as we move our business forward.</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Use of Estimates. </w:t>
      </w:r>
      <w:r>
        <w:rPr>
          <w:rFonts w:ascii="Times New Roman;Times;serif" w:hAnsi="Times New Roman;Times;serif"/>
          <w:sz w:val="20"/>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liabilities at the date of the financial statements as well as the reported expenses during the reporting periods.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2024, management believes there have been no significant changes to the items that we disclosed within our critical accounting policies and estimates in “Management’s Discussion and Analysis of Financial Condition and Results of Operations”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and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Three Months Ended September 30, 2024 and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 and such data as a percentage of revenue:</w:t>
      </w:r>
    </w:p>
    <w:tbl>
      <w:tblPr>
        <w:tblW w:w="8172" w:type="dxa"/>
        <w:jc w:val="left"/>
        <w:tblInd w:w="0" w:type="dxa"/>
        <w:tblLayout w:type="fixed"/>
        <w:tblCellMar>
          <w:top w:w="0" w:type="dxa"/>
          <w:left w:w="0" w:type="dxa"/>
          <w:bottom w:w="0" w:type="dxa"/>
          <w:right w:w="0" w:type="dxa"/>
        </w:tblCellMar>
      </w:tblPr>
      <w:tblGrid>
        <w:gridCol w:w="3331"/>
        <w:gridCol w:w="326"/>
        <w:gridCol w:w="211"/>
        <w:gridCol w:w="691"/>
        <w:gridCol w:w="326"/>
        <w:gridCol w:w="691"/>
        <w:gridCol w:w="361"/>
        <w:gridCol w:w="211"/>
        <w:gridCol w:w="691"/>
        <w:gridCol w:w="326"/>
        <w:gridCol w:w="69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15185" cy="175260"/>
                      <wp:effectExtent l="0" t="0" r="0" b="0"/>
                      <wp:wrapNone/>
                      <wp:docPr id="191" name="Frame190"/>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33985" cy="175260"/>
                      <wp:effectExtent l="0" t="0" r="0" b="0"/>
                      <wp:wrapNone/>
                      <wp:docPr id="193"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438785" cy="175260"/>
                      <wp:effectExtent l="0" t="0" r="0" b="0"/>
                      <wp:wrapNone/>
                      <wp:docPr id="194"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6" name="Frame19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9235" cy="175260"/>
                      <wp:effectExtent l="0" t="0" r="0" b="0"/>
                      <wp:wrapNone/>
                      <wp:docPr id="197" name="Frame1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38785" cy="175260"/>
                      <wp:effectExtent l="0" t="0" r="0" b="0"/>
                      <wp:wrapNone/>
                      <wp:docPr id="199"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785" cy="175260"/>
                      <wp:effectExtent l="0" t="0" r="0" b="0"/>
                      <wp:wrapNone/>
                      <wp:docPr id="201"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0660" cy="175260"/>
                      <wp:effectExtent l="0" t="0" r="0" b="0"/>
                      <wp:wrapNone/>
                      <wp:docPr id="202" name="Frame2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419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16" w:type="dxa"/>
            <w:tcBorders/>
            <w:vAlign w:val="center"/>
          </w:tcPr>
          <w:p>
            <w:pPr>
              <w:pStyle w:val="TableContents"/>
              <w:bidi w:val="0"/>
              <w:spacing w:before="0" w:after="1"/>
              <w:ind w:left="0" w:right="0" w:hanging="0"/>
              <w:jc w:val="left"/>
              <w:rPr/>
            </w:pPr>
            <w:r>
              <w:rPr/>
              <w:t>​</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69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3,811</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5,250</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(5,081)</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(3,412)</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(4,114)</w:t>
            </w:r>
          </w:p>
        </w:tc>
        <w:tc>
          <w:tcPr>
            <w:tcW w:w="32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(2,434)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caps w:val="false"/>
          <w:smallCaps w:val="false"/>
        </w:rPr>
      </w:pPr>
      <w:r>
        <w:rPr>
          <w:caps w:val="false"/>
          <w:smallCaps w:val="false"/>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three months ended September 30, 2024 and 2023, we recorded revenue of $0.2 million and $0.2 million, respectively. Revenue for the three months ended September 30, 2024 consisted primarily of transmitter sales volume versus the majority of revenue being derived from non-recurring engineering fees and the sale of semiconductor chips during the same period in 2023. This shift in revenue focus represents the beginning of the Company’s transition from research and development to commercial production of its PowerBridge transmitters.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Costs and Expenses and Loss from Operations.</w:t>
      </w:r>
      <w:r>
        <w:rPr>
          <w:rFonts w:ascii="Times New Roman;Times;serif" w:hAnsi="Times New Roman;Times;serif"/>
          <w:sz w:val="20"/>
        </w:rPr>
        <w:t xml:space="preserve"> Costs and expenses are made up of cost of revenue, research and development, sales and marketing, general and administrative and severance expense. Loss from operations for the three months ended September 30, 2024 and 2023 were $3.6 million and $5.1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tbl>
      <w:tblPr>
        <w:tblW w:w="7676" w:type="dxa"/>
        <w:jc w:val="left"/>
        <w:tblInd w:w="0" w:type="dxa"/>
        <w:tblLayout w:type="fixed"/>
        <w:tblCellMar>
          <w:top w:w="0" w:type="dxa"/>
          <w:left w:w="0" w:type="dxa"/>
          <w:bottom w:w="0" w:type="dxa"/>
          <w:right w:w="0" w:type="dxa"/>
        </w:tblCellMar>
      </w:tblPr>
      <w:tblGrid>
        <w:gridCol w:w="2041"/>
        <w:gridCol w:w="326"/>
        <w:gridCol w:w="366"/>
        <w:gridCol w:w="731"/>
        <w:gridCol w:w="627"/>
        <w:gridCol w:w="366"/>
        <w:gridCol w:w="549"/>
        <w:gridCol w:w="361"/>
        <w:gridCol w:w="265"/>
        <w:gridCol w:w="531"/>
        <w:gridCol w:w="326"/>
        <w:gridCol w:w="286"/>
        <w:gridCol w:w="585"/>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296035" cy="175260"/>
                      <wp:effectExtent l="0" t="0" r="0" b="0"/>
                      <wp:wrapNone/>
                      <wp:docPr id="203" name="Frame202"/>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32410" cy="175260"/>
                      <wp:effectExtent l="0" t="0" r="0" b="0"/>
                      <wp:wrapNone/>
                      <wp:docPr id="205" name="Frame204"/>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64185" cy="175260"/>
                      <wp:effectExtent l="0" t="0" r="0" b="0"/>
                      <wp:wrapNone/>
                      <wp:docPr id="206" name="Frame20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398145" cy="175260"/>
                      <wp:effectExtent l="0" t="0" r="0" b="0"/>
                      <wp:wrapNone/>
                      <wp:docPr id="207" name="Frame206"/>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32410" cy="175260"/>
                      <wp:effectExtent l="0" t="0" r="0" b="0"/>
                      <wp:wrapNone/>
                      <wp:docPr id="208" name="Frame207"/>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348615" cy="175260"/>
                      <wp:effectExtent l="0" t="0" r="0" b="0"/>
                      <wp:wrapNone/>
                      <wp:docPr id="209" name="Frame208"/>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29235" cy="175260"/>
                      <wp:effectExtent l="0" t="0" r="0" b="0"/>
                      <wp:wrapNone/>
                      <wp:docPr id="210"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8275" cy="175260"/>
                      <wp:effectExtent l="0" t="0" r="0" b="0"/>
                      <wp:wrapNone/>
                      <wp:docPr id="211" name="Frame210"/>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37185" cy="175260"/>
                      <wp:effectExtent l="0" t="0" r="0" b="0"/>
                      <wp:wrapNone/>
                      <wp:docPr id="212" name="Frame211"/>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1610" cy="175260"/>
                      <wp:effectExtent l="0" t="0" r="0" b="0"/>
                      <wp:wrapNone/>
                      <wp:docPr id="214" name="Frame21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1475" cy="175260"/>
                      <wp:effectExtent l="0" t="0" r="0" b="0"/>
                      <wp:wrapNone/>
                      <wp:docPr id="215" name="Frame214"/>
                      <a:graphic xmlns:a="http://schemas.openxmlformats.org/drawingml/2006/main">
                        <a:graphicData uri="http://schemas.microsoft.com/office/word/2010/wordprocessingShape">
                          <wps:wsp>
                            <wps:cNvSpPr txBox="1"/>
                            <wps:spPr>
                              <a:xfrm>
                                <a:off x="0" y="0"/>
                                <a:ext cx="371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0660" cy="175260"/>
                      <wp:effectExtent l="0" t="0" r="0" b="0"/>
                      <wp:wrapNone/>
                      <wp:docPr id="216" name="Frame21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1"/>
              <w:ind w:left="0" w:right="0" w:hanging="0"/>
              <w:jc w:val="center"/>
              <w:rPr/>
            </w:pPr>
            <w:r>
              <w:rPr/>
              <w:t>​</w:t>
            </w:r>
          </w:p>
        </w:tc>
        <w:tc>
          <w:tcPr>
            <w:tcW w:w="265"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c>
          <w:tcPr>
            <w:tcW w:w="585"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627" w:type="dxa"/>
            <w:tcBorders/>
            <w:vAlign w:val="center"/>
          </w:tcPr>
          <w:p>
            <w:pPr>
              <w:pStyle w:val="TableContents"/>
              <w:bidi w:val="0"/>
              <w:spacing w:before="0" w:after="1"/>
              <w:ind w:left="0" w:right="0" w:hanging="0"/>
              <w:jc w:val="center"/>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w:t>
            </w:r>
          </w:p>
        </w:tc>
        <w:tc>
          <w:tcPr>
            <w:tcW w:w="627"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361" w:type="dxa"/>
            <w:tcBorders/>
            <w:shd w:fill="CCEEFF" w:val="clear"/>
            <w:vAlign w:val="center"/>
          </w:tcPr>
          <w:p>
            <w:pPr>
              <w:pStyle w:val="TableContents"/>
              <w:bidi w:val="0"/>
              <w:spacing w:before="0" w:after="1"/>
              <w:ind w:left="0" w:right="0" w:hanging="0"/>
              <w:jc w:val="left"/>
              <w:rPr/>
            </w:pPr>
            <w:r>
              <w:rPr/>
              <w:t>​</w:t>
            </w:r>
          </w:p>
        </w:tc>
        <w:tc>
          <w:tcPr>
            <w:tcW w:w="26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shd w:fill="CCEEFF" w:val="clear"/>
            <w:vAlign w:val="center"/>
          </w:tcPr>
          <w:p>
            <w:pPr>
              <w:pStyle w:val="TableContents"/>
              <w:bidi w:val="0"/>
              <w:spacing w:before="0" w:after="1"/>
              <w:ind w:left="0" w:right="0" w:hanging="0"/>
              <w:jc w:val="left"/>
              <w:rPr/>
            </w:pPr>
            <w:r>
              <w:rPr/>
              <w:t> </w:t>
            </w:r>
          </w:p>
        </w:tc>
        <w:tc>
          <w:tcPr>
            <w:tcW w:w="286" w:type="dxa"/>
            <w:tcBorders/>
            <w:shd w:fill="CCEEFF" w:val="clear"/>
            <w:vAlign w:val="center"/>
          </w:tcPr>
          <w:p>
            <w:pPr>
              <w:pStyle w:val="TableContents"/>
              <w:bidi w:val="0"/>
              <w:spacing w:before="0" w:after="1"/>
              <w:ind w:left="0" w:right="0" w:hanging="0"/>
              <w:jc w:val="left"/>
              <w:rPr/>
            </w:pPr>
            <w:r>
              <w:rPr/>
              <w:t>​</w:t>
            </w:r>
          </w:p>
        </w:tc>
        <w:tc>
          <w:tcPr>
            <w:tcW w:w="5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 </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133</w:t>
            </w:r>
          </w:p>
        </w:tc>
        <w:tc>
          <w:tcPr>
            <w:tcW w:w="6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1"/>
              <w:ind w:left="0" w:right="0" w:hanging="0"/>
              <w:jc w:val="left"/>
              <w:rPr/>
            </w:pPr>
            <w:r>
              <w:rPr/>
              <w:t> </w:t>
            </w:r>
          </w:p>
        </w:tc>
        <w:tc>
          <w:tcPr>
            <w:tcW w:w="53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86" w:type="dxa"/>
            <w:tcBorders/>
            <w:vAlign w:val="center"/>
          </w:tcPr>
          <w:p>
            <w:pPr>
              <w:pStyle w:val="TableContents"/>
              <w:bidi w:val="0"/>
              <w:spacing w:before="0" w:after="1"/>
              <w:ind w:left="0" w:right="0" w:hanging="0"/>
              <w:jc w:val="right"/>
              <w:rPr/>
            </w:pPr>
            <w:r>
              <w:rPr/>
              <w:t>  </w:t>
            </w:r>
          </w:p>
        </w:tc>
        <w:tc>
          <w:tcPr>
            <w:tcW w:w="585"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$0.3 million and less than $0.1 million, respectively, for the three months ended September 30, 2024 and 2023. The increase is primarily due to the cost of transmitters sold, as the initial sales of 2-watt PowerBridge transmitters that were shipped during the third quarter of 2024 were built in-house. We believe the cost of producing these transmitters will decrease in future quarters, as we utilize a contract manufacturer more often. During the same period in 2023, revenue generated by transmitter sales represented a small percentage of the total revenue for that period, as the revenue for the three months ended September 30, 2023 consisted mainly of non-recurring engineering fees for which the cost was included in research and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tbl>
      <w:tblPr>
        <w:tblW w:w="7946" w:type="dxa"/>
        <w:jc w:val="left"/>
        <w:tblInd w:w="0" w:type="dxa"/>
        <w:tblLayout w:type="fixed"/>
        <w:tblCellMar>
          <w:top w:w="0" w:type="dxa"/>
          <w:left w:w="0" w:type="dxa"/>
          <w:bottom w:w="0" w:type="dxa"/>
          <w:right w:w="0" w:type="dxa"/>
        </w:tblCellMar>
      </w:tblPr>
      <w:tblGrid>
        <w:gridCol w:w="2311"/>
        <w:gridCol w:w="326"/>
        <w:gridCol w:w="289"/>
        <w:gridCol w:w="783"/>
        <w:gridCol w:w="495"/>
        <w:gridCol w:w="289"/>
        <w:gridCol w:w="783"/>
        <w:gridCol w:w="361"/>
        <w:gridCol w:w="242"/>
        <w:gridCol w:w="554"/>
        <w:gridCol w:w="326"/>
        <w:gridCol w:w="308"/>
        <w:gridCol w:w="563"/>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67485" cy="175260"/>
                      <wp:effectExtent l="0" t="0" r="0" b="0"/>
                      <wp:wrapNone/>
                      <wp:docPr id="217" name="Frame216"/>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83515" cy="175260"/>
                      <wp:effectExtent l="0" t="0" r="0" b="0"/>
                      <wp:wrapNone/>
                      <wp:docPr id="219" name="Frame21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97205" cy="175260"/>
                      <wp:effectExtent l="0" t="0" r="0" b="0"/>
                      <wp:wrapNone/>
                      <wp:docPr id="220" name="Frame21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14325" cy="175260"/>
                      <wp:effectExtent l="0" t="0" r="0" b="0"/>
                      <wp:wrapNone/>
                      <wp:docPr id="221" name="Frame220"/>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83515" cy="175260"/>
                      <wp:effectExtent l="0" t="0" r="0" b="0"/>
                      <wp:wrapNone/>
                      <wp:docPr id="222" name="Frame221"/>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97205" cy="175260"/>
                      <wp:effectExtent l="0" t="0" r="0" b="0"/>
                      <wp:wrapNone/>
                      <wp:docPr id="223" name="Frame222"/>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4" name="Frame22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3670" cy="175260"/>
                      <wp:effectExtent l="0" t="0" r="0" b="0"/>
                      <wp:wrapNone/>
                      <wp:docPr id="225" name="Frame22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51790" cy="175260"/>
                      <wp:effectExtent l="0" t="0" r="0" b="0"/>
                      <wp:wrapNone/>
                      <wp:docPr id="226" name="Frame22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95580" cy="175260"/>
                      <wp:effectExtent l="0" t="0" r="0" b="0"/>
                      <wp:wrapNone/>
                      <wp:docPr id="228" name="Frame22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57505" cy="175260"/>
                      <wp:effectExtent l="0" t="0" r="0" b="0"/>
                      <wp:wrapNone/>
                      <wp:docPr id="229" name="Frame228"/>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0660" cy="175260"/>
                      <wp:effectExtent l="0" t="0" r="0" b="0"/>
                      <wp:wrapNone/>
                      <wp:docPr id="230" name="Frame22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08" w:type="dxa"/>
            <w:tcBorders/>
            <w:vAlign w:val="center"/>
          </w:tcPr>
          <w:p>
            <w:pPr>
              <w:pStyle w:val="TableContents"/>
              <w:bidi w:val="0"/>
              <w:spacing w:before="0" w:after="1"/>
              <w:ind w:left="0" w:right="0" w:hanging="0"/>
              <w:jc w:val="center"/>
              <w:rPr/>
            </w:pPr>
            <w:r>
              <w:rPr/>
              <w:t>​</w:t>
            </w:r>
          </w:p>
        </w:tc>
        <w:tc>
          <w:tcPr>
            <w:tcW w:w="563" w:type="dxa"/>
            <w:tcBorders/>
            <w:vAlign w:val="center"/>
          </w:tcPr>
          <w:p>
            <w:pPr>
              <w:pStyle w:val="TableContents"/>
              <w:bidi w:val="0"/>
              <w:spacing w:before="0" w:after="1"/>
              <w:ind w:left="0" w:right="0" w:hanging="0"/>
              <w:jc w:val="center"/>
              <w:rPr/>
            </w:pPr>
            <w:r>
              <w:rPr/>
              <w:t> </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95" w:type="dxa"/>
            <w:tcBorders/>
            <w:vAlign w:val="center"/>
          </w:tcPr>
          <w:p>
            <w:pPr>
              <w:pStyle w:val="TableContents"/>
              <w:bidi w:val="0"/>
              <w:spacing w:before="0" w:after="1"/>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1,701</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(759)</w:t>
            </w:r>
          </w:p>
        </w:tc>
        <w:tc>
          <w:tcPr>
            <w:tcW w:w="326" w:type="dxa"/>
            <w:tcBorders/>
            <w:shd w:fill="CCEEFF" w:val="clear"/>
            <w:vAlign w:val="center"/>
          </w:tcPr>
          <w:p>
            <w:pPr>
              <w:pStyle w:val="TableContents"/>
              <w:bidi w:val="0"/>
              <w:spacing w:before="0" w:after="1"/>
              <w:ind w:left="0" w:right="0" w:hanging="0"/>
              <w:jc w:val="left"/>
              <w:rPr/>
            </w:pPr>
            <w:r>
              <w:rPr/>
              <w:t> </w:t>
            </w:r>
          </w:p>
        </w:tc>
        <w:tc>
          <w:tcPr>
            <w:tcW w:w="308"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w:t>
            </w:r>
          </w:p>
        </w:tc>
        <w:tc>
          <w:tcPr>
            <w:tcW w:w="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308" w:type="dxa"/>
            <w:tcBorders/>
            <w:vAlign w:val="center"/>
          </w:tcPr>
          <w:p>
            <w:pPr>
              <w:pStyle w:val="TableContents"/>
              <w:bidi w:val="0"/>
              <w:spacing w:before="0" w:after="1"/>
              <w:ind w:left="0" w:right="0" w:hanging="0"/>
              <w:jc w:val="right"/>
              <w:rPr/>
            </w:pPr>
            <w:r>
              <w:rPr/>
              <w:t>  </w:t>
            </w:r>
          </w:p>
        </w:tc>
        <w:tc>
          <w:tcPr>
            <w:tcW w:w="563"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$1.7 million and $2.5 million, respectively, for the three months ended September 30, 2024 and 2023. The decrease of $0.8 million is primarily due to a $0.3 million decrease in personnel-related expenses, consisting of a $0.2 million decrease in payroll costs and a $0.1 million decrease in stock-based compensation, a $0.2 million decrease in software costs, a $0.1 million decrease in engineering components and circuit boards, and a $0.1 million decrease in miscellaneous office and facility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tbl>
      <w:tblPr>
        <w:tblW w:w="7675" w:type="dxa"/>
        <w:jc w:val="left"/>
        <w:tblInd w:w="0" w:type="dxa"/>
        <w:tblLayout w:type="fixed"/>
        <w:tblCellMar>
          <w:top w:w="0" w:type="dxa"/>
          <w:left w:w="0" w:type="dxa"/>
          <w:bottom w:w="0" w:type="dxa"/>
          <w:right w:w="0" w:type="dxa"/>
        </w:tblCellMar>
      </w:tblPr>
      <w:tblGrid>
        <w:gridCol w:w="2041"/>
        <w:gridCol w:w="326"/>
        <w:gridCol w:w="342"/>
        <w:gridCol w:w="684"/>
        <w:gridCol w:w="586"/>
        <w:gridCol w:w="342"/>
        <w:gridCol w:w="684"/>
        <w:gridCol w:w="361"/>
        <w:gridCol w:w="286"/>
        <w:gridCol w:w="510"/>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296035" cy="175260"/>
                      <wp:effectExtent l="0" t="0" r="0" b="0"/>
                      <wp:wrapNone/>
                      <wp:docPr id="231" name="Frame23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7170" cy="175260"/>
                      <wp:effectExtent l="0" t="0" r="0" b="0"/>
                      <wp:wrapNone/>
                      <wp:docPr id="233" name="Frame232"/>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34340" cy="175260"/>
                      <wp:effectExtent l="0" t="0" r="0" b="0"/>
                      <wp:wrapNone/>
                      <wp:docPr id="234" name="Frame233"/>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72110" cy="175260"/>
                      <wp:effectExtent l="0" t="0" r="0" b="0"/>
                      <wp:wrapNone/>
                      <wp:docPr id="235" name="Frame23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7170" cy="175260"/>
                      <wp:effectExtent l="0" t="0" r="0" b="0"/>
                      <wp:wrapNone/>
                      <wp:docPr id="236" name="Frame235"/>
                      <a:graphic xmlns:a="http://schemas.openxmlformats.org/drawingml/2006/main">
                        <a:graphicData uri="http://schemas.microsoft.com/office/word/2010/wordprocessingShape">
                          <wps:wsp>
                            <wps:cNvSpPr txBox="1"/>
                            <wps:spPr>
                              <a:xfrm>
                                <a:off x="0" y="0"/>
                                <a:ext cx="217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34340" cy="175260"/>
                      <wp:effectExtent l="0" t="0" r="0" b="0"/>
                      <wp:wrapNone/>
                      <wp:docPr id="237" name="Frame236"/>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29235" cy="175260"/>
                      <wp:effectExtent l="0" t="0" r="0" b="0"/>
                      <wp:wrapNone/>
                      <wp:docPr id="238" name="Frame23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81610" cy="175260"/>
                      <wp:effectExtent l="0" t="0" r="0" b="0"/>
                      <wp:wrapNone/>
                      <wp:docPr id="239" name="Frame238"/>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23850" cy="175260"/>
                      <wp:effectExtent l="0" t="0" r="0" b="0"/>
                      <wp:wrapNone/>
                      <wp:docPr id="240" name="Frame239"/>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53085" cy="175260"/>
                      <wp:effectExtent l="0" t="0" r="0" b="0"/>
                      <wp:wrapNone/>
                      <wp:docPr id="242" name="Frame2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0660" cy="175260"/>
                      <wp:effectExtent l="0" t="0" r="0" b="0"/>
                      <wp:wrapNone/>
                      <wp:docPr id="243" name="Frame24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center"/>
              <w:rPr/>
            </w:pPr>
            <w:r>
              <w:rPr/>
              <w:t>​</w:t>
            </w:r>
          </w:p>
        </w:tc>
        <w:tc>
          <w:tcPr>
            <w:tcW w:w="51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86" w:type="dxa"/>
            <w:tcBorders/>
            <w:vAlign w:val="center"/>
          </w:tcPr>
          <w:p>
            <w:pPr>
              <w:pStyle w:val="TableContents"/>
              <w:bidi w:val="0"/>
              <w:spacing w:before="0" w:after="1"/>
              <w:ind w:left="0" w:right="0" w:hanging="0"/>
              <w:jc w:val="left"/>
              <w:rPr/>
            </w:pPr>
            <w:r>
              <w:rPr/>
              <w:t>    </w:t>
            </w:r>
          </w:p>
        </w:tc>
        <w:tc>
          <w:tcPr>
            <w:tcW w:w="10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w:t>
            </w:r>
          </w:p>
        </w:tc>
        <w:tc>
          <w:tcPr>
            <w:tcW w:w="586" w:type="dxa"/>
            <w:tcBorders/>
            <w:shd w:fill="CCEEFF" w:val="clear"/>
            <w:vAlign w:val="center"/>
          </w:tcPr>
          <w:p>
            <w:pPr>
              <w:pStyle w:val="TableContents"/>
              <w:bidi w:val="0"/>
              <w:spacing w:before="0" w:after="1"/>
              <w:ind w:left="0" w:right="0" w:hanging="0"/>
              <w:jc w:val="left"/>
              <w:rPr/>
            </w:pPr>
            <w:r>
              <w:rPr/>
              <w:t>​</w:t>
            </w:r>
          </w:p>
        </w:tc>
        <w:tc>
          <w:tcPr>
            <w:tcW w:w="3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w:t>
            </w:r>
          </w:p>
        </w:tc>
        <w:tc>
          <w:tcPr>
            <w:tcW w:w="361" w:type="dxa"/>
            <w:tcBorders/>
            <w:shd w:fill="CCEEFF" w:val="clear"/>
            <w:vAlign w:val="center"/>
          </w:tcPr>
          <w:p>
            <w:pPr>
              <w:pStyle w:val="TableContents"/>
              <w:bidi w:val="0"/>
              <w:spacing w:before="0" w:after="1"/>
              <w:ind w:left="0" w:right="0" w:hanging="0"/>
              <w:jc w:val="left"/>
              <w:rPr/>
            </w:pPr>
            <w:r>
              <w:rPr/>
              <w:t>​</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42"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w:t>
            </w:r>
          </w:p>
        </w:tc>
        <w:tc>
          <w:tcPr>
            <w:tcW w:w="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42" w:type="dxa"/>
            <w:tcBorders/>
            <w:vAlign w:val="center"/>
          </w:tcPr>
          <w:p>
            <w:pPr>
              <w:pStyle w:val="TableContents"/>
              <w:bidi w:val="0"/>
              <w:spacing w:before="0" w:after="1"/>
              <w:ind w:left="0" w:right="0" w:hanging="0"/>
              <w:jc w:val="left"/>
              <w:rPr/>
            </w:pPr>
            <w:r>
              <w:rPr/>
              <w:t> </w:t>
            </w:r>
          </w:p>
        </w:tc>
        <w:tc>
          <w:tcPr>
            <w:tcW w:w="68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6" w:type="dxa"/>
            <w:tcBorders/>
            <w:vAlign w:val="center"/>
          </w:tcPr>
          <w:p>
            <w:pPr>
              <w:pStyle w:val="TableContents"/>
              <w:bidi w:val="0"/>
              <w:spacing w:before="0" w:after="1"/>
              <w:ind w:left="0" w:right="0" w:hanging="0"/>
              <w:jc w:val="left"/>
              <w:rPr/>
            </w:pPr>
            <w:r>
              <w:rPr/>
              <w:t> </w:t>
            </w:r>
          </w:p>
        </w:tc>
        <w:tc>
          <w:tcPr>
            <w:tcW w:w="51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three months ended September 30, 2024 and 2023 were $0.7 million and $0.8 million, respectively. The decrease of $0.1 million is primarily due to a $0.1 million decrease in personnel related costs due to reduced headcount.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tbl>
      <w:tblPr>
        <w:tblW w:w="7946" w:type="dxa"/>
        <w:jc w:val="left"/>
        <w:tblInd w:w="0" w:type="dxa"/>
        <w:tblLayout w:type="fixed"/>
        <w:tblCellMar>
          <w:top w:w="0" w:type="dxa"/>
          <w:left w:w="0" w:type="dxa"/>
          <w:bottom w:w="0" w:type="dxa"/>
          <w:right w:w="0" w:type="dxa"/>
        </w:tblCellMar>
      </w:tblPr>
      <w:tblGrid>
        <w:gridCol w:w="2311"/>
        <w:gridCol w:w="326"/>
        <w:gridCol w:w="289"/>
        <w:gridCol w:w="783"/>
        <w:gridCol w:w="495"/>
        <w:gridCol w:w="289"/>
        <w:gridCol w:w="783"/>
        <w:gridCol w:w="361"/>
        <w:gridCol w:w="242"/>
        <w:gridCol w:w="554"/>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467485" cy="175260"/>
                      <wp:effectExtent l="0" t="0" r="0" b="0"/>
                      <wp:wrapNone/>
                      <wp:docPr id="244" name="Frame24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83515" cy="175260"/>
                      <wp:effectExtent l="0" t="0" r="0" b="0"/>
                      <wp:wrapNone/>
                      <wp:docPr id="246" name="Frame245"/>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497205" cy="175260"/>
                      <wp:effectExtent l="0" t="0" r="0" b="0"/>
                      <wp:wrapNone/>
                      <wp:docPr id="247" name="Frame246"/>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314325" cy="175260"/>
                      <wp:effectExtent l="0" t="0" r="0" b="0"/>
                      <wp:wrapNone/>
                      <wp:docPr id="248" name="Frame247"/>
                      <a:graphic xmlns:a="http://schemas.openxmlformats.org/drawingml/2006/main">
                        <a:graphicData uri="http://schemas.microsoft.com/office/word/2010/wordprocessingShape">
                          <wps:wsp>
                            <wps:cNvSpPr txBox="1"/>
                            <wps:spPr>
                              <a:xfrm>
                                <a:off x="0" y="0"/>
                                <a:ext cx="314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83515" cy="175260"/>
                      <wp:effectExtent l="0" t="0" r="0" b="0"/>
                      <wp:wrapNone/>
                      <wp:docPr id="249" name="Frame248"/>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7205" cy="175260"/>
                      <wp:effectExtent l="0" t="0" r="0" b="0"/>
                      <wp:wrapNone/>
                      <wp:docPr id="250" name="Frame249"/>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29235" cy="175260"/>
                      <wp:effectExtent l="0" t="0" r="0" b="0"/>
                      <wp:wrapNone/>
                      <wp:docPr id="251" name="Frame25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53670" cy="175260"/>
                      <wp:effectExtent l="0" t="0" r="0" b="0"/>
                      <wp:wrapNone/>
                      <wp:docPr id="252" name="Frame251"/>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351790" cy="175260"/>
                      <wp:effectExtent l="0" t="0" r="0" b="0"/>
                      <wp:wrapNone/>
                      <wp:docPr id="253" name="Frame252"/>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553085" cy="175260"/>
                      <wp:effectExtent l="0" t="0" r="0" b="0"/>
                      <wp:wrapNone/>
                      <wp:docPr id="255" name="Frame25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0660" cy="175260"/>
                      <wp:effectExtent l="0" t="0" r="0" b="0"/>
                      <wp:wrapNone/>
                      <wp:docPr id="256" name="Frame25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95" w:type="dxa"/>
            <w:tcBorders/>
            <w:vAlign w:val="center"/>
          </w:tcPr>
          <w:p>
            <w:pPr>
              <w:pStyle w:val="TableContents"/>
              <w:bidi w:val="0"/>
              <w:spacing w:before="0" w:after="1"/>
              <w:ind w:left="0" w:right="0" w:hanging="0"/>
              <w:jc w:val="left"/>
              <w:rPr/>
            </w:pPr>
            <w:r>
              <w:rPr/>
              <w:t>    </w:t>
            </w:r>
          </w:p>
        </w:tc>
        <w:tc>
          <w:tcPr>
            <w:tcW w:w="10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495"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1,699</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w:t>
            </w:r>
          </w:p>
        </w:tc>
        <w:tc>
          <w:tcPr>
            <w:tcW w:w="49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89" w:type="dxa"/>
            <w:tcBorders/>
            <w:vAlign w:val="center"/>
          </w:tcPr>
          <w:p>
            <w:pPr>
              <w:pStyle w:val="TableContents"/>
              <w:bidi w:val="0"/>
              <w:spacing w:before="0" w:after="1"/>
              <w:ind w:left="0" w:right="0" w:hanging="0"/>
              <w:jc w:val="left"/>
              <w:rPr/>
            </w:pPr>
            <w:r>
              <w:rPr/>
              <w:t> </w:t>
            </w:r>
          </w:p>
        </w:tc>
        <w:tc>
          <w:tcPr>
            <w:tcW w:w="78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costs for the three months ended September 30, 2024 and 2023 were $1.0 million and $1.7 million, respectively. The decrease of $0.7 million is primarily due to a $0.1 million decrease in stock-based compensation from the former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CEO’s departure from the Company, a $0.2 million decrease in consulting and third-party fees, a $0.1 million decrease in insurance premiums, a $0.1 million decrease in accounting and audit fees and a $0.1 million decrease in legal fees.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tbl>
      <w:tblPr>
        <w:tblW w:w="7676" w:type="dxa"/>
        <w:jc w:val="left"/>
        <w:tblInd w:w="0" w:type="dxa"/>
        <w:tblLayout w:type="fixed"/>
        <w:tblCellMar>
          <w:top w:w="0" w:type="dxa"/>
          <w:left w:w="0" w:type="dxa"/>
          <w:bottom w:w="0" w:type="dxa"/>
          <w:right w:w="0" w:type="dxa"/>
        </w:tblCellMar>
      </w:tblPr>
      <w:tblGrid>
        <w:gridCol w:w="2041"/>
        <w:gridCol w:w="326"/>
        <w:gridCol w:w="366"/>
        <w:gridCol w:w="549"/>
        <w:gridCol w:w="627"/>
        <w:gridCol w:w="366"/>
        <w:gridCol w:w="731"/>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296035" cy="175260"/>
                      <wp:effectExtent l="0" t="0" r="0" b="0"/>
                      <wp:wrapNone/>
                      <wp:docPr id="257" name="Frame25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32410" cy="175260"/>
                      <wp:effectExtent l="0" t="0" r="0" b="0"/>
                      <wp:wrapNone/>
                      <wp:docPr id="259" name="Frame258"/>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48615" cy="175260"/>
                      <wp:effectExtent l="0" t="0" r="0" b="0"/>
                      <wp:wrapNone/>
                      <wp:docPr id="260" name="Frame259"/>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398145" cy="175260"/>
                      <wp:effectExtent l="0" t="0" r="0" b="0"/>
                      <wp:wrapNone/>
                      <wp:docPr id="261" name="Frame260"/>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32410" cy="175260"/>
                      <wp:effectExtent l="0" t="0" r="0" b="0"/>
                      <wp:wrapNone/>
                      <wp:docPr id="262" name="Frame261"/>
                      <a:graphic xmlns:a="http://schemas.openxmlformats.org/drawingml/2006/main">
                        <a:graphicData uri="http://schemas.microsoft.com/office/word/2010/wordprocessingShape">
                          <wps:wsp>
                            <wps:cNvSpPr txBox="1"/>
                            <wps:spPr>
                              <a:xfrm>
                                <a:off x="0" y="0"/>
                                <a:ext cx="232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464185" cy="175260"/>
                      <wp:effectExtent l="0" t="0" r="0" b="0"/>
                      <wp:wrapNone/>
                      <wp:docPr id="263" name="Frame262"/>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29235" cy="175260"/>
                      <wp:effectExtent l="0" t="0" r="0" b="0"/>
                      <wp:wrapNone/>
                      <wp:docPr id="264" name="Frame26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53670" cy="175260"/>
                      <wp:effectExtent l="0" t="0" r="0" b="0"/>
                      <wp:wrapNone/>
                      <wp:docPr id="265" name="Frame264"/>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51790" cy="175260"/>
                      <wp:effectExtent l="0" t="0" r="0" b="0"/>
                      <wp:wrapNone/>
                      <wp:docPr id="266" name="Frame265"/>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7"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553085" cy="175260"/>
                      <wp:effectExtent l="0" t="0" r="0" b="0"/>
                      <wp:wrapNone/>
                      <wp:docPr id="268" name="Frame26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0660" cy="175260"/>
                      <wp:effectExtent l="0" t="0" r="0" b="0"/>
                      <wp:wrapNone/>
                      <wp:docPr id="269" name="Frame2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61" w:type="dxa"/>
            <w:tcBorders/>
            <w:vAlign w:val="center"/>
          </w:tcPr>
          <w:p>
            <w:pPr>
              <w:pStyle w:val="TableContents"/>
              <w:bidi w:val="0"/>
              <w:spacing w:before="0" w:after="1"/>
              <w:ind w:left="0" w:right="0" w:hanging="0"/>
              <w:jc w:val="left"/>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1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627" w:type="dxa"/>
            <w:tcBorders/>
            <w:vAlign w:val="center"/>
          </w:tcPr>
          <w:p>
            <w:pPr>
              <w:pStyle w:val="TableContents"/>
              <w:bidi w:val="0"/>
              <w:spacing w:before="0" w:after="1"/>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20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627" w:type="dxa"/>
            <w:tcBorders/>
            <w:shd w:fill="CCEEFF" w:val="clear"/>
            <w:vAlign w:val="center"/>
          </w:tcPr>
          <w:p>
            <w:pPr>
              <w:pStyle w:val="TableContents"/>
              <w:bidi w:val="0"/>
              <w:spacing w:before="0" w:after="1"/>
              <w:ind w:left="0" w:right="0" w:hanging="0"/>
              <w:jc w:val="left"/>
              <w:rPr/>
            </w:pPr>
            <w:r>
              <w:rPr/>
              <w:t> </w:t>
            </w:r>
          </w:p>
        </w:tc>
        <w:tc>
          <w:tcPr>
            <w:tcW w:w="3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c>
          <w:tcPr>
            <w:tcW w:w="361"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1"/>
              <w:ind w:left="0" w:right="0" w:hanging="0"/>
              <w:jc w:val="left"/>
              <w:rPr/>
            </w:pPr>
            <w:r>
              <w:rPr/>
              <w:t>​</w:t>
            </w:r>
          </w:p>
        </w:tc>
        <w:tc>
          <w:tcPr>
            <w:tcW w:w="366" w:type="dxa"/>
            <w:tcBorders/>
            <w:vAlign w:val="center"/>
          </w:tcPr>
          <w:p>
            <w:pPr>
              <w:pStyle w:val="TableContents"/>
              <w:bidi w:val="0"/>
              <w:spacing w:before="0" w:after="1"/>
              <w:ind w:left="0" w:right="0" w:hanging="0"/>
              <w:jc w:val="left"/>
              <w:rPr/>
            </w:pPr>
            <w:r>
              <w:rPr/>
              <w:t> </w:t>
            </w:r>
          </w:p>
        </w:tc>
        <w:tc>
          <w:tcPr>
            <w:tcW w:w="5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w:t>
            </w:r>
          </w:p>
        </w:tc>
        <w:tc>
          <w:tcPr>
            <w:tcW w:w="62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66" w:type="dxa"/>
            <w:tcBorders/>
            <w:vAlign w:val="center"/>
          </w:tcPr>
          <w:p>
            <w:pPr>
              <w:pStyle w:val="TableContents"/>
              <w:bidi w:val="0"/>
              <w:spacing w:before="0" w:after="1"/>
              <w:ind w:left="0" w:right="0" w:hanging="0"/>
              <w:jc w:val="left"/>
              <w:rPr/>
            </w:pPr>
            <w:r>
              <w:rPr/>
              <w:t>​</w:t>
            </w:r>
          </w:p>
        </w:tc>
        <w:tc>
          <w:tcPr>
            <w:tcW w:w="7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1"/>
              <w:ind w:left="0" w:right="0" w:hanging="0"/>
              <w:jc w:val="left"/>
              <w:rPr/>
            </w:pPr>
            <w:r>
              <w:rPr/>
              <w:t> </w:t>
            </w:r>
          </w:p>
        </w:tc>
        <w:tc>
          <w:tcPr>
            <w:tcW w:w="554"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three months ended September 30, 2024 and 2023 was $0.1 million and $0.3 million, respectively. The severance expense for the three months ended September 30, 2024 was related to non-executive employees. The severance expense for the three months ended September 20, 2023 was related to the settlement of the departure by the former Chief Financial Officer.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w:t>
      </w:r>
    </w:p>
    <w:tbl>
      <w:tblPr>
        <w:tblW w:w="8931" w:type="dxa"/>
        <w:jc w:val="left"/>
        <w:tblInd w:w="0" w:type="dxa"/>
        <w:tblLayout w:type="fixed"/>
        <w:tblCellMar>
          <w:top w:w="0" w:type="dxa"/>
          <w:left w:w="0" w:type="dxa"/>
          <w:bottom w:w="0" w:type="dxa"/>
          <w:right w:w="0" w:type="dxa"/>
        </w:tblCellMar>
      </w:tblPr>
      <w:tblGrid>
        <w:gridCol w:w="3331"/>
        <w:gridCol w:w="326"/>
        <w:gridCol w:w="350"/>
        <w:gridCol w:w="699"/>
        <w:gridCol w:w="541"/>
        <w:gridCol w:w="350"/>
        <w:gridCol w:w="699"/>
        <w:gridCol w:w="326"/>
        <w:gridCol w:w="242"/>
        <w:gridCol w:w="554"/>
        <w:gridCol w:w="326"/>
        <w:gridCol w:w="871"/>
        <w:gridCol w:w="31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15185" cy="175260"/>
                      <wp:effectExtent l="0" t="0" r="0" b="0"/>
                      <wp:wrapNone/>
                      <wp:docPr id="270" name="Frame269"/>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22250" cy="175260"/>
                      <wp:effectExtent l="0" t="0" r="0" b="0"/>
                      <wp:wrapNone/>
                      <wp:docPr id="272" name="Frame271"/>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43865" cy="175260"/>
                      <wp:effectExtent l="0" t="0" r="0" b="0"/>
                      <wp:wrapNone/>
                      <wp:docPr id="273" name="Frame272"/>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43535" cy="175260"/>
                      <wp:effectExtent l="0" t="0" r="0" b="0"/>
                      <wp:wrapNone/>
                      <wp:docPr id="274" name="Frame27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2250" cy="175260"/>
                      <wp:effectExtent l="0" t="0" r="0" b="0"/>
                      <wp:wrapNone/>
                      <wp:docPr id="275" name="Frame274"/>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43865" cy="175260"/>
                      <wp:effectExtent l="0" t="0" r="0" b="0"/>
                      <wp:wrapNone/>
                      <wp:docPr id="276" name="Frame275"/>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53670" cy="175260"/>
                      <wp:effectExtent l="0" t="0" r="0" b="0"/>
                      <wp:wrapNone/>
                      <wp:docPr id="278" name="Frame277"/>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51790" cy="175260"/>
                      <wp:effectExtent l="0" t="0" r="0" b="0"/>
                      <wp:wrapNone/>
                      <wp:docPr id="279" name="Frame278"/>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53085" cy="175260"/>
                      <wp:effectExtent l="0" t="0" r="0" b="0"/>
                      <wp:wrapNone/>
                      <wp:docPr id="281" name="Frame28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0660" cy="175260"/>
                      <wp:effectExtent l="0" t="0" r="0" b="0"/>
                      <wp:wrapNone/>
                      <wp:docPr id="282" name="Frame2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center"/>
              <w:rPr/>
            </w:pPr>
            <w:r>
              <w:rPr/>
              <w:t>​</w:t>
            </w:r>
          </w:p>
        </w:tc>
        <w:tc>
          <w:tcPr>
            <w:tcW w:w="242" w:type="dxa"/>
            <w:tcBorders/>
            <w:vAlign w:val="center"/>
          </w:tcPr>
          <w:p>
            <w:pPr>
              <w:pStyle w:val="TableContents"/>
              <w:bidi w:val="0"/>
              <w:spacing w:before="0" w:after="1"/>
              <w:ind w:left="0" w:right="0" w:hanging="0"/>
              <w:jc w:val="center"/>
              <w:rPr/>
            </w:pPr>
            <w:r>
              <w:rPr/>
              <w:t>​</w:t>
            </w:r>
          </w:p>
        </w:tc>
        <w:tc>
          <w:tcPr>
            <w:tcW w:w="55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41" w:type="dxa"/>
            <w:tcBorders/>
            <w:vAlign w:val="center"/>
          </w:tcPr>
          <w:p>
            <w:pPr>
              <w:pStyle w:val="TableContents"/>
              <w:bidi w:val="0"/>
              <w:spacing w:before="0" w:after="1"/>
              <w:ind w:left="0" w:right="0" w:hanging="0"/>
              <w:jc w:val="center"/>
              <w:rPr/>
            </w:pPr>
            <w:r>
              <w:rPr/>
              <w:t>    </w:t>
            </w:r>
          </w:p>
        </w:tc>
        <w:tc>
          <w:tcPr>
            <w:tcW w:w="104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1"/>
              <w:ind w:left="0" w:right="0" w:hanging="0"/>
              <w:jc w:val="center"/>
              <w:rPr/>
            </w:pPr>
            <w:r>
              <w:rPr/>
              <w:t> </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shd w:fill="CCEEFF" w:val="clear"/>
            <w:vAlign w:val="center"/>
          </w:tcPr>
          <w:p>
            <w:pPr>
              <w:pStyle w:val="TableContents"/>
              <w:bidi w:val="0"/>
              <w:spacing w:before="0" w:after="1"/>
              <w:ind w:left="0" w:right="0" w:hanging="0"/>
              <w:jc w:val="left"/>
              <w:rPr/>
            </w:pPr>
            <w:r>
              <w:rPr/>
              <w:t> </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541" w:type="dxa"/>
            <w:tcBorders/>
            <w:shd w:fill="CCEEFF" w:val="clear"/>
            <w:vAlign w:val="center"/>
          </w:tcPr>
          <w:p>
            <w:pPr>
              <w:pStyle w:val="TableContents"/>
              <w:bidi w:val="0"/>
              <w:spacing w:before="0" w:after="1"/>
              <w:ind w:left="0" w:right="0" w:hanging="0"/>
              <w:jc w:val="left"/>
              <w:rPr/>
            </w:pPr>
            <w:r>
              <w:rPr/>
              <w:t> </w:t>
            </w:r>
          </w:p>
        </w:tc>
        <w:tc>
          <w:tcPr>
            <w:tcW w:w="3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788</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 </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541" w:type="dxa"/>
            <w:tcBorders/>
            <w:vAlign w:val="center"/>
          </w:tcPr>
          <w:p>
            <w:pPr>
              <w:pStyle w:val="TableContents"/>
              <w:bidi w:val="0"/>
              <w:spacing w:before="0" w:after="1"/>
              <w:ind w:left="0" w:right="0" w:hanging="0"/>
              <w:jc w:val="left"/>
              <w:rPr/>
            </w:pPr>
            <w:r>
              <w:rPr/>
              <w:t> </w:t>
            </w:r>
          </w:p>
        </w:tc>
        <w:tc>
          <w:tcPr>
            <w:tcW w:w="35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vAlign w:val="center"/>
          </w:tcPr>
          <w:p>
            <w:pPr>
              <w:pStyle w:val="TableContents"/>
              <w:bidi w:val="0"/>
              <w:spacing w:before="0" w:after="1"/>
              <w:ind w:left="0" w:right="0" w:hanging="0"/>
              <w:jc w:val="left"/>
              <w:rPr/>
            </w:pPr>
            <w:r>
              <w:rPr/>
              <w:t>​</w:t>
            </w:r>
          </w:p>
        </w:tc>
        <w:tc>
          <w:tcPr>
            <w:tcW w:w="242"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5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26" w:type="dxa"/>
            <w:tcBorders/>
            <w:shd w:fill="CCEEFF" w:val="clear"/>
            <w:vAlign w:val="center"/>
          </w:tcPr>
          <w:p>
            <w:pPr>
              <w:pStyle w:val="TableContents"/>
              <w:bidi w:val="0"/>
              <w:spacing w:before="0" w:after="1"/>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w:t>
            </w:r>
          </w:p>
        </w:tc>
        <w:tc>
          <w:tcPr>
            <w:tcW w:w="541" w:type="dxa"/>
            <w:tcBorders/>
            <w:shd w:fill="CCEEFF" w:val="clear"/>
            <w:vAlign w:val="center"/>
          </w:tcPr>
          <w:p>
            <w:pPr>
              <w:pStyle w:val="TableContents"/>
              <w:bidi w:val="0"/>
              <w:spacing w:before="0" w:after="1"/>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967</w:t>
            </w:r>
          </w:p>
        </w:tc>
        <w:tc>
          <w:tcPr>
            <w:tcW w:w="326" w:type="dxa"/>
            <w:tcBorders/>
            <w:shd w:fill="CCEEFF" w:val="clear"/>
            <w:vAlign w:val="center"/>
          </w:tcPr>
          <w:p>
            <w:pPr>
              <w:pStyle w:val="TableContents"/>
              <w:bidi w:val="0"/>
              <w:spacing w:before="0" w:after="1"/>
              <w:ind w:left="0" w:right="0" w:hanging="0"/>
              <w:jc w:val="left"/>
              <w:rPr/>
            </w:pPr>
            <w:r>
              <w:rPr/>
              <w:t>​</w:t>
            </w:r>
          </w:p>
        </w:tc>
        <w:tc>
          <w:tcPr>
            <w:tcW w:w="24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resulting from the change in fair value of the warrant liability was $0.2 million for the three months ended September 30, 2024 and $0.8 million for the three months ended September 30, 2023. The changes for both periods were due to a lower market value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three months ended September 30, 2024 was $10,000 as compared to interest income of $179,000 for the three months ended September 30, 2023. The decrease was due to a lower average cash balance in our savings account during the three months ended September 30, 2024 compared to the prior year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three months ended September 30, 2024 was $3.4 million as compared to $4.1 million for the three months ended September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Nine Months Ended September 30, 2024 and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sets forth selected Condensed Statements of Operations data (in thousands) and such data as a percentage of revenue:</w:t>
      </w:r>
    </w:p>
    <w:p>
      <w:pPr>
        <w:pStyle w:val="TextBody"/>
        <w:bidi w:val="0"/>
        <w:spacing w:before="0" w:after="0"/>
        <w:ind w:left="0" w:right="0" w:hanging="0"/>
        <w:jc w:val="left"/>
        <w:rPr/>
      </w:pPr>
      <w:r>
        <w:rPr/>
        <w:t>​</w:t>
      </w:r>
    </w:p>
    <w:tbl>
      <w:tblPr>
        <w:tblW w:w="8457" w:type="dxa"/>
        <w:jc w:val="left"/>
        <w:tblInd w:w="0" w:type="dxa"/>
        <w:tblLayout w:type="fixed"/>
        <w:tblCellMar>
          <w:top w:w="0" w:type="dxa"/>
          <w:left w:w="0" w:type="dxa"/>
          <w:bottom w:w="0" w:type="dxa"/>
          <w:right w:w="0" w:type="dxa"/>
        </w:tblCellMar>
      </w:tblPr>
      <w:tblGrid>
        <w:gridCol w:w="3406"/>
        <w:gridCol w:w="326"/>
        <w:gridCol w:w="211"/>
        <w:gridCol w:w="796"/>
        <w:gridCol w:w="326"/>
        <w:gridCol w:w="691"/>
        <w:gridCol w:w="361"/>
        <w:gridCol w:w="211"/>
        <w:gridCol w:w="796"/>
        <w:gridCol w:w="326"/>
        <w:gridCol w:w="691"/>
        <w:gridCol w:w="31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62810" cy="175260"/>
                      <wp:effectExtent l="0" t="0" r="0" b="0"/>
                      <wp:wrapNone/>
                      <wp:docPr id="283" name="Frame282"/>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4" name="Frame2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33985" cy="175260"/>
                      <wp:effectExtent l="0" t="0" r="0" b="0"/>
                      <wp:wrapNone/>
                      <wp:docPr id="285" name="Frame2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5460" cy="175260"/>
                      <wp:effectExtent l="0" t="0" r="0" b="0"/>
                      <wp:wrapNone/>
                      <wp:docPr id="286" name="Frame28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7010" cy="175260"/>
                      <wp:effectExtent l="0" t="0" r="0" b="0"/>
                      <wp:wrapNone/>
                      <wp:docPr id="287"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438785" cy="175260"/>
                      <wp:effectExtent l="0" t="0" r="0" b="0"/>
                      <wp:wrapNone/>
                      <wp:docPr id="288" name="Frame2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29235" cy="175260"/>
                      <wp:effectExtent l="0" t="0" r="0" b="0"/>
                      <wp:wrapNone/>
                      <wp:docPr id="289" name="Frame28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505460" cy="175260"/>
                      <wp:effectExtent l="0" t="0" r="0" b="0"/>
                      <wp:wrapNone/>
                      <wp:docPr id="291" name="Frame29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38785" cy="175260"/>
                      <wp:effectExtent l="0" t="0" r="0" b="0"/>
                      <wp:wrapNone/>
                      <wp:docPr id="293" name="Frame2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0660" cy="175260"/>
                      <wp:effectExtent l="0" t="0" r="0" b="0"/>
                      <wp:wrapNone/>
                      <wp:docPr id="294" name="Frame29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409"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2024</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8,419</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15,237</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17,886</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(14,897)</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(17,503)</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w:t>
            </w:r>
          </w:p>
        </w:tc>
        <w:tc>
          <w:tcPr>
            <w:tcW w:w="326"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(14,269)</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(14,762)</w:t>
            </w:r>
          </w:p>
        </w:tc>
        <w:tc>
          <w:tcPr>
            <w:tcW w:w="326"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During the nine months ended September 30, 2024 and 2023, we recorded revenue of $0.3 million and $0.4 million, respectively. The decrease is due to a decrease in non-recurring engineering revenue. Revenue for the nine months ended September 30, 2024 consisted primarily of transmitter sales volume versus the majority of revenue being derived from non-recurring engineering fees and the sale of semiconductor chips during the same period in 2023. This shift in revenue focus represents the beginning of the Company’s transition from research and development to commercial production of its PowerBridge transmitters.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Costs and Expenses and Loss from Operations. </w:t>
      </w:r>
      <w:r>
        <w:rPr>
          <w:rFonts w:ascii="Times New Roman;Times;serif" w:hAnsi="Times New Roman;Times;serif"/>
          <w:sz w:val="20"/>
        </w:rPr>
        <w:t>Costs and expenses are made up of cost of revenue, research and development, sales and marketing, general and administrative and severance expense. Loss from operations for the nine months ended September 30, 2024 and 2023 were $14.9 million and $17.5 million, respectively.</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tbl>
      <w:tblPr>
        <w:tblW w:w="7631" w:type="dxa"/>
        <w:jc w:val="left"/>
        <w:tblInd w:w="0" w:type="dxa"/>
        <w:tblLayout w:type="fixed"/>
        <w:tblCellMar>
          <w:top w:w="0" w:type="dxa"/>
          <w:left w:w="0" w:type="dxa"/>
          <w:bottom w:w="0" w:type="dxa"/>
          <w:right w:w="0" w:type="dxa"/>
        </w:tblCellMar>
      </w:tblPr>
      <w:tblGrid>
        <w:gridCol w:w="2041"/>
        <w:gridCol w:w="326"/>
        <w:gridCol w:w="337"/>
        <w:gridCol w:w="672"/>
        <w:gridCol w:w="576"/>
        <w:gridCol w:w="337"/>
        <w:gridCol w:w="672"/>
        <w:gridCol w:w="361"/>
        <w:gridCol w:w="265"/>
        <w:gridCol w:w="531"/>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296035" cy="175260"/>
                      <wp:effectExtent l="0" t="0" r="0" b="0"/>
                      <wp:wrapNone/>
                      <wp:docPr id="295" name="Frame294"/>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3995" cy="175260"/>
                      <wp:effectExtent l="0" t="0" r="0" b="0"/>
                      <wp:wrapNone/>
                      <wp:docPr id="297" name="Frame29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26720" cy="175260"/>
                      <wp:effectExtent l="0" t="0" r="0" b="0"/>
                      <wp:wrapNone/>
                      <wp:docPr id="298" name="Frame297"/>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365760" cy="175260"/>
                      <wp:effectExtent l="0" t="0" r="0" b="0"/>
                      <wp:wrapNone/>
                      <wp:docPr id="299" name="Frame298"/>
                      <a:graphic xmlns:a="http://schemas.openxmlformats.org/drawingml/2006/main">
                        <a:graphicData uri="http://schemas.microsoft.com/office/word/2010/wordprocessingShape">
                          <wps:wsp>
                            <wps:cNvSpPr txBox="1"/>
                            <wps:spPr>
                              <a:xfrm>
                                <a:off x="0" y="0"/>
                                <a:ext cx="365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3995" cy="175260"/>
                      <wp:effectExtent l="0" t="0" r="0" b="0"/>
                      <wp:wrapNone/>
                      <wp:docPr id="300" name="Frame299"/>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426720" cy="175260"/>
                      <wp:effectExtent l="0" t="0" r="0" b="0"/>
                      <wp:wrapNone/>
                      <wp:docPr id="301" name="Frame300"/>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9235" cy="175260"/>
                      <wp:effectExtent l="0" t="0" r="0" b="0"/>
                      <wp:wrapNone/>
                      <wp:docPr id="302" name="Frame3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68275" cy="175260"/>
                      <wp:effectExtent l="0" t="0" r="0" b="0"/>
                      <wp:wrapNone/>
                      <wp:docPr id="303" name="Frame302"/>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37185" cy="175260"/>
                      <wp:effectExtent l="0" t="0" r="0" b="0"/>
                      <wp:wrapNone/>
                      <wp:docPr id="304" name="Frame30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5"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553085" cy="175260"/>
                      <wp:effectExtent l="0" t="0" r="0" b="0"/>
                      <wp:wrapNone/>
                      <wp:docPr id="306" name="Frame30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0660" cy="175260"/>
                      <wp:effectExtent l="0" t="0" r="0" b="0"/>
                      <wp:wrapNone/>
                      <wp:docPr id="307" name="Frame30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61" w:type="dxa"/>
            <w:tcBorders/>
            <w:vAlign w:val="center"/>
          </w:tcPr>
          <w:p>
            <w:pPr>
              <w:pStyle w:val="TableContents"/>
              <w:bidi w:val="0"/>
              <w:spacing w:before="0" w:after="0"/>
              <w:ind w:left="0" w:right="0" w:hanging="0"/>
              <w:jc w:val="left"/>
              <w:rPr/>
            </w:pPr>
            <w:r>
              <w:rPr/>
              <w:t>​</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76" w:type="dxa"/>
            <w:tcBorders/>
            <w:vAlign w:val="center"/>
          </w:tcPr>
          <w:p>
            <w:pPr>
              <w:pStyle w:val="TableContents"/>
              <w:bidi w:val="0"/>
              <w:spacing w:before="0" w:after="0"/>
              <w:ind w:left="0" w:right="0" w:hanging="0"/>
              <w:jc w:val="left"/>
              <w:rPr/>
            </w:pPr>
            <w:r>
              <w:rPr/>
              <w:t>    </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c>
          <w:tcPr>
            <w:tcW w:w="576" w:type="dxa"/>
            <w:tcBorders/>
            <w:shd w:fill="CCEEFF" w:val="clear"/>
            <w:vAlign w:val="center"/>
          </w:tcPr>
          <w:p>
            <w:pPr>
              <w:pStyle w:val="TableContents"/>
              <w:bidi w:val="0"/>
              <w:spacing w:before="0" w:after="0"/>
              <w:ind w:left="0" w:right="0" w:hanging="0"/>
              <w:jc w:val="left"/>
              <w:rPr/>
            </w:pPr>
            <w:r>
              <w:rPr/>
              <w:t>​</w:t>
            </w:r>
          </w:p>
        </w:tc>
        <w:tc>
          <w:tcPr>
            <w:tcW w:w="33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w:t>
            </w:r>
          </w:p>
        </w:tc>
        <w:tc>
          <w:tcPr>
            <w:tcW w:w="361" w:type="dxa"/>
            <w:tcBorders/>
            <w:shd w:fill="CCEEFF" w:val="clear"/>
            <w:vAlign w:val="center"/>
          </w:tcPr>
          <w:p>
            <w:pPr>
              <w:pStyle w:val="TableContents"/>
              <w:bidi w:val="0"/>
              <w:spacing w:before="0" w:after="0"/>
              <w:ind w:left="0" w:right="0" w:hanging="0"/>
              <w:jc w:val="left"/>
              <w:rPr/>
            </w:pPr>
            <w:r>
              <w:rPr/>
              <w:t>​</w:t>
            </w:r>
          </w:p>
        </w:tc>
        <w:tc>
          <w:tcPr>
            <w:tcW w:w="2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337"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5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37" w:type="dxa"/>
            <w:tcBorders/>
            <w:vAlign w:val="center"/>
          </w:tcPr>
          <w:p>
            <w:pPr>
              <w:pStyle w:val="TableContents"/>
              <w:bidi w:val="0"/>
              <w:spacing w:before="0" w:after="0"/>
              <w:ind w:left="0" w:right="0" w:hanging="0"/>
              <w:jc w:val="left"/>
              <w:rPr/>
            </w:pPr>
            <w:r>
              <w:rPr/>
              <w:t> </w:t>
            </w:r>
          </w:p>
        </w:tc>
        <w:tc>
          <w:tcPr>
            <w:tcW w:w="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65" w:type="dxa"/>
            <w:tcBorders/>
            <w:vAlign w:val="center"/>
          </w:tcPr>
          <w:p>
            <w:pPr>
              <w:pStyle w:val="TableContents"/>
              <w:bidi w:val="0"/>
              <w:spacing w:before="0" w:after="0"/>
              <w:ind w:left="0" w:right="0" w:hanging="0"/>
              <w:jc w:val="left"/>
              <w:rPr/>
            </w:pPr>
            <w:r>
              <w:rPr/>
              <w:t> </w:t>
            </w:r>
          </w:p>
        </w:tc>
        <w:tc>
          <w:tcPr>
            <w:tcW w:w="53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$0.5 million and $0.3 million, respectively, for the nine months ended September 30, 2024 and 2023. The increase is primarily due to the cost of transmitters sold, as the initial sales of 2-watt PowerBridge transmitters that were shipped during the second and third quarter of 2024 were built in-house. We believe the cost of producing these transmitters will decrease in future quarters, as we utilize a contract manufacturer more often. During the same period in 2023, revenue generated by transmitter sales represented a small percentage of the total revenue for that period, as the revenue for the nine months ended September 30, 2023 consisted mainly of non-recurring engineering fees for which the cost was included in research and development costs.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Costs:</w:t>
      </w:r>
    </w:p>
    <w:p>
      <w:pPr>
        <w:pStyle w:val="TextBody"/>
        <w:bidi w:val="0"/>
        <w:spacing w:before="0" w:after="0"/>
        <w:ind w:left="0" w:right="0" w:hanging="0"/>
        <w:jc w:val="left"/>
        <w:rPr/>
      </w:pPr>
      <w:r>
        <w:rPr/>
        <w:t>​</w:t>
      </w:r>
    </w:p>
    <w:tbl>
      <w:tblPr>
        <w:tblW w:w="8007" w:type="dxa"/>
        <w:jc w:val="left"/>
        <w:tblInd w:w="0" w:type="dxa"/>
        <w:tblLayout w:type="fixed"/>
        <w:tblCellMar>
          <w:top w:w="0" w:type="dxa"/>
          <w:left w:w="0" w:type="dxa"/>
          <w:bottom w:w="0" w:type="dxa"/>
          <w:right w:w="0" w:type="dxa"/>
        </w:tblCellMar>
      </w:tblPr>
      <w:tblGrid>
        <w:gridCol w:w="2311"/>
        <w:gridCol w:w="326"/>
        <w:gridCol w:w="284"/>
        <w:gridCol w:w="770"/>
        <w:gridCol w:w="486"/>
        <w:gridCol w:w="284"/>
        <w:gridCol w:w="770"/>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467485" cy="175260"/>
                      <wp:effectExtent l="0" t="0" r="0" b="0"/>
                      <wp:wrapNone/>
                      <wp:docPr id="308" name="Frame30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07010" cy="175260"/>
                      <wp:effectExtent l="0" t="0" r="0" b="0"/>
                      <wp:wrapNone/>
                      <wp:docPr id="309"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80340" cy="175260"/>
                      <wp:effectExtent l="0" t="0" r="0" b="0"/>
                      <wp:wrapNone/>
                      <wp:docPr id="310" name="Frame309"/>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88950" cy="175260"/>
                      <wp:effectExtent l="0" t="0" r="0" b="0"/>
                      <wp:wrapNone/>
                      <wp:docPr id="311" name="Frame310"/>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08610" cy="175260"/>
                      <wp:effectExtent l="0" t="0" r="0" b="0"/>
                      <wp:wrapNone/>
                      <wp:docPr id="312" name="Frame311"/>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0340" cy="175260"/>
                      <wp:effectExtent l="0" t="0" r="0" b="0"/>
                      <wp:wrapNone/>
                      <wp:docPr id="313" name="Frame31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488950" cy="175260"/>
                      <wp:effectExtent l="0" t="0" r="0" b="0"/>
                      <wp:wrapNone/>
                      <wp:docPr id="314" name="Frame31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29235" cy="175260"/>
                      <wp:effectExtent l="0" t="0" r="0" b="0"/>
                      <wp:wrapNone/>
                      <wp:docPr id="315" name="Frame31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33985" cy="175260"/>
                      <wp:effectExtent l="0" t="0" r="0" b="0"/>
                      <wp:wrapNone/>
                      <wp:docPr id="316"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38785" cy="175260"/>
                      <wp:effectExtent l="0" t="0" r="0" b="0"/>
                      <wp:wrapNone/>
                      <wp:docPr id="317" name="Frame31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8"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553085" cy="175260"/>
                      <wp:effectExtent l="0" t="0" r="0" b="0"/>
                      <wp:wrapNone/>
                      <wp:docPr id="319" name="Frame31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0660" cy="175260"/>
                      <wp:effectExtent l="0" t="0" r="0" b="0"/>
                      <wp:wrapNone/>
                      <wp:docPr id="320" name="Frame31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6,489</w:t>
            </w:r>
          </w:p>
        </w:tc>
        <w:tc>
          <w:tcPr>
            <w:tcW w:w="48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8,419</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were $6.5 million and $8.4 million, respectively, for the nine months ended September 30, 2024 and 2023. The decrease of $1.9 million is primarily due to a $1.2 million decrease in employee compensation, consisting primarily of a $0.9 million decrease in personnel-related expenses and a $0.4 million decrease in stock-based compensation, a $0.4 million decrease in software and maintenance costs, a $0.1 million decrease in test development costs, a $0.1 million decrease in consulting and third-party expenses and a $0.1 million decrease in travel and miscellaneous office expenses, partially offset by a $0.1 million increase in engineering components and circuit boards.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Sales and Marketing Costs:</w:t>
      </w:r>
    </w:p>
    <w:p>
      <w:pPr>
        <w:pStyle w:val="TextBody"/>
        <w:bidi w:val="0"/>
        <w:spacing w:before="0" w:after="0"/>
        <w:ind w:left="0" w:right="0" w:hanging="0"/>
        <w:jc w:val="left"/>
        <w:rPr/>
      </w:pPr>
      <w:r>
        <w:rPr/>
        <w:t>​</w:t>
      </w:r>
    </w:p>
    <w:tbl>
      <w:tblPr>
        <w:tblW w:w="7631" w:type="dxa"/>
        <w:jc w:val="left"/>
        <w:tblInd w:w="0" w:type="dxa"/>
        <w:tblLayout w:type="fixed"/>
        <w:tblCellMar>
          <w:top w:w="0" w:type="dxa"/>
          <w:left w:w="0" w:type="dxa"/>
          <w:bottom w:w="0" w:type="dxa"/>
          <w:right w:w="0" w:type="dxa"/>
        </w:tblCellMar>
      </w:tblPr>
      <w:tblGrid>
        <w:gridCol w:w="2041"/>
        <w:gridCol w:w="326"/>
        <w:gridCol w:w="284"/>
        <w:gridCol w:w="770"/>
        <w:gridCol w:w="486"/>
        <w:gridCol w:w="284"/>
        <w:gridCol w:w="770"/>
        <w:gridCol w:w="361"/>
        <w:gridCol w:w="242"/>
        <w:gridCol w:w="554"/>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296035" cy="175260"/>
                      <wp:effectExtent l="0" t="0" r="0" b="0"/>
                      <wp:wrapNone/>
                      <wp:docPr id="321" name="Frame320"/>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80340" cy="175260"/>
                      <wp:effectExtent l="0" t="0" r="0" b="0"/>
                      <wp:wrapNone/>
                      <wp:docPr id="323" name="Frame32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88950" cy="175260"/>
                      <wp:effectExtent l="0" t="0" r="0" b="0"/>
                      <wp:wrapNone/>
                      <wp:docPr id="324" name="Frame323"/>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308610" cy="175260"/>
                      <wp:effectExtent l="0" t="0" r="0" b="0"/>
                      <wp:wrapNone/>
                      <wp:docPr id="325" name="Frame324"/>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80340" cy="175260"/>
                      <wp:effectExtent l="0" t="0" r="0" b="0"/>
                      <wp:wrapNone/>
                      <wp:docPr id="326" name="Frame32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88950" cy="175260"/>
                      <wp:effectExtent l="0" t="0" r="0" b="0"/>
                      <wp:wrapNone/>
                      <wp:docPr id="327" name="Frame32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29235" cy="175260"/>
                      <wp:effectExtent l="0" t="0" r="0" b="0"/>
                      <wp:wrapNone/>
                      <wp:docPr id="328" name="Frame32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3670" cy="175260"/>
                      <wp:effectExtent l="0" t="0" r="0" b="0"/>
                      <wp:wrapNone/>
                      <wp:docPr id="329" name="Frame32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51790" cy="175260"/>
                      <wp:effectExtent l="0" t="0" r="0" b="0"/>
                      <wp:wrapNone/>
                      <wp:docPr id="330" name="Frame329"/>
                      <a:graphic xmlns:a="http://schemas.openxmlformats.org/drawingml/2006/main">
                        <a:graphicData uri="http://schemas.microsoft.com/office/word/2010/wordprocessingShape">
                          <wps:wsp>
                            <wps:cNvSpPr txBox="1"/>
                            <wps:spPr>
                              <a:xfrm>
                                <a:off x="0" y="0"/>
                                <a:ext cx="351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553085" cy="175260"/>
                      <wp:effectExtent l="0" t="0" r="0" b="0"/>
                      <wp:wrapNone/>
                      <wp:docPr id="332" name="Frame33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0660" cy="175260"/>
                      <wp:effectExtent l="0" t="0" r="0" b="0"/>
                      <wp:wrapNone/>
                      <wp:docPr id="333" name="Frame33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6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center"/>
              <w:rPr/>
            </w:pPr>
            <w:r>
              <w:rPr/>
              <w:t>  </w:t>
            </w:r>
          </w:p>
        </w:tc>
        <w:tc>
          <w:tcPr>
            <w:tcW w:w="55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48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3,074</w:t>
            </w:r>
          </w:p>
        </w:tc>
        <w:tc>
          <w:tcPr>
            <w:tcW w:w="361" w:type="dxa"/>
            <w:tcBorders/>
            <w:shd w:fill="CCEEFF" w:val="clear"/>
            <w:vAlign w:val="center"/>
          </w:tcPr>
          <w:p>
            <w:pPr>
              <w:pStyle w:val="TableContents"/>
              <w:bidi w:val="0"/>
              <w:spacing w:before="0" w:after="0"/>
              <w:ind w:left="0" w:right="0" w:hanging="0"/>
              <w:jc w:val="left"/>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w:t>
            </w:r>
          </w:p>
        </w:tc>
        <w:tc>
          <w:tcPr>
            <w:tcW w:w="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42" w:type="dxa"/>
            <w:tcBorders/>
            <w:vAlign w:val="center"/>
          </w:tcPr>
          <w:p>
            <w:pPr>
              <w:pStyle w:val="TableContents"/>
              <w:bidi w:val="0"/>
              <w:spacing w:before="0" w:after="0"/>
              <w:ind w:left="0" w:right="0" w:hanging="0"/>
              <w:jc w:val="left"/>
              <w:rPr/>
            </w:pPr>
            <w:r>
              <w:rPr/>
              <w:t> </w:t>
            </w:r>
          </w:p>
        </w:tc>
        <w:tc>
          <w:tcPr>
            <w:tcW w:w="55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for the nine months ended September 30, 2024 and 2023 were $2.4 million and $3.1 million, respectively. The decrease of $0.7 million is primarily due to a $0.7 million decrease in employee compensation, consisting of a $0.6 million decrease in personnel related expenses due to a lower headcount within the department and a $0.1 million decrease in stock-based compensation, a $0.1 million decrease in tradeshow expense and a $0.1 million decrease in software, travel and miscellaneous office expenses, partially offset by a $0.3 million increase in consulting fees.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0"/>
        <w:ind w:left="0" w:right="0" w:hanging="0"/>
        <w:jc w:val="left"/>
        <w:rPr/>
      </w:pPr>
      <w:r>
        <w:rPr/>
        <w:t>​</w:t>
      </w:r>
    </w:p>
    <w:tbl>
      <w:tblPr>
        <w:tblW w:w="8007" w:type="dxa"/>
        <w:jc w:val="left"/>
        <w:tblInd w:w="0" w:type="dxa"/>
        <w:tblLayout w:type="fixed"/>
        <w:tblCellMar>
          <w:top w:w="0" w:type="dxa"/>
          <w:left w:w="0" w:type="dxa"/>
          <w:bottom w:w="0" w:type="dxa"/>
          <w:right w:w="0" w:type="dxa"/>
        </w:tblCellMar>
      </w:tblPr>
      <w:tblGrid>
        <w:gridCol w:w="2311"/>
        <w:gridCol w:w="326"/>
        <w:gridCol w:w="284"/>
        <w:gridCol w:w="770"/>
        <w:gridCol w:w="486"/>
        <w:gridCol w:w="284"/>
        <w:gridCol w:w="770"/>
        <w:gridCol w:w="361"/>
        <w:gridCol w:w="211"/>
        <w:gridCol w:w="691"/>
        <w:gridCol w:w="326"/>
        <w:gridCol w:w="871"/>
        <w:gridCol w:w="316"/>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467485" cy="175260"/>
                      <wp:effectExtent l="0" t="0" r="0" b="0"/>
                      <wp:wrapNone/>
                      <wp:docPr id="334" name="Frame333"/>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5"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80340" cy="175260"/>
                      <wp:effectExtent l="0" t="0" r="0" b="0"/>
                      <wp:wrapNone/>
                      <wp:docPr id="336" name="Frame335"/>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88950" cy="175260"/>
                      <wp:effectExtent l="0" t="0" r="0" b="0"/>
                      <wp:wrapNone/>
                      <wp:docPr id="337" name="Frame336"/>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08610" cy="175260"/>
                      <wp:effectExtent l="0" t="0" r="0" b="0"/>
                      <wp:wrapNone/>
                      <wp:docPr id="338" name="Frame337"/>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80340" cy="175260"/>
                      <wp:effectExtent l="0" t="0" r="0" b="0"/>
                      <wp:wrapNone/>
                      <wp:docPr id="339" name="Frame338"/>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88950" cy="175260"/>
                      <wp:effectExtent l="0" t="0" r="0" b="0"/>
                      <wp:wrapNone/>
                      <wp:docPr id="340" name="Frame339"/>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29235" cy="175260"/>
                      <wp:effectExtent l="0" t="0" r="0" b="0"/>
                      <wp:wrapNone/>
                      <wp:docPr id="341" name="Frame3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33985" cy="175260"/>
                      <wp:effectExtent l="0" t="0" r="0" b="0"/>
                      <wp:wrapNone/>
                      <wp:docPr id="342" name="Frame3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38785" cy="175260"/>
                      <wp:effectExtent l="0" t="0" r="0" b="0"/>
                      <wp:wrapNone/>
                      <wp:docPr id="343" name="Frame34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553085" cy="175260"/>
                      <wp:effectExtent l="0" t="0" r="0" b="0"/>
                      <wp:wrapNone/>
                      <wp:docPr id="345" name="Frame344"/>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0660" cy="175260"/>
                      <wp:effectExtent l="0" t="0" r="0" b="0"/>
                      <wp:wrapNone/>
                      <wp:docPr id="346" name="Frame34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9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6" w:type="dxa"/>
            <w:tcBorders/>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4,443</w:t>
            </w:r>
          </w:p>
        </w:tc>
        <w:tc>
          <w:tcPr>
            <w:tcW w:w="486" w:type="dxa"/>
            <w:tcBorders/>
            <w:shd w:fill="CCEEFF" w:val="clear"/>
            <w:vAlign w:val="center"/>
          </w:tcPr>
          <w:p>
            <w:pPr>
              <w:pStyle w:val="TableContents"/>
              <w:bidi w:val="0"/>
              <w:spacing w:before="0" w:after="0"/>
              <w:ind w:left="0" w:right="0" w:hanging="0"/>
              <w:jc w:val="left"/>
              <w:rPr/>
            </w:pPr>
            <w:r>
              <w:rPr/>
              <w:t>​</w:t>
            </w:r>
          </w:p>
        </w:tc>
        <w:tc>
          <w:tcPr>
            <w:tcW w:w="2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5,764</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w:t>
            </w:r>
          </w:p>
        </w:tc>
        <w:tc>
          <w:tcPr>
            <w:tcW w:w="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84" w:type="dxa"/>
            <w:tcBorders/>
            <w:vAlign w:val="center"/>
          </w:tcPr>
          <w:p>
            <w:pPr>
              <w:pStyle w:val="TableContents"/>
              <w:bidi w:val="0"/>
              <w:spacing w:before="0" w:after="0"/>
              <w:ind w:left="0" w:right="0" w:hanging="0"/>
              <w:jc w:val="left"/>
              <w:rPr/>
            </w:pPr>
            <w:r>
              <w:rPr/>
              <w:t> </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costs for the nine months ended September 30, 2024 and 2023 were $4.4 million and $5.8 million, respectively. The decrease of $1.3 million is primarily due to a $0.4 million decrease in stock-based compensation, a $0.3 million decrease in insurance premiums, a $0.3 million decrease in consulting and third-party service fees, a $0.2 million decrease in legal fees, a $0.1 million decrease in computer software and support and a $0.1 million decrease in travel and miscellaneous office expenses, partially offset by a $0.2 million increase in public relations and annual meeting costs.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Severance Expense:</w:t>
      </w:r>
    </w:p>
    <w:p>
      <w:pPr>
        <w:pStyle w:val="TextBody"/>
        <w:bidi w:val="0"/>
        <w:spacing w:before="0" w:after="0"/>
        <w:ind w:left="0" w:right="0" w:hanging="0"/>
        <w:jc w:val="left"/>
        <w:rPr/>
      </w:pPr>
      <w:r>
        <w:rPr/>
        <w:t>​</w:t>
      </w:r>
    </w:p>
    <w:tbl>
      <w:tblPr>
        <w:tblW w:w="7595" w:type="dxa"/>
        <w:jc w:val="left"/>
        <w:tblInd w:w="0" w:type="dxa"/>
        <w:tblLayout w:type="fixed"/>
        <w:tblCellMar>
          <w:top w:w="0" w:type="dxa"/>
          <w:left w:w="0" w:type="dxa"/>
          <w:bottom w:w="0" w:type="dxa"/>
          <w:right w:w="0" w:type="dxa"/>
        </w:tblCellMar>
      </w:tblPr>
      <w:tblGrid>
        <w:gridCol w:w="2041"/>
        <w:gridCol w:w="326"/>
        <w:gridCol w:w="308"/>
        <w:gridCol w:w="835"/>
        <w:gridCol w:w="527"/>
        <w:gridCol w:w="308"/>
        <w:gridCol w:w="615"/>
        <w:gridCol w:w="326"/>
        <w:gridCol w:w="214"/>
        <w:gridCol w:w="582"/>
        <w:gridCol w:w="326"/>
        <w:gridCol w:w="871"/>
        <w:gridCol w:w="316"/>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296035" cy="175260"/>
                      <wp:effectExtent l="0" t="0" r="0" b="0"/>
                      <wp:wrapNone/>
                      <wp:docPr id="347" name="Frame34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95580" cy="175260"/>
                      <wp:effectExtent l="0" t="0" r="0" b="0"/>
                      <wp:wrapNone/>
                      <wp:docPr id="349" name="Frame348"/>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30225" cy="175260"/>
                      <wp:effectExtent l="0" t="0" r="0" b="0"/>
                      <wp:wrapNone/>
                      <wp:docPr id="350" name="Frame349"/>
                      <a:graphic xmlns:a="http://schemas.openxmlformats.org/drawingml/2006/main">
                        <a:graphicData uri="http://schemas.microsoft.com/office/word/2010/wordprocessingShape">
                          <wps:wsp>
                            <wps:cNvSpPr txBox="1"/>
                            <wps:spPr>
                              <a:xfrm>
                                <a:off x="0" y="0"/>
                                <a:ext cx="530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34645" cy="175260"/>
                      <wp:effectExtent l="0" t="0" r="0" b="0"/>
                      <wp:wrapNone/>
                      <wp:docPr id="351" name="Frame350"/>
                      <a:graphic xmlns:a="http://schemas.openxmlformats.org/drawingml/2006/main">
                        <a:graphicData uri="http://schemas.microsoft.com/office/word/2010/wordprocessingShape">
                          <wps:wsp>
                            <wps:cNvSpPr txBox="1"/>
                            <wps:spPr>
                              <a:xfrm>
                                <a:off x="0" y="0"/>
                                <a:ext cx="334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95580" cy="175260"/>
                      <wp:effectExtent l="0" t="0" r="0" b="0"/>
                      <wp:wrapNone/>
                      <wp:docPr id="352" name="Frame351"/>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90525" cy="175260"/>
                      <wp:effectExtent l="0" t="0" r="0" b="0"/>
                      <wp:wrapNone/>
                      <wp:docPr id="353" name="Frame35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5890" cy="175260"/>
                      <wp:effectExtent l="0" t="0" r="0" b="0"/>
                      <wp:wrapNone/>
                      <wp:docPr id="355" name="Frame35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369570" cy="175260"/>
                      <wp:effectExtent l="0" t="0" r="0" b="0"/>
                      <wp:wrapNone/>
                      <wp:docPr id="356" name="Frame355"/>
                      <a:graphic xmlns:a="http://schemas.openxmlformats.org/drawingml/2006/main">
                        <a:graphicData uri="http://schemas.microsoft.com/office/word/2010/wordprocessingShape">
                          <wps:wsp>
                            <wps:cNvSpPr txBox="1"/>
                            <wps:spPr>
                              <a:xfrm>
                                <a:off x="0" y="0"/>
                                <a:ext cx="369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53085" cy="175260"/>
                      <wp:effectExtent l="0" t="0" r="0" b="0"/>
                      <wp:wrapNone/>
                      <wp:docPr id="358" name="Frame357"/>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0660" cy="175260"/>
                      <wp:effectExtent l="0" t="0" r="0" b="0"/>
                      <wp:wrapNone/>
                      <wp:docPr id="359" name="Frame35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center"/>
              <w:rPr/>
            </w:pPr>
            <w:r>
              <w:rPr/>
              <w:t> </w:t>
            </w:r>
          </w:p>
        </w:tc>
      </w:tr>
      <w:tr>
        <w:trPr/>
        <w:tc>
          <w:tcPr>
            <w:tcW w:w="20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527" w:type="dxa"/>
            <w:tcBorders/>
            <w:vAlign w:val="center"/>
          </w:tcPr>
          <w:p>
            <w:pPr>
              <w:pStyle w:val="TableContents"/>
              <w:bidi w:val="0"/>
              <w:spacing w:before="0" w:after="0"/>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center"/>
              <w:rPr/>
            </w:pPr>
            <w:r>
              <w:rPr/>
              <w:t> </w:t>
            </w:r>
          </w:p>
        </w:tc>
      </w:tr>
      <w:tr>
        <w:trPr/>
        <w:tc>
          <w:tcPr>
            <w:tcW w:w="2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Severance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527" w:type="dxa"/>
            <w:tcBorders/>
            <w:shd w:fill="CCEEFF" w:val="clear"/>
            <w:vAlign w:val="center"/>
          </w:tcPr>
          <w:p>
            <w:pPr>
              <w:pStyle w:val="TableContents"/>
              <w:bidi w:val="0"/>
              <w:spacing w:before="0" w:after="0"/>
              <w:ind w:left="0" w:right="0" w:hanging="0"/>
              <w:jc w:val="left"/>
              <w:rPr/>
            </w:pPr>
            <w:r>
              <w:rPr/>
              <w:t> </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 of total revenue</w:t>
            </w:r>
          </w:p>
        </w:tc>
        <w:tc>
          <w:tcPr>
            <w:tcW w:w="326"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w:t>
            </w:r>
          </w:p>
        </w:tc>
        <w:tc>
          <w:tcPr>
            <w:tcW w:w="5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08"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pPr>
            <w:r>
              <w:rPr/>
              <w:t>  </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Severance expense for the nine months ended September 30, 2024 and 2023 was $1.4 million and $0.4 million, respectively. The increase of $1.0 million is primarily due to the departure of the former CEO during 2024 for which $1.2 million in severance expense was recorded, partially offset by $0.3 million in severance expense recorded during 2023 due to the departure of the former CFO.</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(expense) income, net:</w:t>
      </w:r>
    </w:p>
    <w:p>
      <w:pPr>
        <w:pStyle w:val="TextBody"/>
        <w:bidi w:val="0"/>
        <w:spacing w:before="0" w:after="0"/>
        <w:ind w:left="0" w:right="0" w:hanging="0"/>
        <w:jc w:val="left"/>
        <w:rPr/>
      </w:pPr>
      <w:r>
        <w:rPr/>
        <w:t>​</w:t>
      </w:r>
    </w:p>
    <w:tbl>
      <w:tblPr>
        <w:tblW w:w="9066" w:type="dxa"/>
        <w:jc w:val="left"/>
        <w:tblInd w:w="0" w:type="dxa"/>
        <w:tblLayout w:type="fixed"/>
        <w:tblCellMar>
          <w:top w:w="0" w:type="dxa"/>
          <w:left w:w="0" w:type="dxa"/>
          <w:bottom w:w="0" w:type="dxa"/>
          <w:right w:w="0" w:type="dxa"/>
        </w:tblCellMar>
      </w:tblPr>
      <w:tblGrid>
        <w:gridCol w:w="3406"/>
        <w:gridCol w:w="326"/>
        <w:gridCol w:w="314"/>
        <w:gridCol w:w="628"/>
        <w:gridCol w:w="486"/>
        <w:gridCol w:w="314"/>
        <w:gridCol w:w="851"/>
        <w:gridCol w:w="326"/>
        <w:gridCol w:w="211"/>
        <w:gridCol w:w="691"/>
        <w:gridCol w:w="326"/>
        <w:gridCol w:w="871"/>
        <w:gridCol w:w="31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62810" cy="175260"/>
                      <wp:effectExtent l="0" t="0" r="0" b="0"/>
                      <wp:wrapNone/>
                      <wp:docPr id="360" name="Frame359"/>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99390" cy="175260"/>
                      <wp:effectExtent l="0" t="0" r="0" b="0"/>
                      <wp:wrapNone/>
                      <wp:docPr id="362" name="Frame361"/>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398780" cy="175260"/>
                      <wp:effectExtent l="0" t="0" r="0" b="0"/>
                      <wp:wrapNone/>
                      <wp:docPr id="363" name="Frame362"/>
                      <a:graphic xmlns:a="http://schemas.openxmlformats.org/drawingml/2006/main">
                        <a:graphicData uri="http://schemas.microsoft.com/office/word/2010/wordprocessingShape">
                          <wps:wsp>
                            <wps:cNvSpPr txBox="1"/>
                            <wps:spPr>
                              <a:xfrm>
                                <a:off x="0" y="0"/>
                                <a:ext cx="398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08610" cy="175260"/>
                      <wp:effectExtent l="0" t="0" r="0" b="0"/>
                      <wp:wrapNone/>
                      <wp:docPr id="364" name="Frame363"/>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199390" cy="175260"/>
                      <wp:effectExtent l="0" t="0" r="0" b="0"/>
                      <wp:wrapNone/>
                      <wp:docPr id="365" name="Frame364"/>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40385" cy="175260"/>
                      <wp:effectExtent l="0" t="0" r="0" b="0"/>
                      <wp:wrapNone/>
                      <wp:docPr id="366" name="Frame365"/>
                      <a:graphic xmlns:a="http://schemas.openxmlformats.org/drawingml/2006/main">
                        <a:graphicData uri="http://schemas.microsoft.com/office/word/2010/wordprocessingShape">
                          <wps:wsp>
                            <wps:cNvSpPr txBox="1"/>
                            <wps:spPr>
                              <a:xfrm>
                                <a:off x="0" y="0"/>
                                <a:ext cx="54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33985" cy="175260"/>
                      <wp:effectExtent l="0" t="0" r="0" b="0"/>
                      <wp:wrapNone/>
                      <wp:docPr id="368"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438785" cy="175260"/>
                      <wp:effectExtent l="0" t="0" r="0" b="0"/>
                      <wp:wrapNone/>
                      <wp:docPr id="369" name="Frame36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07010" cy="175260"/>
                      <wp:effectExtent l="0" t="0" r="0" b="0"/>
                      <wp:wrapNone/>
                      <wp:docPr id="370" name="Frame3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553085" cy="175260"/>
                      <wp:effectExtent l="0" t="0" r="0" b="0"/>
                      <wp:wrapNone/>
                      <wp:docPr id="371" name="Frame37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00660" cy="175260"/>
                      <wp:effectExtent l="0" t="0" r="0" b="0"/>
                      <wp:wrapNone/>
                      <wp:docPr id="372" name="Frame3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center"/>
              <w:rPr/>
            </w:pPr>
            <w:r>
              <w:rPr/>
              <w:t>  </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6" w:type="dxa"/>
            <w:tcBorders/>
            <w:vAlign w:val="center"/>
          </w:tcPr>
          <w:p>
            <w:pPr>
              <w:pStyle w:val="TableContents"/>
              <w:bidi w:val="0"/>
              <w:spacing w:before="0" w:after="0"/>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16" w:type="dxa"/>
            <w:tcBorders/>
            <w:vAlign w:val="center"/>
          </w:tcPr>
          <w:p>
            <w:pPr>
              <w:pStyle w:val="TableContents"/>
              <w:bidi w:val="0"/>
              <w:spacing w:before="0" w:after="0"/>
              <w:ind w:left="0" w:right="0" w:hanging="0"/>
              <w:jc w:val="left"/>
              <w:rPr/>
            </w:pPr>
            <w:r>
              <w:rPr/>
              <w:t> </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w:t>
            </w:r>
          </w:p>
        </w:tc>
        <w:tc>
          <w:tcPr>
            <w:tcW w:w="32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shd w:fill="CCEEFF" w:val="clear"/>
            <w:vAlign w:val="center"/>
          </w:tcPr>
          <w:p>
            <w:pPr>
              <w:pStyle w:val="TableContents"/>
              <w:bidi w:val="0"/>
              <w:spacing w:before="0" w:after="0"/>
              <w:ind w:left="0" w:right="0" w:hanging="0"/>
              <w:jc w:val="right"/>
              <w:rPr/>
            </w:pPr>
            <w:r>
              <w:rPr/>
              <w:t>—</w:t>
            </w:r>
          </w:p>
        </w:tc>
        <w:tc>
          <w:tcPr>
            <w:tcW w:w="486" w:type="dxa"/>
            <w:tcBorders/>
            <w:shd w:fill="CCEEFF" w:val="clear"/>
            <w:vAlign w:val="center"/>
          </w:tcPr>
          <w:p>
            <w:pPr>
              <w:pStyle w:val="TableContents"/>
              <w:bidi w:val="0"/>
              <w:spacing w:before="0" w:after="0"/>
              <w:ind w:left="0" w:right="0" w:hanging="0"/>
              <w:jc w:val="left"/>
              <w:rPr/>
            </w:pPr>
            <w:r>
              <w:rPr/>
              <w:t> </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2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6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486"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pPr>
            <w:r>
              <w:rPr/>
              <w:t>​</w:t>
            </w:r>
          </w:p>
        </w:tc>
        <w:tc>
          <w:tcPr>
            <w:tcW w:w="8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(2,272)</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486" w:type="dxa"/>
            <w:tcBorders/>
            <w:shd w:fill="CCEEFF" w:val="clear"/>
            <w:vAlign w:val="center"/>
          </w:tcPr>
          <w:p>
            <w:pPr>
              <w:pStyle w:val="TableContents"/>
              <w:bidi w:val="0"/>
              <w:spacing w:before="0" w:after="0"/>
              <w:ind w:left="0" w:right="0" w:hanging="0"/>
              <w:jc w:val="left"/>
              <w:rPr/>
            </w:pPr>
            <w:r>
              <w:rPr/>
              <w:t> </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w:t>
            </w:r>
          </w:p>
        </w:tc>
        <w:tc>
          <w:tcPr>
            <w:tcW w:w="326"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 income, net</w:t>
            </w:r>
          </w:p>
        </w:tc>
        <w:tc>
          <w:tcPr>
            <w:tcW w:w="32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w:t>
            </w:r>
          </w:p>
        </w:tc>
        <w:tc>
          <w:tcPr>
            <w:tcW w:w="486" w:type="dxa"/>
            <w:tcBorders/>
            <w:vAlign w:val="center"/>
          </w:tcPr>
          <w:p>
            <w:pPr>
              <w:pStyle w:val="TableContents"/>
              <w:bidi w:val="0"/>
              <w:spacing w:before="0" w:after="0"/>
              <w:ind w:left="0" w:right="0" w:hanging="0"/>
              <w:jc w:val="left"/>
              <w:rPr/>
            </w:pPr>
            <w:r>
              <w:rPr/>
              <w:t> </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(2,113)</w:t>
            </w:r>
          </w:p>
        </w:tc>
        <w:tc>
          <w:tcPr>
            <w:tcW w:w="326" w:type="dxa"/>
            <w:tcBorders/>
            <w:vAlign w:val="center"/>
          </w:tcPr>
          <w:p>
            <w:pPr>
              <w:pStyle w:val="TableContents"/>
              <w:bidi w:val="0"/>
              <w:spacing w:before="0" w:after="0"/>
              <w:ind w:left="0" w:right="0" w:hanging="0"/>
              <w:jc w:val="left"/>
              <w:rPr/>
            </w:pPr>
            <w:r>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Offering costs related to warrant liability were $0.6 million for the nine months ended September 30, 2023. We did not incur such cost during the nine months ended September 30,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income resulting from the change in fair value of the warrant liability was $0.4 million for the nine months ended September 30, 2024 and $2.7 million for the nine months ended September 30, 2023. The changes for both periods were due to a lower market value of our common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income for the nine months ended September 30, 2024 was $0.2 million as compared to interest income of $0.6 million for the nine months ended September 30, 2023. The decrease was due to a lower average cash balance in our savings account during the nine months ended September 30, 2024 compared to the prior year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sz w:val="20"/>
        </w:rPr>
        <w:t xml:space="preserve">Net Loss. </w:t>
      </w:r>
      <w:r>
        <w:rPr>
          <w:rFonts w:ascii="Times New Roman;Times;serif" w:hAnsi="Times New Roman;Times;serif"/>
          <w:sz w:val="20"/>
        </w:rPr>
        <w:t>As a result of the above, net loss for the nine months ended September 30, 2024 was $14.3 million as compared to $14.8 million for the nine months ended September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2024 and 2023, we recorded revenue of $0.3 million and $0.4 million, respectively. We incurred net losses of $14.3 million and $14.8 million for the nine months ended September 30, 2024 and 2023, respectively. Net cash used in operating activities was $14.9 million and $15.9 million for the nine months ended September 30, 2024 and 2023, respectively. As of September 30, 2024, the Company had cash and cash equivalents of $1.5 million. We are currently meeting our liquidity requirements through the proceeds of securities offerings that raised net proceeds of $2.5 million during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current operating levels, we will need to raise additional funds in the next 12 months by selling additional equity or incurring debt.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we gain traction in the market with our new technology and continue to invest capital in transitioning and scaling the business from research and development of new technologies to commercial production, there can be no assurance that our available resources and revenue generated from our business operations will be sufficient to sustain our operations.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Accordingly, we expect to pursue additional financing, which could include offerings of equity or debt securities, bank financings, commercial agreements with customers or strategic partners, and other alternatives, depending upon market conditions. There is no assurance that such financing will be available on terms that we would find acceptable, or at all. If we are unsuccessful in implementing this plan, we will be required to make further cost and expense reductions or modifications to our on-going and strategic plans.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February 2024 Equity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February 15, 2024, we entered into a securities purchase agreement with an institutional investor, providing for the issuance and sale by us, in a registered direct offering (the “February 2024 Offering”), of (i) 570,000 shares of our common stock, (ii) pre-funded warrants to purchase up to 450,409 shares of common stock, and (iii) warrants to purchase up to an aggregate of 1,020,409 shares of common stock. Each share of common stock and pre-funded warrant was offered and sold together with an accompanying warrant at a combined price of $1.96 per share of common stock or pre-funded warrant, as applicable. The pre-funded warrants were exercised at a price of $0.001 per share during April 2024. The other warrants to purchase 1,020,409 shares of common stock are still outstanding and have an exercise price of $1.84 per share. These warrants expire five years from the date of issuance. We received net proceeds of approximately $1.8 million from the February 2024 Offering, after deducting placement agent fees and estimated offering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2024 ATM Offering Program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June 21, 2024, we entered into the At the Market Offering Agreement with H.C. Wainwright &amp; Co., LLC, as sales agent, pursuant to which we may issue and sell of up to $3.45 million in shares of the Company’s common stock (the “ATM Program”). During both the three and nine months ended September 30, 2024, we sold 1,217,168 shares of common stock under the ATM Program, respectively, for net proceeds of approximately $0.7 million (net of $0.2 million in commissions and issuance costs).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September 30, 2024, the Company had remaining capacity to issue up to approximately $2.5 million of common stock under the ATM Program.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Agile Subordinated Loan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Effective October 1, 2024, we entered into a subordinated business loan agreement (the “Original Loan Agreement”) with Agile Capital Funding, LLC and Agile Lending, LLC (collectively, the “Lender”), which provided for an initial term loan of $525,000, with the ability to receive additional term loans of up to $1.6 million, subject to certain conditions (such loans, the “Term Loan”). Principal and interest on the initial term loan in the aggregate amount of $756,000 was to be repaid in weekly payments of $27,000 commencing on October 14, 2024 and fully repaid on or before the maturity date of April 21, 2025. The Term Loan would be expressly subordinated to our obligations on certain senior indebtedness as provided in the Original Loan Agreement. Effective only upon the occurrence and continuance of an event of default under the Loan Agreement, we would grant the Lender a security interest in certain collateral, excluding intellectual property, of Energous Corporation as set forth in the Original Loan Agreement.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November 5, 2024, we entered into an amended subordinated business loan agreement with the Lender (the “Amended Loan Agreement”) to refinance the Term Loan. The Amended Loan Agreement provides for a new term loan of $997,000, with the ability to receive additional term loans of up to $1.6 million, subject to certain conditions (such new loans, the “New Term Loan”). Principal and interest on the initial new term loan in the aggregate amount of $1,415,740 is to be repaid in weekly payments of approximately $39,000 and fully repaid on or before the maturity date of July 17, 2025. The proceeds of the New Term Loan were used to repay in full the Term Loan described above, which had a balance of $648,000 on November 5, 2024, and the remaining proceeds will be used for working capital. The New Term Loan will be expressly subordinated to our obligations on certain senior indebtedness of the Company as provided in the Amended Loan Agreement. The Amended Loan Agreement replaces the Original Loan Agreement and otherwise contains substantially the same terms as the Original Loan Agreement.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Regulation A Offering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October 11, 2024, we filed a Regulation A Offering Statement on Form 1-A with an offering of a maximum of 5,000,000 Units (the “Regulation A Offering”), with each Unit consisting of one share of Series A Convertible Preferred Stock and three common stock purchase warrants, two to each purchase one share of common stock at an exercise price of $1.50 per share and one to purchase one share of common stock at $2.00 per share, for an aggregate of 5,000,000 shares of Series A Convertible Preferred Stock (and 10,000,000 shares of common stock underlying the shares of Series A Convertible Preferred Stock) and warrants to purchase up to an aggregate of 10,000,000 shares of common stock at an exercise price of $1.50 per share and 5,000,000 shares of common stock at an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exercise price of $2.00 per share, at an offering price of $1.50 per Unit, for a maximum offering amount of $7,500,000. The Regulation A Offering is subject to qualification by the SEC.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Operating Activities -</w:t>
      </w:r>
      <w:r>
        <w:rPr>
          <w:rFonts w:ascii="Times New Roman;Times;serif" w:hAnsi="Times New Roman;Times;serif"/>
          <w:sz w:val="20"/>
        </w:rPr>
        <w:t xml:space="preserve"> During the nine months ended September 30, 2024, cash flows used in operating activities were $14.9 million, consisting of a net loss of $14.3 million, less adjustments to reconcile net loss to net cash used in operating activities aggregating $0.4 million (principally stock-based compensation of $0.7 million and depreciation and amortization of $0.1 million, partially offset by a change in fair value of warrant liability of $0.4 million), a $0.3 million decrease in accounts payable, a $0.3 million decrease in accrued expenses, a $0.3 million increase in inventory and a $0.1 decrease in accrued severance.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nine months ended September 30, 2023, cash flows used in operating activities were $15.9 million, consisting of a net loss of $14.8 million, plus adjustments to reconcile net loss to net cash used in operating activities aggregating $0.4 million (principally stock-based compensation of $1.4 million, issuance costs allocated to warrant liability of $0.6 million, inventory net realizable adjustment of $0.2 million and depreciation and amortization expense of $0.1 million, partially offset by a decrease in fair value of the warrant liability of $2.7 million), a $0.3 million increase in inventory, a $0.2 million decrease in accrued severance expense, a $0.1 million decrease in accounts payable, a $0.1 decrease in accrued expenses and a $0.1 million increase in prepaid expenses and other current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Investing Activities -</w:t>
      </w:r>
      <w:r>
        <w:rPr>
          <w:rFonts w:ascii="Times New Roman;Times;serif" w:hAnsi="Times New Roman;Times;serif"/>
          <w:sz w:val="20"/>
        </w:rPr>
        <w:t xml:space="preserve"> During the nine months ended September 30, 2024 and 2023, cash flows used in investing activities were $0.1 million and $0.1 million, respectively. During each of the nine months ended September 30, 2024 and 2023, a small amount of testing and computer equipment was purchased.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Financing Activities -</w:t>
      </w:r>
      <w:r>
        <w:rPr>
          <w:rFonts w:ascii="Times New Roman;Times;serif" w:hAnsi="Times New Roman;Times;serif"/>
          <w:sz w:val="20"/>
        </w:rPr>
        <w:t xml:space="preserve"> During the nine months ended September 30, 2024, cash flows provided by financing activities were $2.5 million, which primarily consisted of $1.8 million in net proceeds from a registered direct offering that included the sale of common stock, pre-funded warrants and warrants and $0.8 million in net proceeds from the sale of shares of our common stock under the ATM Program. During the nine months ended September 30, 2023, cash flows provided by financing activities were $6.3 million, which consisted of $3.6 million in net proceeds from the sale of shares of our common stock under the Prior ATM Program, $2.7 million in net proceeds from the issuance and sale of common stock and warrants and $0.1 million in proceeds from the ESPP.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in receipt of approximately $0.2 million of additional confirmed orders (“backlog”), the majority of which are scheduled to ship in the fourth quarter of 2024.</w:t>
      </w:r>
    </w:p>
    <w:p>
      <w:pPr>
        <w:pStyle w:val="TextBody"/>
        <w:bidi w:val="0"/>
        <w:spacing w:before="0" w:after="240"/>
        <w:ind w:left="0" w:right="0" w:hanging="0"/>
        <w:jc w:val="left"/>
        <w:rPr>
          <w:rFonts w:ascii="Times New Roman;Times;serif" w:hAnsi="Times New Roman;Times;serif"/>
          <w:b/>
          <w:sz w:val="20"/>
        </w:rPr>
      </w:pPr>
      <w:bookmarkStart w:id="1084" w:name="Item3QuantitativeandQualitativeDisclosur"/>
      <w:bookmarkStart w:id="1085" w:name="_f7070e41_b278_4b01_bc52_293714c8ec8f"/>
      <w:bookmarkEnd w:id="1084"/>
      <w:bookmarkEnd w:id="1085"/>
      <w:r>
        <w:rPr>
          <w:rFonts w:ascii="Times New Roman;Times;serif" w:hAnsi="Times New Roman;Times;serif"/>
          <w:b/>
          <w:sz w:val="20"/>
        </w:rPr>
        <w:t>Item 3. Quantitative and Qualitative Disclosure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smaller reporting company, we are not required to provide this information.</w:t>
      </w:r>
    </w:p>
    <w:p>
      <w:pPr>
        <w:pStyle w:val="TextBody"/>
        <w:bidi w:val="0"/>
        <w:spacing w:before="0" w:after="240"/>
        <w:ind w:left="0" w:right="0" w:hanging="0"/>
        <w:jc w:val="left"/>
        <w:rPr>
          <w:rFonts w:ascii="Times New Roman;Times;serif" w:hAnsi="Times New Roman;Times;serif"/>
          <w:b/>
          <w:sz w:val="20"/>
        </w:rPr>
      </w:pPr>
      <w:bookmarkStart w:id="1086" w:name="Item4ControlsandProcedures_905555"/>
      <w:bookmarkStart w:id="1087" w:name="_f76d39ed_5bd0_4e64_ad46_83b4c3ff4278"/>
      <w:bookmarkEnd w:id="1086"/>
      <w:bookmarkEnd w:id="1087"/>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established disclosure controls and procedures to ensure that material information relating to us is made known to the officers who certify our financial reports and the Board. Under the supervision and with the participation of our management, including our principal executive officer and principal financial officer, we conducted an evaluation of our disclosure controls and procedures as such term is defined under Rule 13a-15(e) and 15d-15(e) under the Exchange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Based on the evaluation, our principal executive officer and principal financial officer concluded that these disclosure controls and procedures were effective as of September 30, 2024 to provide reasonable assurance that information required to be disclosed by us in reports that we file under the Exchange Act is recorded, processed, summarized, and reported, within the time periods specified in the SEC’s rules and forms and that information required to be disclosed by us in our reports filed or submitted under the Exchange Act is accumulated and communicated to management, including our interim principal executive officer and principal financial officer, as appropriate to allow timely decisions regarding required disclosures.</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three months ended September 30, 2024, there were no changes in our internal control over financial reporting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088" w:name="PARTIIOTHERINFORMATION_171956"/>
      <w:bookmarkStart w:id="1089" w:name="_e47ce323_6222_4880_a9c7_cc1035dfdea9"/>
      <w:bookmarkEnd w:id="1088"/>
      <w:bookmarkEnd w:id="108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90" w:name="Item1LegalProceedings_899286"/>
      <w:bookmarkEnd w:id="1090"/>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not currently a party to any pending legal proceedings that we believe will have a material adverse effect on our business, financial condition or cash flows. We may, however, be subject to various claims and legal actions arising in the ordinary course of business from time to time.</w:t>
      </w:r>
    </w:p>
    <w:p>
      <w:pPr>
        <w:pStyle w:val="TextBody"/>
        <w:bidi w:val="0"/>
        <w:spacing w:before="0" w:after="240"/>
        <w:ind w:left="0" w:right="0" w:hanging="0"/>
        <w:jc w:val="left"/>
        <w:rPr>
          <w:rFonts w:ascii="Times New Roman;Times;serif" w:hAnsi="Times New Roman;Times;serif"/>
          <w:b/>
          <w:sz w:val="20"/>
        </w:rPr>
      </w:pPr>
      <w:bookmarkStart w:id="1091" w:name="Item1ARiskFactors_566555"/>
      <w:bookmarkStart w:id="1092" w:name="_3e867b1c_4c59_4b52_8890_a98dc6c42dee"/>
      <w:bookmarkEnd w:id="1091"/>
      <w:bookmarkEnd w:id="1092"/>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future performance is subject to a variety of risks and uncertainties that could materially and adversely affect our business, financial condition, results of operations, and the trading price of our common stock. These risks and uncertainties are described in Part I, Item 1A. “Risk Factors” in our Annual Report on Form 10-K for the year ended December 31, 2023. There have been no material changes to these risks and uncertainties described in our Annual Report on Form 10-K for the year ended December 31, 2023.</w:t>
      </w:r>
    </w:p>
    <w:p>
      <w:pPr>
        <w:pStyle w:val="TextBody"/>
        <w:bidi w:val="0"/>
        <w:spacing w:before="0" w:after="240"/>
        <w:ind w:left="0" w:right="0" w:hanging="0"/>
        <w:jc w:val="left"/>
        <w:rPr>
          <w:rFonts w:ascii="Times New Roman;Times;serif" w:hAnsi="Times New Roman;Times;serif"/>
          <w:b/>
          <w:sz w:val="20"/>
        </w:rPr>
      </w:pPr>
      <w:bookmarkStart w:id="1093" w:name="Item2UnregisteredSalesofEquitySecurities"/>
      <w:bookmarkStart w:id="1094" w:name="_2effee1f_cba4_4adb_8f54_51e6d5ed3ad6"/>
      <w:bookmarkEnd w:id="1093"/>
      <w:bookmarkEnd w:id="109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95" w:name="Item3DefaultsUponSeniorSecurities_774055"/>
      <w:bookmarkStart w:id="1096" w:name="_37b47f1c_1b22_448d_937c_35a534f8808f"/>
      <w:bookmarkEnd w:id="1095"/>
      <w:bookmarkEnd w:id="1096"/>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97" w:name="Item4MineSafetyDisclosures_549213"/>
      <w:bookmarkStart w:id="1098" w:name="_26be7291_5774_49e8_b50c_3cfb29e69c52"/>
      <w:bookmarkEnd w:id="1097"/>
      <w:bookmarkEnd w:id="1098"/>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99" w:name="Item5OtherInformation_27695"/>
      <w:bookmarkStart w:id="1100" w:name="_70c7198e_00d1_42d1_9e8b_398157d4bd92"/>
      <w:bookmarkEnd w:id="1099"/>
      <w:bookmarkEnd w:id="1100"/>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three months ended September 30, 2024,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01" w:name="Item6Exhibits_285226"/>
      <w:bookmarkStart w:id="1102" w:name="_434ca964_5924_4fff_b527_44a1c6838eb9"/>
      <w:bookmarkEnd w:id="1101"/>
      <w:bookmarkEnd w:id="1102"/>
      <w:r>
        <w:rPr>
          <w:rFonts w:ascii="Times New Roman;Times;serif" w:hAnsi="Times New Roman;Times;serif"/>
          <w:b/>
          <w:sz w:val="20"/>
        </w:rPr>
        <w:t>Item 6.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are filed, furnished or incorporated by reference as a part of this Quarterly Report on Form 10-Q:</w:t>
      </w:r>
    </w:p>
    <w:tbl>
      <w:tblPr>
        <w:tblW w:w="15504" w:type="dxa"/>
        <w:jc w:val="left"/>
        <w:tblInd w:w="0" w:type="dxa"/>
        <w:tblLayout w:type="fixed"/>
        <w:tblCellMar>
          <w:top w:w="0" w:type="dxa"/>
          <w:left w:w="0" w:type="dxa"/>
          <w:bottom w:w="0" w:type="dxa"/>
          <w:right w:w="0" w:type="dxa"/>
        </w:tblCellMar>
      </w:tblPr>
      <w:tblGrid>
        <w:gridCol w:w="706"/>
        <w:gridCol w:w="326"/>
        <w:gridCol w:w="14281"/>
        <w:gridCol w:w="191"/>
      </w:tblGrid>
      <w:tr>
        <w:trPr/>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48310" cy="175260"/>
                      <wp:effectExtent l="0" t="0" r="0" b="0"/>
                      <wp:wrapNone/>
                      <wp:docPr id="373" name="Frame372"/>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75"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21285" cy="175260"/>
                      <wp:effectExtent l="0" t="0" r="0" b="0"/>
                      <wp:wrapNone/>
                      <wp:docPr id="376" name="Frame37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br/>
            </w:r>
            <w:r>
              <w:rPr>
                <w:rFonts w:ascii="Times New Roman;Times;serif" w:hAnsi="Times New Roman;Times;serif"/>
                <w:b/>
                <w:sz w:val="16"/>
              </w:rPr>
              <w:t>Number</w:t>
            </w:r>
          </w:p>
        </w:tc>
        <w:tc>
          <w:tcPr>
            <w:tcW w:w="326"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c>
          <w:tcPr>
            <w:tcW w:w="1428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191" w:type="dxa"/>
            <w:tcBorders>
              <w:bottom w:val="single" w:sz="8" w:space="0" w:color="000000"/>
            </w:tcBorders>
            <w:tcMar>
              <w:bottom w:w="28" w:type="dxa"/>
            </w:tcMar>
            <w:vAlign w:val="center"/>
          </w:tcPr>
          <w:p>
            <w:pPr>
              <w:pStyle w:val="TableContents"/>
              <w:bidi w:val="0"/>
              <w:spacing w:before="0" w:after="0"/>
              <w:ind w:left="0" w:right="0" w:hanging="0"/>
              <w:jc w:val="left"/>
              <w:rPr/>
            </w:pPr>
            <w:r>
              <w:rPr/>
              <w:t> </w:t>
            </w:r>
          </w:p>
        </w:tc>
      </w:tr>
      <w:tr>
        <w:trPr/>
        <w:tc>
          <w:tcPr>
            <w:tcW w:w="706"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top w:val="single" w:sz="8" w:space="0" w:color="000000"/>
            </w:tcBorders>
            <w:tcMar>
              <w:top w:w="28" w:type="dxa"/>
            </w:tcMar>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Second Amended and Restated Certificate of Incorporation of Energous Corporation, as amended (incorporated by reference to Exhibit 3.1 to the Quarterly Report on Form 10-Q filed on August 10, 2020).</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the Second Amended and Restated Certificate of Incorporation of Energous Corporation (incorporated by reference to Exhibit 3.1 to the Current Report on Form 8-K filed on August 15, 2023).</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Amended and Restated Bylaws of Energous Corporation (incorporated by reference to Exhibit 3.2 to Amendment No. 1 to the Registrant’s Registration Statement on Form S-1/A (File No. 333-193522) filed on March 13, 2014).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w:anchor="watt-20240930xex31d1.htm">
              <w:r>
                <w:rPr>
                  <w:rStyle w:val="InternetLink"/>
                  <w:rFonts w:ascii="Times New Roman;Times;serif" w:hAnsi="Times New Roman;Times;serif"/>
                  <w:b w:val="false"/>
                  <w:i w:val="false"/>
                  <w:caps w:val="false"/>
                  <w:smallCaps w:val="false"/>
                  <w:sz w:val="20"/>
                </w:rPr>
                <w:t>Certification Pursuant to Rule 13a-14(a) or Rule 15d-14(a) of the Securities Exchange Act of 1934</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hyperlink w:anchor="watt-20240930xex32d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w:t>
              </w:r>
            </w:hyperlink>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70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14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contained in Exhibit 101)</w:t>
            </w:r>
          </w:p>
        </w:tc>
        <w:tc>
          <w:tcPr>
            <w:tcW w:w="191" w:type="dxa"/>
            <w:tcBorders/>
            <w:vAlign w:val="center"/>
          </w:tcPr>
          <w:p>
            <w:pPr>
              <w:pStyle w:val="TableContents"/>
              <w:bidi w:val="0"/>
              <w:spacing w:before="0" w:after="0"/>
              <w:ind w:left="0" w:right="0" w:hanging="0"/>
              <w:jc w:val="left"/>
              <w:rPr/>
            </w:pPr>
            <w:r>
              <w:rPr/>
              <w:t>​</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left"/>
              <w:rPr/>
            </w:pPr>
            <w:r>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1982" w:type="dxa"/>
        <w:jc w:val="left"/>
        <w:tblInd w:w="0" w:type="dxa"/>
        <w:tblLayout w:type="fixed"/>
        <w:tblCellMar>
          <w:top w:w="0" w:type="dxa"/>
          <w:left w:w="0" w:type="dxa"/>
          <w:bottom w:w="0" w:type="dxa"/>
          <w:right w:w="0" w:type="dxa"/>
        </w:tblCellMar>
      </w:tblPr>
      <w:tblGrid>
        <w:gridCol w:w="226"/>
        <w:gridCol w:w="175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103" w:name="_21885537_cb4d_465a_839d_d2ae8f88bca3"/>
      <w:bookmarkEnd w:id="1103"/>
      <w:r>
        <w:rPr>
          <w:rFonts w:ascii="Times New Roman;Times;serif" w:hAnsi="Times New Roman;Times;serif"/>
          <w:b/>
          <w:sz w:val="20"/>
        </w:rPr>
        <w:t>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tbl>
      <w:tblPr>
        <w:tblW w:w="7564" w:type="dxa"/>
        <w:jc w:val="left"/>
        <w:tblInd w:w="0" w:type="dxa"/>
        <w:tblLayout w:type="fixed"/>
        <w:tblCellMar>
          <w:top w:w="0" w:type="dxa"/>
          <w:left w:w="0" w:type="dxa"/>
          <w:bottom w:w="0" w:type="dxa"/>
          <w:right w:w="0" w:type="dxa"/>
        </w:tblCellMar>
      </w:tblPr>
      <w:tblGrid>
        <w:gridCol w:w="2206"/>
        <w:gridCol w:w="203"/>
        <w:gridCol w:w="203"/>
        <w:gridCol w:w="631"/>
        <w:gridCol w:w="4321"/>
      </w:tblGrid>
      <w:tr>
        <w:trPr/>
        <w:tc>
          <w:tcPr>
            <w:tcW w:w="2206"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203"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400685" cy="175260"/>
                      <wp:effectExtent l="0" t="0" r="0" b="0"/>
                      <wp:wrapNone/>
                      <wp:docPr id="377" name="Frame37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743835" cy="175260"/>
                      <wp:effectExtent l="0" t="0" r="0" b="0"/>
                      <wp:wrapNone/>
                      <wp:docPr id="378" name="Frame377"/>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ENERGOUS CORPORATION</w: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2206" w:type="dxa"/>
            <w:tcBorders/>
            <w:vAlign w:val="center"/>
          </w:tcPr>
          <w:p>
            <w:pPr>
              <w:pStyle w:val="TableContents"/>
              <w:bidi w:val="0"/>
              <w:spacing w:before="0" w:after="0"/>
              <w:ind w:left="0" w:right="0" w:hanging="0"/>
              <w:jc w:val="left"/>
              <w:rPr/>
            </w:pPr>
            <w:r>
              <w:rPr/>
              <w:t> </w:t>
            </w:r>
          </w:p>
        </w:tc>
        <w:tc>
          <w:tcPr>
            <w:tcW w:w="5358" w:type="dxa"/>
            <w:gridSpan w:val="4"/>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2024</w:t>
            </w:r>
          </w:p>
        </w:tc>
        <w:tc>
          <w:tcPr>
            <w:tcW w:w="40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95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r>
      <w:tr>
        <w:trPr/>
        <w:tc>
          <w:tcPr>
            <w:tcW w:w="2206" w:type="dxa"/>
            <w:tcBorders/>
            <w:vAlign w:val="center"/>
          </w:tcPr>
          <w:p>
            <w:pPr>
              <w:pStyle w:val="TableContents"/>
              <w:bidi w:val="0"/>
              <w:spacing w:before="0" w:after="0"/>
              <w:ind w:left="0" w:right="0" w:hanging="0"/>
              <w:jc w:val="left"/>
              <w:rPr/>
            </w:pPr>
            <w:r>
              <w:rPr/>
              <w:t>​</w:t>
            </w:r>
          </w:p>
        </w:tc>
        <w:tc>
          <w:tcPr>
            <w:tcW w:w="406" w:type="dxa"/>
            <w:gridSpan w:val="2"/>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(Principal Executive Officer, Principal Financial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35</w:t>
      </w:r>
    </w:p>
    <w:p>
      <w:pPr>
        <w:pStyle w:val="TextBody"/>
        <w:pBdr/>
        <w:bidi w:val="0"/>
        <w:spacing w:before="0" w:after="0"/>
        <w:ind w:left="0" w:right="0" w:hanging="0"/>
        <w:jc w:val="right"/>
        <w:rPr>
          <w:rFonts w:ascii="Times New Roman;Times;serif" w:hAnsi="Times New Roman;Times;serif"/>
          <w:b/>
          <w:sz w:val="20"/>
        </w:rPr>
      </w:pPr>
      <w:bookmarkStart w:id="1104" w:name="watt-20240930xex31d1.htm"/>
      <w:bookmarkStart w:id="1105" w:name="kswatt20240930xex31d1"/>
      <w:bookmarkEnd w:id="1104"/>
      <w:bookmarkEnd w:id="1105"/>
      <w:r>
        <w:rPr>
          <w:rFonts w:ascii="Times New Roman;Times;serif" w:hAnsi="Times New Roman;Times;serif"/>
          <w:b/>
          <w:sz w:val="20"/>
        </w:rPr>
        <w:t>EXHIBIT 31.1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Mallorie Burak, certify that:</w:t>
      </w:r>
    </w:p>
    <w:tbl>
      <w:tblPr>
        <w:tblW w:w="6528" w:type="dxa"/>
        <w:jc w:val="left"/>
        <w:tblInd w:w="0" w:type="dxa"/>
        <w:tblLayout w:type="fixed"/>
        <w:tblCellMar>
          <w:top w:w="0" w:type="dxa"/>
          <w:left w:w="0" w:type="dxa"/>
          <w:bottom w:w="0" w:type="dxa"/>
          <w:right w:w="0" w:type="dxa"/>
        </w:tblCellMar>
      </w:tblPr>
      <w:tblGrid>
        <w:gridCol w:w="23"/>
        <w:gridCol w:w="170"/>
        <w:gridCol w:w="633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Energous Corporation;</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center"/>
        <w:rPr/>
      </w:pPr>
      <w:r>
        <w:rPr/>
        <w:t>​</w:t>
      </w:r>
    </w:p>
    <w:tbl>
      <w:tblPr>
        <w:tblW w:w="8196" w:type="dxa"/>
        <w:jc w:val="center"/>
        <w:tblInd w:w="0" w:type="dxa"/>
        <w:tblLayout w:type="fixed"/>
        <w:tblCellMar>
          <w:top w:w="0" w:type="dxa"/>
          <w:left w:w="0" w:type="dxa"/>
          <w:bottom w:w="0" w:type="dxa"/>
          <w:right w:w="0" w:type="dxa"/>
        </w:tblCellMar>
      </w:tblPr>
      <w:tblGrid>
        <w:gridCol w:w="646"/>
        <w:gridCol w:w="7396"/>
        <w:gridCol w:w="154"/>
      </w:tblGrid>
      <w:tr>
        <w:trPr/>
        <w:tc>
          <w:tcPr>
            <w:tcW w:w="80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13, 2024</w:t>
            </w:r>
          </w:p>
        </w:tc>
        <w:tc>
          <w:tcPr>
            <w:tcW w:w="154" w:type="dxa"/>
            <w:tcBorders/>
            <w:vAlign w:val="center"/>
          </w:tcPr>
          <w:p>
            <w:pPr>
              <w:pStyle w:val="TableContents"/>
              <w:bidi w:val="0"/>
              <w:spacing w:before="0" w:after="0"/>
              <w:ind w:left="0" w:right="0" w:hanging="0"/>
              <w:jc w:val="left"/>
              <w:rPr/>
            </w:pPr>
            <w:r>
              <w:rPr/>
              <w:t>​</w:t>
            </w:r>
          </w:p>
        </w:tc>
      </w:tr>
      <w:tr>
        <w:trPr/>
        <w:tc>
          <w:tcPr>
            <w:tcW w:w="8042" w:type="dxa"/>
            <w:gridSpan w:val="2"/>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Mallorie Burak</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pPr>
            <w:r>
              <w:rPr/>
              <w:t>​</w:t>
            </w:r>
          </w:p>
        </w:tc>
        <w:tc>
          <w:tcPr>
            <w:tcW w:w="7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pBdr/>
        <w:bidi w:val="0"/>
        <w:spacing w:before="0" w:after="0"/>
        <w:ind w:left="0" w:right="0" w:hanging="0"/>
        <w:jc w:val="right"/>
        <w:rPr>
          <w:rFonts w:ascii="Times New Roman;Times;serif" w:hAnsi="Times New Roman;Times;serif"/>
          <w:b/>
          <w:sz w:val="20"/>
        </w:rPr>
      </w:pPr>
      <w:bookmarkStart w:id="1106" w:name="watt-20240930xex32d1.htm"/>
      <w:bookmarkStart w:id="1107" w:name="kswatt20240930xex32d1"/>
      <w:bookmarkEnd w:id="1106"/>
      <w:bookmarkEnd w:id="1107"/>
      <w:r>
        <w:rPr>
          <w:rFonts w:ascii="Times New Roman;Times;serif" w:hAnsi="Times New Roman;Times;serif"/>
          <w:b/>
          <w:sz w:val="20"/>
        </w:rPr>
        <w:t>EXHIBIT 32.1</w:t>
      </w:r>
      <w:r>
        <w:br w:type="page"/>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Energous Corporation (the “Company”) on Form 10-Q for the period ended September 30, 2024 as filed with the Securities and Exchange Commission on the date hereof (the “Report”), I, Mallorie Burak, Chief Executive Officer and Chief Financial Officer, certify, pursuant to 18 U.S.C. § 1350, as adopted pursuant to § 906 of the Sarbanes-Oxley Act of 2002, that:</w:t>
      </w:r>
    </w:p>
    <w:tbl>
      <w:tblPr>
        <w:tblW w:w="9753" w:type="dxa"/>
        <w:jc w:val="left"/>
        <w:tblInd w:w="0" w:type="dxa"/>
        <w:tblLayout w:type="fixed"/>
        <w:tblCellMar>
          <w:top w:w="0" w:type="dxa"/>
          <w:left w:w="0" w:type="dxa"/>
          <w:bottom w:w="0" w:type="dxa"/>
          <w:right w:w="0" w:type="dxa"/>
        </w:tblCellMar>
      </w:tblPr>
      <w:tblGrid>
        <w:gridCol w:w="23"/>
        <w:gridCol w:w="170"/>
        <w:gridCol w:w="95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 for the periods presented therein.</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bidi w:val="0"/>
        <w:spacing w:before="0" w:after="0"/>
        <w:ind w:left="0" w:right="0" w:hanging="0"/>
        <w:jc w:val="left"/>
        <w:rPr/>
      </w:pPr>
      <w:r>
        <w:rPr/>
        <w:t>​</w:t>
      </w:r>
    </w:p>
    <w:tbl>
      <w:tblPr>
        <w:tblW w:w="8196" w:type="dxa"/>
        <w:jc w:val="center"/>
        <w:tblInd w:w="0" w:type="dxa"/>
        <w:tblLayout w:type="fixed"/>
        <w:tblCellMar>
          <w:top w:w="0" w:type="dxa"/>
          <w:left w:w="0" w:type="dxa"/>
          <w:bottom w:w="0" w:type="dxa"/>
          <w:right w:w="0" w:type="dxa"/>
        </w:tblCellMar>
      </w:tblPr>
      <w:tblGrid>
        <w:gridCol w:w="646"/>
        <w:gridCol w:w="7396"/>
        <w:gridCol w:w="154"/>
      </w:tblGrid>
      <w:tr>
        <w:trPr/>
        <w:tc>
          <w:tcPr>
            <w:tcW w:w="646" w:type="dxa"/>
            <w:tcBorders/>
            <w:vAlign w:val="center"/>
          </w:tcPr>
          <w:p>
            <w:pPr>
              <w:pStyle w:val="TableContents"/>
              <w:bidi w:val="0"/>
              <w:spacing w:before="0" w:after="0"/>
              <w:ind w:left="0" w:right="0" w:hanging="0"/>
              <w:jc w:val="left"/>
              <w:rPr/>
            </w:pPr>
            <w:r>
              <w:rPr/>
              <w:t>​</w:t>
            </w:r>
          </w:p>
        </w:tc>
        <w:tc>
          <w:tcPr>
            <w:tcW w:w="73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8042"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739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Mallorie Burak</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Title:</w:t>
            </w:r>
          </w:p>
        </w:tc>
        <w:tc>
          <w:tcPr>
            <w:tcW w:w="739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 and Chief Financial Officer</w:t>
            </w:r>
          </w:p>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 Principal Financial Officer and Principal Accounting Officer)</w:t>
            </w:r>
          </w:p>
        </w:tc>
        <w:tc>
          <w:tcPr>
            <w:tcW w:w="154" w:type="dxa"/>
            <w:tcBorders/>
            <w:vAlign w:val="center"/>
          </w:tcPr>
          <w:p>
            <w:pPr>
              <w:pStyle w:val="TableContents"/>
              <w:bidi w:val="0"/>
              <w:spacing w:before="0" w:after="0"/>
              <w:ind w:left="0" w:right="0" w:hanging="0"/>
              <w:jc w:val="both"/>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w:t>
            </w:r>
          </w:p>
        </w:tc>
        <w:tc>
          <w:tcPr>
            <w:tcW w:w="739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November 13, 2024</w:t>
            </w:r>
          </w:p>
        </w:tc>
        <w:tc>
          <w:tcPr>
            <w:tcW w:w="154"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75793/000156459020038993/watt-ex31_26.htm" TargetMode="External"/><Relationship Id="rId4" Type="http://schemas.openxmlformats.org/officeDocument/2006/relationships/hyperlink" Target="https://www.sec.gov/Archives/edgar/data/1575793/000119312523213522/d495019dex31.htm" TargetMode="External"/><Relationship Id="rId5" Type="http://schemas.openxmlformats.org/officeDocument/2006/relationships/hyperlink" Target="https://www.sec.gov/Archives/edgar/data/1575793/000114420414015276/v371366_ex3-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18390</Words>
  <Characters>99142</Characters>
  <CharactersWithSpaces>118911</CharactersWithSpaces>
  <Paragraphs>4587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