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462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3" w:lineRule="exact"/>
        <w:rPr>
          <w:sz w:val="24"/>
          <w:szCs w:val="24"/>
          <w:color w:val="auto"/>
        </w:rPr>
      </w:pPr>
    </w:p>
    <w:p>
      <w:pPr>
        <w:jc w:val="center"/>
        <w:ind w:right="-2"/>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
        <w:spacing w:after="0"/>
        <w:rPr>
          <w:sz w:val="20"/>
          <w:szCs w:val="20"/>
          <w:color w:val="auto"/>
        </w:rPr>
      </w:pPr>
      <w:r>
        <w:rPr>
          <w:rFonts w:ascii="Arial" w:cs="Arial" w:eastAsia="Arial" w:hAnsi="Arial"/>
          <w:sz w:val="19"/>
          <w:szCs w:val="19"/>
          <w:b w:val="1"/>
          <w:bCs w:val="1"/>
          <w:color w:val="auto"/>
        </w:rPr>
        <w:t>Washington, D.C. 20549</w:t>
      </w:r>
    </w:p>
    <w:p>
      <w:pPr>
        <w:spacing w:after="0" w:line="73" w:lineRule="exact"/>
        <w:rPr>
          <w:sz w:val="24"/>
          <w:szCs w:val="24"/>
          <w:color w:val="auto"/>
        </w:rPr>
      </w:pPr>
    </w:p>
    <w:p>
      <w:pPr>
        <w:jc w:val="center"/>
        <w:ind w:right="-2"/>
        <w:spacing w:after="0"/>
        <w:rPr>
          <w:sz w:val="20"/>
          <w:szCs w:val="20"/>
          <w:color w:val="auto"/>
        </w:rPr>
      </w:pPr>
      <w:r>
        <w:rPr>
          <w:rFonts w:ascii="Arial" w:cs="Arial" w:eastAsia="Arial" w:hAnsi="Arial"/>
          <w:sz w:val="29"/>
          <w:szCs w:val="29"/>
          <w:b w:val="1"/>
          <w:bCs w:val="1"/>
          <w:color w:val="auto"/>
        </w:rPr>
        <w:t>FORM 10-Q</w:t>
      </w:r>
    </w:p>
    <w:p>
      <w:pPr>
        <w:spacing w:after="0" w:line="88" w:lineRule="exact"/>
        <w:rPr>
          <w:sz w:val="24"/>
          <w:szCs w:val="24"/>
          <w:color w:val="auto"/>
        </w:rPr>
      </w:pPr>
    </w:p>
    <w:p>
      <w:pPr>
        <w:ind w:left="3"/>
        <w:spacing w:after="0"/>
        <w:rPr>
          <w:sz w:val="20"/>
          <w:szCs w:val="20"/>
          <w:color w:val="auto"/>
        </w:rPr>
      </w:pPr>
      <w:r>
        <w:rPr>
          <w:rFonts w:ascii="Arial" w:cs="Arial" w:eastAsia="Arial" w:hAnsi="Arial"/>
          <w:sz w:val="16"/>
          <w:szCs w:val="16"/>
          <w:b w:val="1"/>
          <w:bCs w:val="1"/>
          <w:color w:val="auto"/>
        </w:rPr>
        <w:t>(Mark One)</w:t>
      </w:r>
    </w:p>
    <w:p>
      <w:pPr>
        <w:spacing w:after="0" w:line="23" w:lineRule="exact"/>
        <w:rPr>
          <w:sz w:val="24"/>
          <w:szCs w:val="24"/>
          <w:color w:val="auto"/>
        </w:rPr>
      </w:pPr>
    </w:p>
    <w:p>
      <w:pPr>
        <w:ind w:left="583" w:hanging="583"/>
        <w:spacing w:after="0"/>
        <w:tabs>
          <w:tab w:leader="none" w:pos="583"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59" w:lineRule="exact"/>
        <w:rPr>
          <w:sz w:val="24"/>
          <w:szCs w:val="24"/>
          <w:color w:val="auto"/>
        </w:rPr>
      </w:pPr>
    </w:p>
    <w:p>
      <w:pPr>
        <w:jc w:val="center"/>
        <w:ind w:right="-2"/>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70" w:lineRule="exact"/>
        <w:rPr>
          <w:sz w:val="24"/>
          <w:szCs w:val="24"/>
          <w:color w:val="auto"/>
        </w:rPr>
      </w:pPr>
    </w:p>
    <w:p>
      <w:pPr>
        <w:jc w:val="center"/>
        <w:ind w:right="-2"/>
        <w:spacing w:after="0"/>
        <w:rPr>
          <w:sz w:val="20"/>
          <w:szCs w:val="20"/>
          <w:color w:val="auto"/>
        </w:rPr>
      </w:pPr>
      <w:r>
        <w:rPr>
          <w:rFonts w:ascii="Arial" w:cs="Arial" w:eastAsia="Arial" w:hAnsi="Arial"/>
          <w:sz w:val="16"/>
          <w:szCs w:val="16"/>
          <w:b w:val="1"/>
          <w:bCs w:val="1"/>
          <w:color w:val="auto"/>
        </w:rPr>
        <w:t>OR</w:t>
      </w:r>
    </w:p>
    <w:p>
      <w:pPr>
        <w:spacing w:after="0" w:line="74" w:lineRule="exact"/>
        <w:rPr>
          <w:sz w:val="24"/>
          <w:szCs w:val="24"/>
          <w:color w:val="auto"/>
        </w:rPr>
      </w:pPr>
    </w:p>
    <w:p>
      <w:pPr>
        <w:ind w:left="583" w:hanging="583"/>
        <w:spacing w:after="0"/>
        <w:tabs>
          <w:tab w:leader="none" w:pos="583"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2976880</wp:posOffset>
            </wp:positionH>
            <wp:positionV relativeFrom="paragraph">
              <wp:posOffset>77470</wp:posOffset>
            </wp:positionV>
            <wp:extent cx="11925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2530" cy="7620"/>
                    </a:xfrm>
                    <a:prstGeom prst="rect">
                      <a:avLst/>
                    </a:prstGeom>
                    <a:noFill/>
                  </pic:spPr>
                </pic:pic>
              </a:graphicData>
            </a:graphic>
          </wp:anchor>
        </w:drawing>
      </w:r>
    </w:p>
    <w:p>
      <w:pPr>
        <w:spacing w:after="0" w:line="158" w:lineRule="exact"/>
        <w:rPr>
          <w:sz w:val="24"/>
          <w:szCs w:val="24"/>
          <w:color w:val="auto"/>
        </w:rPr>
      </w:pPr>
    </w:p>
    <w:p>
      <w:pPr>
        <w:jc w:val="center"/>
        <w:ind w:right="-2"/>
        <w:spacing w:after="0"/>
        <w:rPr>
          <w:sz w:val="20"/>
          <w:szCs w:val="20"/>
          <w:color w:val="auto"/>
        </w:rPr>
      </w:pPr>
      <w:r>
        <w:rPr>
          <w:rFonts w:ascii="Arial" w:cs="Arial" w:eastAsia="Arial" w:hAnsi="Arial"/>
          <w:sz w:val="16"/>
          <w:szCs w:val="16"/>
          <w:b w:val="1"/>
          <w:bCs w:val="1"/>
          <w:color w:val="auto"/>
        </w:rPr>
        <w:t>COMMISSION FILE NUMBER 001-36379</w:t>
      </w:r>
    </w:p>
    <w:p>
      <w:pPr>
        <w:spacing w:after="0" w:line="49" w:lineRule="exact"/>
        <w:rPr>
          <w:sz w:val="24"/>
          <w:szCs w:val="24"/>
          <w:color w:val="auto"/>
        </w:rPr>
      </w:pPr>
    </w:p>
    <w:p>
      <w:pPr>
        <w:jc w:val="center"/>
        <w:ind w:right="-2"/>
        <w:spacing w:after="0"/>
        <w:rPr>
          <w:sz w:val="20"/>
          <w:szCs w:val="20"/>
          <w:color w:val="auto"/>
        </w:rPr>
      </w:pPr>
      <w:r>
        <w:rPr>
          <w:rFonts w:ascii="Arial" w:cs="Arial" w:eastAsia="Arial" w:hAnsi="Arial"/>
          <w:sz w:val="39"/>
          <w:szCs w:val="39"/>
          <w:b w:val="1"/>
          <w:bCs w:val="1"/>
          <w:color w:val="auto"/>
        </w:rPr>
        <w:t>ENERGOUS CORPORATION</w:t>
      </w:r>
    </w:p>
    <w:p>
      <w:pPr>
        <w:spacing w:after="0" w:line="98" w:lineRule="exact"/>
        <w:rPr>
          <w:sz w:val="24"/>
          <w:szCs w:val="24"/>
          <w:color w:val="auto"/>
        </w:rPr>
      </w:pPr>
    </w:p>
    <w:p>
      <w:pPr>
        <w:jc w:val="center"/>
        <w:ind w:right="-2"/>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03" w:lineRule="exact"/>
        <w:rPr>
          <w:sz w:val="24"/>
          <w:szCs w:val="24"/>
          <w:color w:val="auto"/>
        </w:rPr>
      </w:pPr>
    </w:p>
    <w:tbl>
      <w:tblPr>
        <w:tblLayout w:type="fixed"/>
        <w:tblInd w:w="3" w:type="dxa"/>
        <w:tblCellMar>
          <w:top w:w="0" w:type="dxa"/>
          <w:left w:w="0" w:type="dxa"/>
          <w:bottom w:w="0" w:type="dxa"/>
          <w:right w:w="0" w:type="dxa"/>
        </w:tblCellMar>
      </w:tblPr>
      <w:tr>
        <w:trPr>
          <w:trHeight w:val="198"/>
        </w:trPr>
        <w:tc>
          <w:tcPr>
            <w:tcW w:w="3640" w:type="dxa"/>
            <w:vAlign w:val="bottom"/>
          </w:tcPr>
          <w:p>
            <w:pPr>
              <w:jc w:val="center"/>
              <w:ind w:left="1807"/>
              <w:spacing w:after="0"/>
              <w:rPr>
                <w:sz w:val="20"/>
                <w:szCs w:val="20"/>
                <w:color w:val="auto"/>
              </w:rPr>
            </w:pPr>
            <w:r>
              <w:rPr>
                <w:rFonts w:ascii="Arial" w:cs="Arial" w:eastAsia="Arial" w:hAnsi="Arial"/>
                <w:sz w:val="16"/>
                <w:szCs w:val="16"/>
                <w:b w:val="1"/>
                <w:bCs w:val="1"/>
                <w:color w:val="auto"/>
                <w:w w:val="91"/>
              </w:rPr>
              <w:t>Delaware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Pr>
          <w:p>
            <w:pPr>
              <w:jc w:val="right"/>
              <w:ind w:right="2309"/>
              <w:spacing w:after="0"/>
              <w:rPr>
                <w:sz w:val="20"/>
                <w:szCs w:val="20"/>
                <w:color w:val="auto"/>
              </w:rPr>
            </w:pPr>
            <w:r>
              <w:rPr>
                <w:rFonts w:ascii="Arial" w:cs="Arial" w:eastAsia="Arial" w:hAnsi="Arial"/>
                <w:sz w:val="16"/>
                <w:szCs w:val="16"/>
                <w:b w:val="1"/>
                <w:bCs w:val="1"/>
                <w:color w:val="auto"/>
              </w:rPr>
              <w:t>46-1318953</w:t>
            </w:r>
          </w:p>
        </w:tc>
        <w:tc>
          <w:tcPr>
            <w:tcW w:w="0" w:type="dxa"/>
            <w:vAlign w:val="bottom"/>
          </w:tcPr>
          <w:p>
            <w:pPr>
              <w:spacing w:after="0"/>
              <w:rPr>
                <w:sz w:val="1"/>
                <w:szCs w:val="1"/>
                <w:color w:val="auto"/>
              </w:rPr>
            </w:pPr>
          </w:p>
        </w:tc>
      </w:tr>
      <w:tr>
        <w:trPr>
          <w:trHeight w:val="206"/>
        </w:trPr>
        <w:tc>
          <w:tcPr>
            <w:tcW w:w="3640" w:type="dxa"/>
            <w:vAlign w:val="bottom"/>
          </w:tcPr>
          <w:p>
            <w:pPr>
              <w:jc w:val="center"/>
              <w:ind w:left="1807"/>
              <w:spacing w:after="0"/>
              <w:rPr>
                <w:sz w:val="20"/>
                <w:szCs w:val="20"/>
                <w:color w:val="auto"/>
              </w:rPr>
            </w:pPr>
            <w:r>
              <w:rPr>
                <w:rFonts w:ascii="Arial" w:cs="Arial" w:eastAsia="Arial" w:hAnsi="Arial"/>
                <w:sz w:val="16"/>
                <w:szCs w:val="16"/>
                <w:i w:val="1"/>
                <w:iCs w:val="1"/>
                <w:color w:val="auto"/>
                <w:w w:val="93"/>
              </w:rPr>
              <w:t>(State of incorporation)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Pr>
          <w:p>
            <w:pPr>
              <w:jc w:val="center"/>
              <w:ind w:right="549"/>
              <w:spacing w:after="0"/>
              <w:rPr>
                <w:sz w:val="20"/>
                <w:szCs w:val="20"/>
                <w:color w:val="auto"/>
              </w:rPr>
            </w:pPr>
            <w:r>
              <w:rPr>
                <w:rFonts w:ascii="Arial" w:cs="Arial" w:eastAsia="Arial" w:hAnsi="Arial"/>
                <w:sz w:val="16"/>
                <w:szCs w:val="16"/>
                <w:i w:val="1"/>
                <w:iCs w:val="1"/>
                <w:color w:val="auto"/>
                <w:w w:val="93"/>
              </w:rPr>
              <w:t>(I.R.S. Employer Identification No.)</w:t>
            </w:r>
          </w:p>
        </w:tc>
        <w:tc>
          <w:tcPr>
            <w:tcW w:w="0" w:type="dxa"/>
            <w:vAlign w:val="bottom"/>
          </w:tcPr>
          <w:p>
            <w:pPr>
              <w:spacing w:after="0"/>
              <w:rPr>
                <w:sz w:val="1"/>
                <w:szCs w:val="1"/>
                <w:color w:val="auto"/>
              </w:rPr>
            </w:pPr>
          </w:p>
        </w:tc>
      </w:tr>
      <w:tr>
        <w:trPr>
          <w:trHeight w:val="263"/>
        </w:trPr>
        <w:tc>
          <w:tcPr>
            <w:tcW w:w="3640" w:type="dxa"/>
            <w:vAlign w:val="bottom"/>
          </w:tcPr>
          <w:p>
            <w:pPr>
              <w:spacing w:after="0"/>
              <w:rPr>
                <w:sz w:val="22"/>
                <w:szCs w:val="22"/>
                <w:color w:val="auto"/>
              </w:rPr>
            </w:pPr>
          </w:p>
        </w:tc>
        <w:tc>
          <w:tcPr>
            <w:tcW w:w="7620" w:type="dxa"/>
            <w:vAlign w:val="bottom"/>
            <w:gridSpan w:val="6"/>
          </w:tcPr>
          <w:p>
            <w:pPr>
              <w:jc w:val="center"/>
              <w:ind w:right="3569"/>
              <w:spacing w:after="0"/>
              <w:rPr>
                <w:sz w:val="20"/>
                <w:szCs w:val="20"/>
                <w:color w:val="auto"/>
              </w:rPr>
            </w:pPr>
            <w:r>
              <w:rPr>
                <w:rFonts w:ascii="Arial" w:cs="Arial" w:eastAsia="Arial" w:hAnsi="Arial"/>
                <w:sz w:val="16"/>
                <w:szCs w:val="16"/>
                <w:b w:val="1"/>
                <w:bCs w:val="1"/>
                <w:color w:val="auto"/>
                <w:w w:val="91"/>
              </w:rPr>
              <w:t>3590 North First Street, Suite 210, San Jose, CA 95134</w:t>
            </w: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2700" w:type="dxa"/>
            <w:vAlign w:val="bottom"/>
            <w:gridSpan w:val="5"/>
          </w:tcPr>
          <w:p>
            <w:pPr>
              <w:jc w:val="center"/>
              <w:ind w:left="387"/>
              <w:spacing w:after="0"/>
              <w:rPr>
                <w:sz w:val="20"/>
                <w:szCs w:val="20"/>
                <w:color w:val="auto"/>
              </w:rPr>
            </w:pPr>
            <w:r>
              <w:rPr>
                <w:rFonts w:ascii="Arial" w:cs="Arial" w:eastAsia="Arial" w:hAnsi="Arial"/>
                <w:sz w:val="13"/>
                <w:szCs w:val="13"/>
                <w:i w:val="1"/>
                <w:iCs w:val="1"/>
                <w:color w:val="auto"/>
                <w:w w:val="90"/>
              </w:rPr>
              <w:t>(Address of principal executive office)</w:t>
            </w:r>
          </w:p>
        </w:tc>
        <w:tc>
          <w:tcPr>
            <w:tcW w:w="4920" w:type="dxa"/>
            <w:vAlign w:val="bottom"/>
          </w:tcPr>
          <w:p>
            <w:pPr>
              <w:ind w:left="120"/>
              <w:spacing w:after="0"/>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225"/>
        </w:trPr>
        <w:tc>
          <w:tcPr>
            <w:tcW w:w="3640" w:type="dxa"/>
            <w:vAlign w:val="bottom"/>
          </w:tcPr>
          <w:p>
            <w:pPr>
              <w:spacing w:after="0"/>
              <w:rPr>
                <w:sz w:val="19"/>
                <w:szCs w:val="19"/>
                <w:color w:val="auto"/>
              </w:rPr>
            </w:pPr>
          </w:p>
        </w:tc>
        <w:tc>
          <w:tcPr>
            <w:tcW w:w="2540" w:type="dxa"/>
            <w:vAlign w:val="bottom"/>
            <w:gridSpan w:val="4"/>
          </w:tcPr>
          <w:p>
            <w:pPr>
              <w:jc w:val="center"/>
              <w:ind w:left="1347"/>
              <w:spacing w:after="0"/>
              <w:rPr>
                <w:sz w:val="20"/>
                <w:szCs w:val="20"/>
                <w:color w:val="auto"/>
              </w:rPr>
            </w:pPr>
            <w:r>
              <w:rPr>
                <w:rFonts w:ascii="Arial" w:cs="Arial" w:eastAsia="Arial" w:hAnsi="Arial"/>
                <w:sz w:val="16"/>
                <w:szCs w:val="16"/>
                <w:b w:val="1"/>
                <w:bCs w:val="1"/>
                <w:color w:val="auto"/>
                <w:w w:val="91"/>
              </w:rPr>
              <w:t>(408) 963-0200</w:t>
            </w:r>
          </w:p>
        </w:tc>
        <w:tc>
          <w:tcPr>
            <w:tcW w:w="1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640" w:type="dxa"/>
            <w:vAlign w:val="bottom"/>
          </w:tcPr>
          <w:p>
            <w:pPr>
              <w:spacing w:after="0"/>
              <w:rPr>
                <w:sz w:val="14"/>
                <w:szCs w:val="14"/>
                <w:color w:val="auto"/>
              </w:rPr>
            </w:pPr>
          </w:p>
        </w:tc>
        <w:tc>
          <w:tcPr>
            <w:tcW w:w="7620" w:type="dxa"/>
            <w:vAlign w:val="bottom"/>
            <w:gridSpan w:val="6"/>
          </w:tcPr>
          <w:p>
            <w:pPr>
              <w:jc w:val="center"/>
              <w:ind w:right="3569"/>
              <w:spacing w:after="0"/>
              <w:rPr>
                <w:sz w:val="20"/>
                <w:szCs w:val="20"/>
                <w:color w:val="auto"/>
              </w:rPr>
            </w:pPr>
            <w:r>
              <w:rPr>
                <w:rFonts w:ascii="Arial" w:cs="Arial" w:eastAsia="Arial" w:hAnsi="Arial"/>
                <w:sz w:val="13"/>
                <w:szCs w:val="13"/>
                <w:i w:val="1"/>
                <w:iCs w:val="1"/>
                <w:color w:val="auto"/>
                <w:w w:val="89"/>
              </w:rPr>
              <w:t>(Registrant’s telephone number, including area code)</w:t>
            </w:r>
          </w:p>
        </w:tc>
        <w:tc>
          <w:tcPr>
            <w:tcW w:w="0" w:type="dxa"/>
            <w:vAlign w:val="bottom"/>
          </w:tcPr>
          <w:p>
            <w:pPr>
              <w:spacing w:after="0"/>
              <w:rPr>
                <w:sz w:val="1"/>
                <w:szCs w:val="1"/>
                <w:color w:val="auto"/>
              </w:rPr>
            </w:pPr>
          </w:p>
        </w:tc>
      </w:tr>
      <w:tr>
        <w:trPr>
          <w:trHeight w:val="234"/>
        </w:trPr>
        <w:tc>
          <w:tcPr>
            <w:tcW w:w="6340" w:type="dxa"/>
            <w:vAlign w:val="bottom"/>
            <w:gridSpan w:val="6"/>
          </w:tcPr>
          <w:p>
            <w:pPr>
              <w:ind w:left="440"/>
              <w:spacing w:after="0"/>
              <w:rPr>
                <w:sz w:val="20"/>
                <w:szCs w:val="20"/>
                <w:color w:val="auto"/>
              </w:rPr>
            </w:pPr>
            <w:r>
              <w:rPr>
                <w:rFonts w:ascii="Arial" w:cs="Arial" w:eastAsia="Arial" w:hAnsi="Arial"/>
                <w:sz w:val="15"/>
                <w:szCs w:val="15"/>
                <w:color w:val="auto"/>
              </w:rPr>
              <w:t>Securities registered pursuant to Section 12(b) of the Act:</w:t>
            </w: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640" w:type="dxa"/>
            <w:vAlign w:val="bottom"/>
            <w:vMerge w:val="restart"/>
          </w:tcPr>
          <w:p>
            <w:pPr>
              <w:jc w:val="center"/>
              <w:ind w:left="567"/>
              <w:spacing w:after="0"/>
              <w:rPr>
                <w:sz w:val="20"/>
                <w:szCs w:val="20"/>
                <w:color w:val="auto"/>
              </w:rPr>
            </w:pPr>
            <w:r>
              <w:rPr>
                <w:rFonts w:ascii="Arial" w:cs="Arial" w:eastAsia="Arial" w:hAnsi="Arial"/>
                <w:sz w:val="13"/>
                <w:szCs w:val="13"/>
                <w:b w:val="1"/>
                <w:bCs w:val="1"/>
                <w:color w:val="auto"/>
                <w:w w:val="85"/>
              </w:rPr>
              <w:t>Title of each class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Trading</w:t>
            </w:r>
          </w:p>
        </w:tc>
        <w:tc>
          <w:tcPr>
            <w:tcW w:w="492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w w:val="87"/>
              </w:rPr>
              <w:t>Name of each exchange on which registered</w:t>
            </w:r>
          </w:p>
        </w:tc>
        <w:tc>
          <w:tcPr>
            <w:tcW w:w="0" w:type="dxa"/>
            <w:vAlign w:val="bottom"/>
          </w:tcPr>
          <w:p>
            <w:pPr>
              <w:spacing w:after="0"/>
              <w:rPr>
                <w:sz w:val="1"/>
                <w:szCs w:val="1"/>
                <w:color w:val="auto"/>
              </w:rPr>
            </w:pPr>
          </w:p>
        </w:tc>
      </w:tr>
      <w:tr>
        <w:trPr>
          <w:trHeight w:val="153"/>
        </w:trPr>
        <w:tc>
          <w:tcPr>
            <w:tcW w:w="36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Symbol(s)</w:t>
            </w:r>
          </w:p>
        </w:tc>
        <w:tc>
          <w:tcPr>
            <w:tcW w:w="4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40" w:type="dxa"/>
            <w:vAlign w:val="bottom"/>
            <w:tcBorders>
              <w:top w:val="single" w:sz="8" w:color="auto"/>
            </w:tcBorders>
          </w:tcPr>
          <w:p>
            <w:pPr>
              <w:jc w:val="center"/>
              <w:ind w:left="567"/>
              <w:spacing w:after="0"/>
              <w:rPr>
                <w:sz w:val="20"/>
                <w:szCs w:val="20"/>
                <w:color w:val="auto"/>
              </w:rPr>
            </w:pPr>
            <w:r>
              <w:rPr>
                <w:rFonts w:ascii="Arial" w:cs="Arial" w:eastAsia="Arial" w:hAnsi="Arial"/>
                <w:sz w:val="13"/>
                <w:szCs w:val="13"/>
                <w:color w:val="auto"/>
                <w:w w:val="90"/>
              </w:rPr>
              <w:t>Common Stock, $0.00001 par value</w:t>
            </w: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WATT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920" w:type="dxa"/>
            <w:vAlign w:val="bottom"/>
            <w:tcBorders>
              <w:top w:val="single" w:sz="8" w:color="auto"/>
            </w:tcBorders>
          </w:tcPr>
          <w:p>
            <w:pPr>
              <w:jc w:val="center"/>
              <w:ind w:right="89"/>
              <w:spacing w:after="0"/>
              <w:rPr>
                <w:sz w:val="20"/>
                <w:szCs w:val="20"/>
                <w:color w:val="auto"/>
              </w:rPr>
            </w:pPr>
            <w:r>
              <w:rPr>
                <w:rFonts w:ascii="Arial" w:cs="Arial" w:eastAsia="Arial" w:hAnsi="Arial"/>
                <w:sz w:val="13"/>
                <w:szCs w:val="13"/>
                <w:color w:val="auto"/>
                <w:w w:val="90"/>
              </w:rPr>
              <w:t>The Nasdaq Stock Market</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3" w:right="320" w:firstLine="433"/>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left="3" w:right="40" w:firstLine="433"/>
        <w:spacing w:after="0" w:line="20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1" w:lineRule="exact"/>
        <w:rPr>
          <w:sz w:val="24"/>
          <w:szCs w:val="24"/>
          <w:color w:val="auto"/>
        </w:rPr>
      </w:pPr>
    </w:p>
    <w:p>
      <w:pPr>
        <w:jc w:val="both"/>
        <w:ind w:left="3" w:right="400" w:firstLine="433"/>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3" w:type="dxa"/>
        <w:tblCellMar>
          <w:top w:w="0" w:type="dxa"/>
          <w:left w:w="0" w:type="dxa"/>
          <w:bottom w:w="0" w:type="dxa"/>
          <w:right w:w="0" w:type="dxa"/>
        </w:tblCellMar>
      </w:tblPr>
      <w:tr>
        <w:trPr>
          <w:trHeight w:val="218"/>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8"/>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67" w:lineRule="exact"/>
        <w:rPr>
          <w:sz w:val="24"/>
          <w:szCs w:val="24"/>
          <w:color w:val="auto"/>
        </w:rPr>
      </w:pPr>
    </w:p>
    <w:p>
      <w:pPr>
        <w:jc w:val="both"/>
        <w:ind w:left="3" w:right="220" w:firstLine="433"/>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ind w:left="443" w:right="210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5, 2021, there were 62,874,625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1462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wp:posOffset>
            </wp:positionV>
            <wp:extent cx="71462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464820</wp:posOffset>
            </wp:positionV>
            <wp:extent cx="717169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295"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ENERGOUS CORPORATION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MONTHS ENDED JUNE 30, 2021</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Borders>
              <w:bottom w:val="single" w:sz="8" w:color="0000EE"/>
            </w:tcBorders>
            <w:gridSpan w:val="11"/>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PART I - FINANCIAL INFORMATION</w:t>
              </w:r>
            </w:hyperlink>
          </w:p>
        </w:tc>
        <w:tc>
          <w:tcPr>
            <w:tcW w:w="6060" w:type="dxa"/>
            <w:vAlign w:val="bottom"/>
            <w:gridSpan w:val="4"/>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07"/>
        </w:trPr>
        <w:tc>
          <w:tcPr>
            <w:tcW w:w="500" w:type="dxa"/>
            <w:vAlign w:val="bottom"/>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Item 1.</w:t>
              </w:r>
            </w:hyperlink>
          </w:p>
        </w:tc>
        <w:tc>
          <w:tcPr>
            <w:tcW w:w="8200" w:type="dxa"/>
            <w:vAlign w:val="bottom"/>
            <w:gridSpan w:val="14"/>
          </w:tcPr>
          <w:p>
            <w:pPr>
              <w:ind w:left="40"/>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2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07"/>
        </w:trPr>
        <w:tc>
          <w:tcPr>
            <w:tcW w:w="500" w:type="dxa"/>
            <w:vAlign w:val="bottom"/>
          </w:tcPr>
          <w:p>
            <w:pPr>
              <w:spacing w:after="0"/>
              <w:rPr>
                <w:rFonts w:ascii="Arial" w:cs="Arial" w:eastAsia="Arial" w:hAnsi="Arial"/>
                <w:sz w:val="16"/>
                <w:szCs w:val="16"/>
                <w:color w:val="0000EE"/>
                <w:w w:val="98"/>
              </w:rPr>
            </w:pPr>
            <w:hyperlink w:anchor="page19">
              <w:r>
                <w:rPr>
                  <w:rFonts w:ascii="Arial" w:cs="Arial" w:eastAsia="Arial" w:hAnsi="Arial"/>
                  <w:sz w:val="16"/>
                  <w:szCs w:val="16"/>
                  <w:color w:val="0000EE"/>
                  <w:w w:val="98"/>
                </w:rPr>
                <w:t>Item 2.</w:t>
              </w:r>
            </w:hyperlink>
          </w:p>
        </w:tc>
        <w:tc>
          <w:tcPr>
            <w:tcW w:w="8200" w:type="dxa"/>
            <w:vAlign w:val="bottom"/>
            <w:gridSpan w:val="14"/>
          </w:tcPr>
          <w:p>
            <w:pPr>
              <w:ind w:left="40"/>
              <w:spacing w:after="0"/>
              <w:rPr>
                <w:rFonts w:ascii="Arial" w:cs="Arial" w:eastAsia="Arial" w:hAnsi="Arial"/>
                <w:sz w:val="16"/>
                <w:szCs w:val="16"/>
                <w:color w:val="0000EE"/>
              </w:rPr>
            </w:pPr>
            <w:hyperlink w:anchor="page19">
              <w:r>
                <w:rPr>
                  <w:rFonts w:ascii="Arial" w:cs="Arial" w:eastAsia="Arial" w:hAnsi="Arial"/>
                  <w:sz w:val="16"/>
                  <w:szCs w:val="16"/>
                  <w:color w:val="0000EE"/>
                </w:rPr>
                <w:t>Management’s Discussion and Analysis of Financial Condition and Results of Operations</w:t>
              </w:r>
            </w:hyperlink>
          </w:p>
        </w:tc>
        <w:tc>
          <w:tcPr>
            <w:tcW w:w="25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07"/>
        </w:trPr>
        <w:tc>
          <w:tcPr>
            <w:tcW w:w="500" w:type="dxa"/>
            <w:vAlign w:val="bottom"/>
            <w:tcBorders>
              <w:top w:val="single" w:sz="8" w:color="0000EE"/>
            </w:tcBorders>
          </w:tcPr>
          <w:p>
            <w:pPr>
              <w:spacing w:after="0"/>
              <w:rPr>
                <w:rFonts w:ascii="Arial" w:cs="Arial" w:eastAsia="Arial" w:hAnsi="Arial"/>
                <w:sz w:val="16"/>
                <w:szCs w:val="16"/>
                <w:color w:val="0000EE"/>
                <w:w w:val="98"/>
              </w:rPr>
            </w:pPr>
            <w:hyperlink w:anchor="page24">
              <w:r>
                <w:rPr>
                  <w:rFonts w:ascii="Arial" w:cs="Arial" w:eastAsia="Arial" w:hAnsi="Arial"/>
                  <w:sz w:val="16"/>
                  <w:szCs w:val="16"/>
                  <w:color w:val="0000EE"/>
                  <w:w w:val="98"/>
                </w:rPr>
                <w:t>Item 3.</w:t>
              </w:r>
            </w:hyperlink>
          </w:p>
        </w:tc>
        <w:tc>
          <w:tcPr>
            <w:tcW w:w="5820" w:type="dxa"/>
            <w:vAlign w:val="bottom"/>
            <w:tcBorders>
              <w:top w:val="single" w:sz="8" w:color="0000EE"/>
            </w:tcBorders>
            <w:gridSpan w:val="13"/>
          </w:tcPr>
          <w:p>
            <w:pPr>
              <w:ind w:left="40"/>
              <w:spacing w:after="0"/>
              <w:rPr>
                <w:rFonts w:ascii="Arial" w:cs="Arial" w:eastAsia="Arial" w:hAnsi="Arial"/>
                <w:sz w:val="16"/>
                <w:szCs w:val="16"/>
                <w:color w:val="0000EE"/>
              </w:rPr>
            </w:pPr>
            <w:hyperlink w:anchor="page24">
              <w:r>
                <w:rPr>
                  <w:rFonts w:ascii="Arial" w:cs="Arial" w:eastAsia="Arial" w:hAnsi="Arial"/>
                  <w:sz w:val="16"/>
                  <w:szCs w:val="16"/>
                  <w:color w:val="0000EE"/>
                </w:rPr>
                <w:t>Quantitative and Qualitative Disclosure About Market Risk</w:t>
              </w:r>
            </w:hyperlink>
          </w:p>
        </w:tc>
        <w:tc>
          <w:tcPr>
            <w:tcW w:w="23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07"/>
        </w:trPr>
        <w:tc>
          <w:tcPr>
            <w:tcW w:w="50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24">
              <w:r>
                <w:rPr>
                  <w:rFonts w:ascii="Arial" w:cs="Arial" w:eastAsia="Arial" w:hAnsi="Arial"/>
                  <w:sz w:val="16"/>
                  <w:szCs w:val="16"/>
                  <w:color w:val="0000EE"/>
                  <w:w w:val="98"/>
                </w:rPr>
                <w:t>Item 4.</w:t>
              </w:r>
            </w:hyperlink>
          </w:p>
        </w:tc>
        <w:tc>
          <w:tcPr>
            <w:tcW w:w="1640" w:type="dxa"/>
            <w:vAlign w:val="bottom"/>
            <w:tcBorders>
              <w:top w:val="single" w:sz="8" w:color="0000EE"/>
              <w:bottom w:val="single" w:sz="8" w:color="0000EE"/>
            </w:tcBorders>
            <w:gridSpan w:val="7"/>
          </w:tcPr>
          <w:p>
            <w:pPr>
              <w:ind w:left="40"/>
              <w:spacing w:after="0"/>
              <w:rPr>
                <w:rFonts w:ascii="Arial" w:cs="Arial" w:eastAsia="Arial" w:hAnsi="Arial"/>
                <w:sz w:val="16"/>
                <w:szCs w:val="16"/>
                <w:color w:val="0000EE"/>
                <w:w w:val="89"/>
              </w:rPr>
            </w:pPr>
            <w:hyperlink w:anchor="page24">
              <w:r>
                <w:rPr>
                  <w:rFonts w:ascii="Arial" w:cs="Arial" w:eastAsia="Arial" w:hAnsi="Arial"/>
                  <w:sz w:val="16"/>
                  <w:szCs w:val="16"/>
                  <w:color w:val="0000EE"/>
                  <w:w w:val="89"/>
                </w:rPr>
                <w:t>Controls and Procedures</w:t>
              </w:r>
            </w:hyperlink>
          </w:p>
        </w:tc>
        <w:tc>
          <w:tcPr>
            <w:tcW w:w="2240" w:type="dxa"/>
            <w:vAlign w:val="bottom"/>
            <w:tcBorders>
              <w:top w:val="single" w:sz="8" w:color="0000EE"/>
            </w:tcBorders>
            <w:gridSpan w:val="4"/>
          </w:tcPr>
          <w:p>
            <w:pPr>
              <w:spacing w:after="0"/>
              <w:rPr>
                <w:sz w:val="24"/>
                <w:szCs w:val="24"/>
                <w:color w:val="auto"/>
              </w:rPr>
            </w:pPr>
          </w:p>
        </w:tc>
        <w:tc>
          <w:tcPr>
            <w:tcW w:w="4320" w:type="dxa"/>
            <w:vAlign w:val="bottom"/>
            <w:gridSpan w:val="3"/>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07"/>
        </w:trPr>
        <w:tc>
          <w:tcPr>
            <w:tcW w:w="8700" w:type="dxa"/>
            <w:vAlign w:val="bottom"/>
            <w:gridSpan w:val="15"/>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PART II – OTHER INFORMATION</w:t>
              </w:r>
            </w:hyperlink>
          </w:p>
        </w:tc>
        <w:tc>
          <w:tcPr>
            <w:tcW w:w="25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07"/>
        </w:trPr>
        <w:tc>
          <w:tcPr>
            <w:tcW w:w="50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25">
              <w:r>
                <w:rPr>
                  <w:rFonts w:ascii="Arial" w:cs="Arial" w:eastAsia="Arial" w:hAnsi="Arial"/>
                  <w:sz w:val="16"/>
                  <w:szCs w:val="16"/>
                  <w:color w:val="0000EE"/>
                  <w:w w:val="98"/>
                </w:rPr>
                <w:t>Item 1.</w:t>
              </w:r>
            </w:hyperlink>
          </w:p>
        </w:tc>
        <w:tc>
          <w:tcPr>
            <w:tcW w:w="1240" w:type="dxa"/>
            <w:vAlign w:val="bottom"/>
            <w:tcBorders>
              <w:top w:val="single" w:sz="8" w:color="0000EE"/>
              <w:bottom w:val="single" w:sz="8" w:color="0000EE"/>
            </w:tcBorders>
            <w:gridSpan w:val="4"/>
          </w:tcPr>
          <w:p>
            <w:pPr>
              <w:ind w:left="40"/>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Legal Proceedings</w:t>
              </w:r>
            </w:hyperlink>
          </w:p>
        </w:tc>
        <w:tc>
          <w:tcPr>
            <w:tcW w:w="640" w:type="dxa"/>
            <w:vAlign w:val="bottom"/>
            <w:tcBorders>
              <w:top w:val="single" w:sz="8" w:color="0000EE"/>
            </w:tcBorders>
            <w:gridSpan w:val="4"/>
          </w:tcPr>
          <w:p>
            <w:pPr>
              <w:spacing w:after="0"/>
              <w:rPr>
                <w:sz w:val="24"/>
                <w:szCs w:val="24"/>
                <w:color w:val="auto"/>
              </w:rPr>
            </w:pPr>
          </w:p>
        </w:tc>
        <w:tc>
          <w:tcPr>
            <w:tcW w:w="6320" w:type="dxa"/>
            <w:vAlign w:val="bottom"/>
            <w:gridSpan w:val="6"/>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07"/>
        </w:trPr>
        <w:tc>
          <w:tcPr>
            <w:tcW w:w="8700" w:type="dxa"/>
            <w:vAlign w:val="bottom"/>
            <w:gridSpan w:val="15"/>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Item 1A. Risk Factors</w:t>
              </w:r>
            </w:hyperlink>
          </w:p>
        </w:tc>
        <w:tc>
          <w:tcPr>
            <w:tcW w:w="25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07"/>
        </w:trPr>
        <w:tc>
          <w:tcPr>
            <w:tcW w:w="500" w:type="dxa"/>
            <w:vAlign w:val="bottom"/>
          </w:tcPr>
          <w:p>
            <w:pPr>
              <w:spacing w:after="0"/>
              <w:rPr>
                <w:rFonts w:ascii="Arial" w:cs="Arial" w:eastAsia="Arial" w:hAnsi="Arial"/>
                <w:sz w:val="16"/>
                <w:szCs w:val="16"/>
                <w:color w:val="0000EE"/>
                <w:w w:val="98"/>
              </w:rPr>
            </w:pPr>
            <w:hyperlink w:anchor="page35">
              <w:r>
                <w:rPr>
                  <w:rFonts w:ascii="Arial" w:cs="Arial" w:eastAsia="Arial" w:hAnsi="Arial"/>
                  <w:sz w:val="16"/>
                  <w:szCs w:val="16"/>
                  <w:color w:val="0000EE"/>
                  <w:w w:val="98"/>
                </w:rPr>
                <w:t>Item 2.</w:t>
              </w:r>
            </w:hyperlink>
          </w:p>
        </w:tc>
        <w:tc>
          <w:tcPr>
            <w:tcW w:w="8200" w:type="dxa"/>
            <w:vAlign w:val="bottom"/>
            <w:gridSpan w:val="14"/>
          </w:tcPr>
          <w:p>
            <w:pPr>
              <w:ind w:left="40"/>
              <w:spacing w:after="0"/>
              <w:rPr>
                <w:rFonts w:ascii="Arial" w:cs="Arial" w:eastAsia="Arial" w:hAnsi="Arial"/>
                <w:sz w:val="16"/>
                <w:szCs w:val="16"/>
                <w:color w:val="0000EE"/>
              </w:rPr>
            </w:pPr>
            <w:hyperlink w:anchor="page35">
              <w:r>
                <w:rPr>
                  <w:rFonts w:ascii="Arial" w:cs="Arial" w:eastAsia="Arial" w:hAnsi="Arial"/>
                  <w:sz w:val="16"/>
                  <w:szCs w:val="16"/>
                  <w:color w:val="0000EE"/>
                </w:rPr>
                <w:t>Recent Sales of Unregistered Securities; Use of Proceeds from Registered Securities</w:t>
              </w:r>
            </w:hyperlink>
          </w:p>
        </w:tc>
        <w:tc>
          <w:tcPr>
            <w:tcW w:w="25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07"/>
        </w:trPr>
        <w:tc>
          <w:tcPr>
            <w:tcW w:w="50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35">
              <w:r>
                <w:rPr>
                  <w:rFonts w:ascii="Arial" w:cs="Arial" w:eastAsia="Arial" w:hAnsi="Arial"/>
                  <w:sz w:val="16"/>
                  <w:szCs w:val="16"/>
                  <w:color w:val="0000EE"/>
                  <w:w w:val="98"/>
                </w:rPr>
                <w:t>Item 3.</w:t>
              </w:r>
            </w:hyperlink>
          </w:p>
        </w:tc>
        <w:tc>
          <w:tcPr>
            <w:tcW w:w="2120" w:type="dxa"/>
            <w:vAlign w:val="bottom"/>
            <w:tcBorders>
              <w:top w:val="single" w:sz="8" w:color="0000EE"/>
              <w:bottom w:val="single" w:sz="8" w:color="0000EE"/>
            </w:tcBorders>
            <w:gridSpan w:val="9"/>
          </w:tcPr>
          <w:p>
            <w:pPr>
              <w:ind w:left="40"/>
              <w:spacing w:after="0"/>
              <w:rPr>
                <w:rFonts w:ascii="Arial" w:cs="Arial" w:eastAsia="Arial" w:hAnsi="Arial"/>
                <w:sz w:val="16"/>
                <w:szCs w:val="16"/>
                <w:color w:val="0000EE"/>
                <w:w w:val="90"/>
              </w:rPr>
            </w:pPr>
            <w:hyperlink w:anchor="page35">
              <w:r>
                <w:rPr>
                  <w:rFonts w:ascii="Arial" w:cs="Arial" w:eastAsia="Arial" w:hAnsi="Arial"/>
                  <w:sz w:val="16"/>
                  <w:szCs w:val="16"/>
                  <w:color w:val="0000EE"/>
                  <w:w w:val="90"/>
                </w:rPr>
                <w:t>Defaults Upon Senior Securities</w:t>
              </w:r>
            </w:hyperlink>
          </w:p>
        </w:tc>
        <w:tc>
          <w:tcPr>
            <w:tcW w:w="3360" w:type="dxa"/>
            <w:vAlign w:val="bottom"/>
            <w:tcBorders>
              <w:top w:val="single" w:sz="8" w:color="0000EE"/>
            </w:tcBorders>
            <w:gridSpan w:val="3"/>
          </w:tcPr>
          <w:p>
            <w:pPr>
              <w:spacing w:after="0"/>
              <w:rPr>
                <w:sz w:val="24"/>
                <w:szCs w:val="24"/>
                <w:color w:val="auto"/>
              </w:rPr>
            </w:pPr>
          </w:p>
        </w:tc>
        <w:tc>
          <w:tcPr>
            <w:tcW w:w="2720" w:type="dxa"/>
            <w:vAlign w:val="bottom"/>
            <w:gridSpan w:val="2"/>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07"/>
        </w:trPr>
        <w:tc>
          <w:tcPr>
            <w:tcW w:w="500" w:type="dxa"/>
            <w:vAlign w:val="bottom"/>
          </w:tcPr>
          <w:p>
            <w:pPr>
              <w:spacing w:after="0"/>
              <w:rPr>
                <w:rFonts w:ascii="Arial" w:cs="Arial" w:eastAsia="Arial" w:hAnsi="Arial"/>
                <w:sz w:val="16"/>
                <w:szCs w:val="16"/>
                <w:color w:val="0000EE"/>
                <w:w w:val="98"/>
              </w:rPr>
            </w:pPr>
            <w:hyperlink w:anchor="page35">
              <w:r>
                <w:rPr>
                  <w:rFonts w:ascii="Arial" w:cs="Arial" w:eastAsia="Arial" w:hAnsi="Arial"/>
                  <w:sz w:val="16"/>
                  <w:szCs w:val="16"/>
                  <w:color w:val="0000EE"/>
                  <w:w w:val="98"/>
                </w:rPr>
                <w:t>Item 4.</w:t>
              </w:r>
            </w:hyperlink>
          </w:p>
        </w:tc>
        <w:tc>
          <w:tcPr>
            <w:tcW w:w="8200" w:type="dxa"/>
            <w:vAlign w:val="bottom"/>
            <w:gridSpan w:val="14"/>
          </w:tcPr>
          <w:p>
            <w:pPr>
              <w:ind w:left="40"/>
              <w:spacing w:after="0"/>
              <w:rPr>
                <w:rFonts w:ascii="Arial" w:cs="Arial" w:eastAsia="Arial" w:hAnsi="Arial"/>
                <w:sz w:val="16"/>
                <w:szCs w:val="16"/>
                <w:color w:val="0000EE"/>
              </w:rPr>
            </w:pPr>
            <w:hyperlink w:anchor="page35">
              <w:r>
                <w:rPr>
                  <w:rFonts w:ascii="Arial" w:cs="Arial" w:eastAsia="Arial" w:hAnsi="Arial"/>
                  <w:sz w:val="16"/>
                  <w:szCs w:val="16"/>
                  <w:color w:val="0000EE"/>
                </w:rPr>
                <w:t>Mine Safety Disclosures</w:t>
              </w:r>
            </w:hyperlink>
          </w:p>
        </w:tc>
        <w:tc>
          <w:tcPr>
            <w:tcW w:w="25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07"/>
        </w:trPr>
        <w:tc>
          <w:tcPr>
            <w:tcW w:w="50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36">
              <w:r>
                <w:rPr>
                  <w:rFonts w:ascii="Arial" w:cs="Arial" w:eastAsia="Arial" w:hAnsi="Arial"/>
                  <w:sz w:val="16"/>
                  <w:szCs w:val="16"/>
                  <w:color w:val="0000EE"/>
                  <w:w w:val="98"/>
                </w:rPr>
                <w:t>Item 5.</w:t>
              </w:r>
            </w:hyperlink>
          </w:p>
        </w:tc>
        <w:tc>
          <w:tcPr>
            <w:tcW w:w="1220" w:type="dxa"/>
            <w:vAlign w:val="bottom"/>
            <w:tcBorders>
              <w:top w:val="single" w:sz="8" w:color="0000EE"/>
              <w:bottom w:val="single" w:sz="8" w:color="0000EE"/>
            </w:tcBorders>
            <w:gridSpan w:val="3"/>
          </w:tcPr>
          <w:p>
            <w:pPr>
              <w:ind w:left="40"/>
              <w:spacing w:after="0"/>
              <w:rPr>
                <w:rFonts w:ascii="Arial" w:cs="Arial" w:eastAsia="Arial" w:hAnsi="Arial"/>
                <w:sz w:val="16"/>
                <w:szCs w:val="16"/>
                <w:color w:val="0000EE"/>
                <w:w w:val="93"/>
              </w:rPr>
            </w:pPr>
            <w:hyperlink w:anchor="page36">
              <w:r>
                <w:rPr>
                  <w:rFonts w:ascii="Arial" w:cs="Arial" w:eastAsia="Arial" w:hAnsi="Arial"/>
                  <w:sz w:val="16"/>
                  <w:szCs w:val="16"/>
                  <w:color w:val="0000EE"/>
                  <w:w w:val="93"/>
                </w:rPr>
                <w:t>Other Information</w:t>
              </w:r>
            </w:hyperlink>
          </w:p>
        </w:tc>
        <w:tc>
          <w:tcPr>
            <w:tcW w:w="400" w:type="dxa"/>
            <w:vAlign w:val="bottom"/>
            <w:tcBorders>
              <w:top w:val="single" w:sz="8" w:color="0000EE"/>
            </w:tcBorders>
            <w:gridSpan w:val="3"/>
          </w:tcPr>
          <w:p>
            <w:pPr>
              <w:spacing w:after="0"/>
              <w:rPr>
                <w:sz w:val="24"/>
                <w:szCs w:val="24"/>
                <w:color w:val="auto"/>
              </w:rPr>
            </w:pPr>
          </w:p>
        </w:tc>
        <w:tc>
          <w:tcPr>
            <w:tcW w:w="6580" w:type="dxa"/>
            <w:vAlign w:val="bottom"/>
            <w:gridSpan w:val="8"/>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307"/>
        </w:trPr>
        <w:tc>
          <w:tcPr>
            <w:tcW w:w="500" w:type="dxa"/>
            <w:vAlign w:val="bottom"/>
          </w:tcPr>
          <w:p>
            <w:pPr>
              <w:spacing w:after="0"/>
              <w:rPr>
                <w:rFonts w:ascii="Arial" w:cs="Arial" w:eastAsia="Arial" w:hAnsi="Arial"/>
                <w:sz w:val="16"/>
                <w:szCs w:val="16"/>
                <w:color w:val="0000EE"/>
                <w:w w:val="98"/>
              </w:rPr>
            </w:pPr>
            <w:hyperlink w:anchor="page36">
              <w:r>
                <w:rPr>
                  <w:rFonts w:ascii="Arial" w:cs="Arial" w:eastAsia="Arial" w:hAnsi="Arial"/>
                  <w:sz w:val="16"/>
                  <w:szCs w:val="16"/>
                  <w:color w:val="0000EE"/>
                  <w:w w:val="98"/>
                </w:rPr>
                <w:t>Item 6.</w:t>
              </w:r>
            </w:hyperlink>
          </w:p>
        </w:tc>
        <w:tc>
          <w:tcPr>
            <w:tcW w:w="8200" w:type="dxa"/>
            <w:vAlign w:val="bottom"/>
            <w:gridSpan w:val="14"/>
          </w:tcPr>
          <w:p>
            <w:pPr>
              <w:ind w:left="40"/>
              <w:spacing w:after="0"/>
              <w:rPr>
                <w:rFonts w:ascii="Arial" w:cs="Arial" w:eastAsia="Arial" w:hAnsi="Arial"/>
                <w:sz w:val="16"/>
                <w:szCs w:val="16"/>
                <w:color w:val="0000EE"/>
              </w:rPr>
            </w:pPr>
            <w:hyperlink w:anchor="page36">
              <w:r>
                <w:rPr>
                  <w:rFonts w:ascii="Arial" w:cs="Arial" w:eastAsia="Arial" w:hAnsi="Arial"/>
                  <w:sz w:val="16"/>
                  <w:szCs w:val="16"/>
                  <w:color w:val="0000EE"/>
                </w:rPr>
                <w:t>Exhibits</w:t>
              </w:r>
            </w:hyperlink>
          </w:p>
        </w:tc>
        <w:tc>
          <w:tcPr>
            <w:tcW w:w="25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208"/>
        </w:trPr>
        <w:tc>
          <w:tcPr>
            <w:tcW w:w="500" w:type="dxa"/>
            <w:vAlign w:val="bottom"/>
            <w:tcBorders>
              <w:top w:val="single" w:sz="8" w:color="0000EE"/>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7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Energous Corporation</w:t>
      </w:r>
    </w:p>
    <w:p>
      <w:pPr>
        <w:spacing w:after="0" w:line="26"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BALANCE SHEETS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As of</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7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80" w:type="dxa"/>
            <w:vAlign w:val="bottom"/>
            <w:gridSpan w:val="2"/>
          </w:tcPr>
          <w:p>
            <w:pPr>
              <w:jc w:val="right"/>
              <w:ind w:right="800"/>
              <w:spacing w:after="0" w:line="138" w:lineRule="exact"/>
              <w:rPr>
                <w:sz w:val="20"/>
                <w:szCs w:val="20"/>
                <w:color w:val="auto"/>
              </w:rPr>
            </w:pPr>
            <w:r>
              <w:rPr>
                <w:rFonts w:ascii="Arial" w:cs="Arial" w:eastAsia="Arial" w:hAnsi="Arial"/>
                <w:sz w:val="13"/>
                <w:szCs w:val="13"/>
                <w:b w:val="1"/>
                <w:bCs w:val="1"/>
                <w:color w:val="auto"/>
              </w:rPr>
              <w:t>June 30, 2021</w:t>
            </w:r>
          </w:p>
        </w:tc>
        <w:tc>
          <w:tcPr>
            <w:tcW w:w="220" w:type="dxa"/>
            <w:vAlign w:val="bottom"/>
          </w:tcPr>
          <w:p>
            <w:pPr>
              <w:spacing w:after="0"/>
              <w:rPr>
                <w:sz w:val="11"/>
                <w:szCs w:val="11"/>
                <w:color w:val="auto"/>
              </w:rPr>
            </w:pPr>
          </w:p>
        </w:tc>
        <w:tc>
          <w:tcPr>
            <w:tcW w:w="1500" w:type="dxa"/>
            <w:vAlign w:val="bottom"/>
          </w:tcPr>
          <w:p>
            <w:pPr>
              <w:jc w:val="right"/>
              <w:ind w:right="260"/>
              <w:spacing w:after="0" w:line="138" w:lineRule="exact"/>
              <w:rPr>
                <w:sz w:val="20"/>
                <w:szCs w:val="20"/>
                <w:color w:val="auto"/>
              </w:rPr>
            </w:pPr>
            <w:r>
              <w:rPr>
                <w:rFonts w:ascii="Arial" w:cs="Arial" w:eastAsia="Arial" w:hAnsi="Arial"/>
                <w:sz w:val="13"/>
                <w:szCs w:val="13"/>
                <w:b w:val="1"/>
                <w:bCs w:val="1"/>
                <w:color w:val="auto"/>
                <w:w w:val="97"/>
              </w:rPr>
              <w:t>December 31, 2020</w:t>
            </w:r>
          </w:p>
        </w:tc>
        <w:tc>
          <w:tcPr>
            <w:tcW w:w="140" w:type="dxa"/>
            <w:vAlign w:val="bottom"/>
          </w:tcPr>
          <w:p>
            <w:pPr>
              <w:spacing w:after="0"/>
              <w:rPr>
                <w:sz w:val="11"/>
                <w:szCs w:val="11"/>
                <w:color w:val="auto"/>
              </w:rPr>
            </w:pPr>
          </w:p>
        </w:tc>
      </w:tr>
      <w:tr>
        <w:trPr>
          <w:trHeight w:val="137"/>
        </w:trPr>
        <w:tc>
          <w:tcPr>
            <w:tcW w:w="73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522"/>
              <w:spacing w:after="0" w:line="138" w:lineRule="exact"/>
              <w:rPr>
                <w:sz w:val="20"/>
                <w:szCs w:val="20"/>
                <w:color w:val="auto"/>
              </w:rPr>
            </w:pPr>
            <w:r>
              <w:rPr>
                <w:rFonts w:ascii="Arial" w:cs="Arial" w:eastAsia="Arial" w:hAnsi="Arial"/>
                <w:sz w:val="13"/>
                <w:szCs w:val="13"/>
                <w:b w:val="1"/>
                <w:bCs w:val="1"/>
                <w:color w:val="auto"/>
              </w:rPr>
              <w:t>(unaudited)</w:t>
            </w: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6"/>
        </w:trPr>
        <w:tc>
          <w:tcPr>
            <w:tcW w:w="7320" w:type="dxa"/>
            <w:vAlign w:val="bottom"/>
            <w:shd w:val="clear" w:color="auto" w:fill="CFF0FC"/>
          </w:tcPr>
          <w:p>
            <w:pPr>
              <w:ind w:left="326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7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38,226,214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50,729,661</w:t>
            </w:r>
          </w:p>
        </w:tc>
        <w:tc>
          <w:tcPr>
            <w:tcW w:w="140" w:type="dxa"/>
            <w:vAlign w:val="bottom"/>
            <w:shd w:val="clear" w:color="auto" w:fill="CFF0FC"/>
          </w:tcPr>
          <w:p>
            <w:pPr>
              <w:spacing w:after="0"/>
              <w:rPr>
                <w:sz w:val="17"/>
                <w:szCs w:val="17"/>
                <w:color w:val="auto"/>
              </w:rPr>
            </w:pPr>
          </w:p>
        </w:tc>
      </w:tr>
      <w:tr>
        <w:trPr>
          <w:trHeight w:val="206"/>
        </w:trPr>
        <w:tc>
          <w:tcPr>
            <w:tcW w:w="73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121,970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75,850</w:t>
            </w:r>
          </w:p>
        </w:tc>
        <w:tc>
          <w:tcPr>
            <w:tcW w:w="140" w:type="dxa"/>
            <w:vAlign w:val="bottom"/>
          </w:tcPr>
          <w:p>
            <w:pPr>
              <w:spacing w:after="0"/>
              <w:rPr>
                <w:sz w:val="17"/>
                <w:szCs w:val="17"/>
                <w:color w:val="auto"/>
              </w:rPr>
            </w:pPr>
          </w:p>
        </w:tc>
      </w:tr>
      <w:tr>
        <w:trPr>
          <w:trHeight w:val="206"/>
        </w:trPr>
        <w:tc>
          <w:tcPr>
            <w:tcW w:w="7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647,471</w:t>
            </w:r>
          </w:p>
        </w:tc>
        <w:tc>
          <w:tcPr>
            <w:tcW w:w="2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636,702</w:t>
            </w:r>
          </w:p>
        </w:tc>
        <w:tc>
          <w:tcPr>
            <w:tcW w:w="140" w:type="dxa"/>
            <w:vAlign w:val="bottom"/>
            <w:shd w:val="clear" w:color="auto" w:fill="CFF0FC"/>
          </w:tcPr>
          <w:p>
            <w:pPr>
              <w:spacing w:after="0"/>
              <w:rPr>
                <w:sz w:val="17"/>
                <w:szCs w:val="17"/>
                <w:color w:val="auto"/>
              </w:rPr>
            </w:pPr>
          </w:p>
        </w:tc>
      </w:tr>
      <w:tr>
        <w:trPr>
          <w:trHeight w:val="198"/>
        </w:trPr>
        <w:tc>
          <w:tcPr>
            <w:tcW w:w="732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38,995,655</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51,442,213</w:t>
            </w:r>
          </w:p>
        </w:tc>
        <w:tc>
          <w:tcPr>
            <w:tcW w:w="140" w:type="dxa"/>
            <w:vAlign w:val="bottom"/>
          </w:tcPr>
          <w:p>
            <w:pPr>
              <w:spacing w:after="0"/>
              <w:rPr>
                <w:sz w:val="17"/>
                <w:szCs w:val="17"/>
                <w:color w:val="auto"/>
              </w:rPr>
            </w:pPr>
          </w:p>
        </w:tc>
      </w:tr>
      <w:tr>
        <w:trPr>
          <w:trHeight w:val="198"/>
        </w:trPr>
        <w:tc>
          <w:tcPr>
            <w:tcW w:w="7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7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479,330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402,711</w:t>
            </w:r>
          </w:p>
        </w:tc>
        <w:tc>
          <w:tcPr>
            <w:tcW w:w="140" w:type="dxa"/>
            <w:vAlign w:val="bottom"/>
            <w:shd w:val="clear" w:color="auto" w:fill="CFF0FC"/>
          </w:tcPr>
          <w:p>
            <w:pPr>
              <w:spacing w:after="0"/>
              <w:rPr>
                <w:sz w:val="17"/>
                <w:szCs w:val="17"/>
                <w:color w:val="auto"/>
              </w:rPr>
            </w:pPr>
          </w:p>
        </w:tc>
      </w:tr>
      <w:tr>
        <w:trPr>
          <w:trHeight w:val="206"/>
        </w:trPr>
        <w:tc>
          <w:tcPr>
            <w:tcW w:w="7320" w:type="dxa"/>
            <w:vAlign w:val="bottom"/>
          </w:tcPr>
          <w:p>
            <w:pPr>
              <w:ind w:left="2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899,355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1,293,291</w:t>
            </w:r>
          </w:p>
        </w:tc>
        <w:tc>
          <w:tcPr>
            <w:tcW w:w="140" w:type="dxa"/>
            <w:vAlign w:val="bottom"/>
          </w:tcPr>
          <w:p>
            <w:pPr>
              <w:spacing w:after="0"/>
              <w:rPr>
                <w:sz w:val="17"/>
                <w:szCs w:val="17"/>
                <w:color w:val="auto"/>
              </w:rPr>
            </w:pPr>
          </w:p>
        </w:tc>
      </w:tr>
      <w:tr>
        <w:trPr>
          <w:trHeight w:val="206"/>
        </w:trPr>
        <w:tc>
          <w:tcPr>
            <w:tcW w:w="7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2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140" w:type="dxa"/>
            <w:vAlign w:val="bottom"/>
            <w:shd w:val="clear" w:color="auto" w:fill="CFF0FC"/>
          </w:tcPr>
          <w:p>
            <w:pPr>
              <w:spacing w:after="0"/>
              <w:rPr>
                <w:sz w:val="17"/>
                <w:szCs w:val="17"/>
                <w:color w:val="auto"/>
              </w:rPr>
            </w:pPr>
          </w:p>
        </w:tc>
      </w:tr>
      <w:tr>
        <w:trPr>
          <w:trHeight w:val="238"/>
        </w:trPr>
        <w:tc>
          <w:tcPr>
            <w:tcW w:w="732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40,375,950</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53,139,825</w:t>
            </w:r>
          </w:p>
        </w:tc>
        <w:tc>
          <w:tcPr>
            <w:tcW w:w="140" w:type="dxa"/>
            <w:vAlign w:val="bottom"/>
            <w:tcBorders>
              <w:bottom w:val="single" w:sz="8" w:color="CFF0FC"/>
            </w:tcBorders>
          </w:tcPr>
          <w:p>
            <w:pPr>
              <w:spacing w:after="0"/>
              <w:rPr>
                <w:sz w:val="20"/>
                <w:szCs w:val="20"/>
                <w:color w:val="auto"/>
              </w:rPr>
            </w:pPr>
          </w:p>
        </w:tc>
      </w:tr>
      <w:tr>
        <w:trPr>
          <w:trHeight w:val="182"/>
        </w:trPr>
        <w:tc>
          <w:tcPr>
            <w:tcW w:w="7320" w:type="dxa"/>
            <w:vAlign w:val="bottom"/>
            <w:shd w:val="clear" w:color="auto" w:fill="CFF0FC"/>
          </w:tcPr>
          <w:p>
            <w:pPr>
              <w:ind w:left="1820"/>
              <w:spacing w:after="0" w:line="182" w:lineRule="exact"/>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7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1,652,541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1,096,839</w:t>
            </w:r>
          </w:p>
        </w:tc>
        <w:tc>
          <w:tcPr>
            <w:tcW w:w="140" w:type="dxa"/>
            <w:vAlign w:val="bottom"/>
            <w:shd w:val="clear" w:color="auto" w:fill="CFF0FC"/>
          </w:tcPr>
          <w:p>
            <w:pPr>
              <w:spacing w:after="0"/>
              <w:rPr>
                <w:sz w:val="17"/>
                <w:szCs w:val="17"/>
                <w:color w:val="auto"/>
              </w:rPr>
            </w:pPr>
          </w:p>
        </w:tc>
      </w:tr>
      <w:tr>
        <w:trPr>
          <w:trHeight w:val="206"/>
        </w:trPr>
        <w:tc>
          <w:tcPr>
            <w:tcW w:w="73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1,607,538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1,576,287</w:t>
            </w:r>
          </w:p>
        </w:tc>
        <w:tc>
          <w:tcPr>
            <w:tcW w:w="140" w:type="dxa"/>
            <w:vAlign w:val="bottom"/>
          </w:tcPr>
          <w:p>
            <w:pPr>
              <w:spacing w:after="0"/>
              <w:rPr>
                <w:sz w:val="17"/>
                <w:szCs w:val="17"/>
                <w:color w:val="auto"/>
              </w:rPr>
            </w:pPr>
          </w:p>
        </w:tc>
      </w:tr>
      <w:tr>
        <w:trPr>
          <w:trHeight w:val="206"/>
        </w:trPr>
        <w:tc>
          <w:tcPr>
            <w:tcW w:w="7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Operating lease liabilities, current portion</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785,484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825,431</w:t>
            </w:r>
          </w:p>
        </w:tc>
        <w:tc>
          <w:tcPr>
            <w:tcW w:w="140" w:type="dxa"/>
            <w:vAlign w:val="bottom"/>
            <w:shd w:val="clear" w:color="auto" w:fill="CFF0FC"/>
          </w:tcPr>
          <w:p>
            <w:pPr>
              <w:spacing w:after="0"/>
              <w:rPr>
                <w:sz w:val="17"/>
                <w:szCs w:val="17"/>
                <w:color w:val="auto"/>
              </w:rPr>
            </w:pPr>
          </w:p>
        </w:tc>
      </w:tr>
      <w:tr>
        <w:trPr>
          <w:trHeight w:val="206"/>
        </w:trPr>
        <w:tc>
          <w:tcPr>
            <w:tcW w:w="73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w:t>
            </w:r>
          </w:p>
        </w:tc>
        <w:tc>
          <w:tcPr>
            <w:tcW w:w="140" w:type="dxa"/>
            <w:vAlign w:val="bottom"/>
            <w:tcBorders>
              <w:bottom w:val="single" w:sz="8" w:color="CFF0FC"/>
            </w:tcBorders>
          </w:tcPr>
          <w:p>
            <w:pPr>
              <w:spacing w:after="0"/>
              <w:rPr>
                <w:sz w:val="17"/>
                <w:szCs w:val="17"/>
                <w:color w:val="auto"/>
              </w:rPr>
            </w:pPr>
          </w:p>
        </w:tc>
      </w:tr>
      <w:tr>
        <w:trPr>
          <w:trHeight w:val="198"/>
        </w:trPr>
        <w:tc>
          <w:tcPr>
            <w:tcW w:w="73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4,059,063</w:t>
            </w:r>
          </w:p>
        </w:tc>
        <w:tc>
          <w:tcPr>
            <w:tcW w:w="2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3,510,557</w:t>
            </w:r>
          </w:p>
        </w:tc>
        <w:tc>
          <w:tcPr>
            <w:tcW w:w="140" w:type="dxa"/>
            <w:vAlign w:val="bottom"/>
            <w:shd w:val="clear" w:color="auto" w:fill="CFF0FC"/>
          </w:tcPr>
          <w:p>
            <w:pPr>
              <w:spacing w:after="0"/>
              <w:rPr>
                <w:sz w:val="17"/>
                <w:szCs w:val="17"/>
                <w:color w:val="auto"/>
              </w:rPr>
            </w:pPr>
          </w:p>
        </w:tc>
      </w:tr>
      <w:tr>
        <w:trPr>
          <w:trHeight w:val="404"/>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Operating lease liabilities, long-term portion</w:t>
            </w: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194,176</w:t>
            </w:r>
          </w:p>
        </w:tc>
        <w:tc>
          <w:tcPr>
            <w:tcW w:w="2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576,762</w:t>
            </w:r>
          </w:p>
        </w:tc>
        <w:tc>
          <w:tcPr>
            <w:tcW w:w="140" w:type="dxa"/>
            <w:vAlign w:val="bottom"/>
            <w:tcBorders>
              <w:bottom w:val="single" w:sz="8" w:color="CFF0FC"/>
            </w:tcBorders>
          </w:tcPr>
          <w:p>
            <w:pPr>
              <w:spacing w:after="0"/>
              <w:rPr>
                <w:sz w:val="24"/>
                <w:szCs w:val="24"/>
                <w:color w:val="auto"/>
              </w:rPr>
            </w:pPr>
          </w:p>
        </w:tc>
      </w:tr>
      <w:tr>
        <w:trPr>
          <w:trHeight w:val="198"/>
        </w:trPr>
        <w:tc>
          <w:tcPr>
            <w:tcW w:w="73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4,253,239</w:t>
            </w:r>
          </w:p>
        </w:tc>
        <w:tc>
          <w:tcPr>
            <w:tcW w:w="2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4,087,319</w:t>
            </w:r>
          </w:p>
        </w:tc>
        <w:tc>
          <w:tcPr>
            <w:tcW w:w="140" w:type="dxa"/>
            <w:vAlign w:val="bottom"/>
            <w:shd w:val="clear" w:color="auto" w:fill="CFF0FC"/>
          </w:tcPr>
          <w:p>
            <w:pPr>
              <w:spacing w:after="0"/>
              <w:rPr>
                <w:sz w:val="17"/>
                <w:szCs w:val="17"/>
                <w:color w:val="auto"/>
              </w:rPr>
            </w:pPr>
          </w:p>
        </w:tc>
      </w:tr>
      <w:tr>
        <w:trPr>
          <w:trHeight w:val="404"/>
        </w:trPr>
        <w:tc>
          <w:tcPr>
            <w:tcW w:w="73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6"/>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193"/>
        </w:trPr>
        <w:tc>
          <w:tcPr>
            <w:tcW w:w="7320" w:type="dxa"/>
            <w:vAlign w:val="bottom"/>
          </w:tcPr>
          <w:p>
            <w:pPr>
              <w:ind w:left="220"/>
              <w:spacing w:after="0"/>
              <w:rPr>
                <w:sz w:val="20"/>
                <w:szCs w:val="20"/>
                <w:color w:val="auto"/>
              </w:rPr>
            </w:pPr>
            <w:r>
              <w:rPr>
                <w:rFonts w:ascii="Arial" w:cs="Arial" w:eastAsia="Arial" w:hAnsi="Arial"/>
                <w:sz w:val="16"/>
                <w:szCs w:val="16"/>
                <w:color w:val="auto"/>
              </w:rPr>
              <w:t>Preferred Stock, $0.00001 par value, 10,000,000 shares authorized</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7320" w:type="dxa"/>
            <w:vAlign w:val="bottom"/>
          </w:tcPr>
          <w:p>
            <w:pPr>
              <w:ind w:left="340"/>
              <w:spacing w:after="0"/>
              <w:rPr>
                <w:sz w:val="20"/>
                <w:szCs w:val="20"/>
                <w:color w:val="auto"/>
              </w:rPr>
            </w:pPr>
            <w:r>
              <w:rPr>
                <w:rFonts w:ascii="Arial" w:cs="Arial" w:eastAsia="Arial" w:hAnsi="Arial"/>
                <w:sz w:val="16"/>
                <w:szCs w:val="16"/>
                <w:color w:val="auto"/>
              </w:rPr>
              <w:t>at June 30, 2021 and December 31, 2020; no shares issued or</w:t>
            </w: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7320" w:type="dxa"/>
            <w:vAlign w:val="bottom"/>
          </w:tcPr>
          <w:p>
            <w:pPr>
              <w:ind w:left="340"/>
              <w:spacing w:after="0"/>
              <w:rPr>
                <w:sz w:val="20"/>
                <w:szCs w:val="20"/>
                <w:color w:val="auto"/>
              </w:rPr>
            </w:pPr>
            <w:r>
              <w:rPr>
                <w:rFonts w:ascii="Arial" w:cs="Arial" w:eastAsia="Arial" w:hAnsi="Arial"/>
                <w:sz w:val="16"/>
                <w:szCs w:val="16"/>
                <w:color w:val="auto"/>
              </w:rPr>
              <w:t>outstanding</w:t>
            </w:r>
          </w:p>
        </w:tc>
        <w:tc>
          <w:tcPr>
            <w:tcW w:w="300" w:type="dxa"/>
            <w:vAlign w:val="bottom"/>
          </w:tcPr>
          <w:p>
            <w:pPr>
              <w:spacing w:after="0"/>
              <w:rPr>
                <w:sz w:val="17"/>
                <w:szCs w:val="17"/>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94"/>
        </w:trPr>
        <w:tc>
          <w:tcPr>
            <w:tcW w:w="7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Common Stock, $0.00001 par value, 200,000,000 shares authorized</w:t>
            </w: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94"/>
        </w:trPr>
        <w:tc>
          <w:tcPr>
            <w:tcW w:w="73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at June 30, 2021 and December 31, 2020, respectively; 62,868,137</w:t>
            </w: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194"/>
        </w:trPr>
        <w:tc>
          <w:tcPr>
            <w:tcW w:w="73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and 61,292,412 shares issued and outstanding at June 30, 2021</w:t>
            </w:r>
          </w:p>
        </w:tc>
        <w:tc>
          <w:tcPr>
            <w:tcW w:w="3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06"/>
        </w:trPr>
        <w:tc>
          <w:tcPr>
            <w:tcW w:w="732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and December 31, 2020, respectively.</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140" w:type="dxa"/>
            <w:vAlign w:val="bottom"/>
            <w:shd w:val="clear" w:color="auto" w:fill="CFF0FC"/>
          </w:tcPr>
          <w:p>
            <w:pPr>
              <w:spacing w:after="0"/>
              <w:rPr>
                <w:sz w:val="17"/>
                <w:szCs w:val="17"/>
                <w:color w:val="auto"/>
              </w:rPr>
            </w:pPr>
          </w:p>
        </w:tc>
      </w:tr>
      <w:tr>
        <w:trPr>
          <w:trHeight w:val="206"/>
        </w:trPr>
        <w:tc>
          <w:tcPr>
            <w:tcW w:w="73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350,636,419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344,024,638</w:t>
            </w:r>
          </w:p>
        </w:tc>
        <w:tc>
          <w:tcPr>
            <w:tcW w:w="140" w:type="dxa"/>
            <w:vAlign w:val="bottom"/>
          </w:tcPr>
          <w:p>
            <w:pPr>
              <w:spacing w:after="0"/>
              <w:rPr>
                <w:sz w:val="17"/>
                <w:szCs w:val="17"/>
                <w:color w:val="auto"/>
              </w:rPr>
            </w:pPr>
          </w:p>
        </w:tc>
      </w:tr>
      <w:tr>
        <w:trPr>
          <w:trHeight w:val="206"/>
        </w:trPr>
        <w:tc>
          <w:tcPr>
            <w:tcW w:w="73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deficit</w:t>
            </w: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(314,514,338)</w:t>
            </w:r>
          </w:p>
        </w:tc>
        <w:tc>
          <w:tcPr>
            <w:tcW w:w="2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(294,972,746)</w:t>
            </w:r>
          </w:p>
        </w:tc>
      </w:tr>
      <w:tr>
        <w:trPr>
          <w:trHeight w:val="198"/>
        </w:trPr>
        <w:tc>
          <w:tcPr>
            <w:tcW w:w="732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36,122,711</w:t>
            </w:r>
          </w:p>
        </w:tc>
        <w:tc>
          <w:tcPr>
            <w:tcW w:w="26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49,052,506</w:t>
            </w:r>
          </w:p>
        </w:tc>
        <w:tc>
          <w:tcPr>
            <w:tcW w:w="140" w:type="dxa"/>
            <w:vAlign w:val="bottom"/>
            <w:tcBorders>
              <w:bottom w:val="single" w:sz="8" w:color="CFF0FC"/>
            </w:tcBorders>
          </w:tcPr>
          <w:p>
            <w:pPr>
              <w:spacing w:after="0"/>
              <w:rPr>
                <w:sz w:val="17"/>
                <w:szCs w:val="17"/>
                <w:color w:val="auto"/>
              </w:rPr>
            </w:pPr>
          </w:p>
        </w:tc>
      </w:tr>
      <w:tr>
        <w:trPr>
          <w:trHeight w:val="198"/>
        </w:trPr>
        <w:tc>
          <w:tcPr>
            <w:tcW w:w="732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40,375,950</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53,139,825</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Energous Corporation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STATEMENTS OF OPERATIONS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5"/>
          </w:tcPr>
          <w:p>
            <w:pPr>
              <w:ind w:left="40"/>
              <w:spacing w:after="0"/>
              <w:rPr>
                <w:sz w:val="20"/>
                <w:szCs w:val="20"/>
                <w:color w:val="auto"/>
              </w:rPr>
            </w:pPr>
            <w:r>
              <w:rPr>
                <w:rFonts w:ascii="Arial" w:cs="Arial" w:eastAsia="Arial" w:hAnsi="Arial"/>
                <w:sz w:val="13"/>
                <w:szCs w:val="13"/>
                <w:b w:val="1"/>
                <w:bCs w:val="1"/>
                <w:color w:val="auto"/>
              </w:rPr>
              <w:t>For the Three Months Ended June 30,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5"/>
          </w:tcPr>
          <w:p>
            <w:pPr>
              <w:ind w:left="140"/>
              <w:spacing w:after="0"/>
              <w:rPr>
                <w:sz w:val="20"/>
                <w:szCs w:val="20"/>
                <w:color w:val="auto"/>
              </w:rPr>
            </w:pPr>
            <w:r>
              <w:rPr>
                <w:rFonts w:ascii="Arial" w:cs="Arial" w:eastAsia="Arial" w:hAnsi="Arial"/>
                <w:sz w:val="13"/>
                <w:szCs w:val="13"/>
                <w:b w:val="1"/>
                <w:bCs w:val="1"/>
                <w:color w:val="auto"/>
              </w:rPr>
              <w:t>For the Six Months Ended June 30,</w:t>
            </w:r>
          </w:p>
        </w:tc>
        <w:tc>
          <w:tcPr>
            <w:tcW w:w="0" w:type="dxa"/>
            <w:vAlign w:val="bottom"/>
          </w:tcPr>
          <w:p>
            <w:pPr>
              <w:spacing w:after="0"/>
              <w:rPr>
                <w:sz w:val="1"/>
                <w:szCs w:val="1"/>
                <w:color w:val="auto"/>
              </w:rPr>
            </w:pPr>
          </w:p>
        </w:tc>
      </w:tr>
      <w:tr>
        <w:trPr>
          <w:trHeight w:val="137"/>
        </w:trPr>
        <w:tc>
          <w:tcPr>
            <w:tcW w:w="5700" w:type="dxa"/>
            <w:vAlign w:val="bottom"/>
            <w:tcBorders>
              <w:bottom w:val="single" w:sz="8" w:color="CFF0FC"/>
            </w:tcBorders>
          </w:tcPr>
          <w:p>
            <w:pPr>
              <w:spacing w:after="0"/>
              <w:rPr>
                <w:sz w:val="11"/>
                <w:szCs w:val="11"/>
                <w:color w:val="auto"/>
              </w:rPr>
            </w:pPr>
          </w:p>
        </w:tc>
        <w:tc>
          <w:tcPr>
            <w:tcW w:w="140" w:type="dxa"/>
            <w:vAlign w:val="bottom"/>
            <w:tcBorders>
              <w:top w:val="single" w:sz="8" w:color="auto"/>
              <w:bottom w:val="single" w:sz="8" w:color="CFF0FC"/>
            </w:tcBorders>
          </w:tcPr>
          <w:p>
            <w:pPr>
              <w:spacing w:after="0"/>
              <w:rPr>
                <w:sz w:val="11"/>
                <w:szCs w:val="11"/>
                <w:color w:val="auto"/>
              </w:rPr>
            </w:pPr>
          </w:p>
        </w:tc>
        <w:tc>
          <w:tcPr>
            <w:tcW w:w="980" w:type="dxa"/>
            <w:vAlign w:val="bottom"/>
            <w:tcBorders>
              <w:top w:val="single" w:sz="8" w:color="auto"/>
              <w:bottom w:val="single" w:sz="8" w:color="CFF0FC"/>
            </w:tcBorders>
          </w:tcPr>
          <w:p>
            <w:pPr>
              <w:jc w:val="right"/>
              <w:ind w:right="362"/>
              <w:spacing w:after="0" w:line="138"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FF0FC"/>
            </w:tcBorders>
          </w:tcPr>
          <w:p>
            <w:pPr>
              <w:spacing w:after="0"/>
              <w:rPr>
                <w:sz w:val="11"/>
                <w:szCs w:val="11"/>
                <w:color w:val="auto"/>
              </w:rPr>
            </w:pPr>
          </w:p>
        </w:tc>
        <w:tc>
          <w:tcPr>
            <w:tcW w:w="240" w:type="dxa"/>
            <w:vAlign w:val="bottom"/>
            <w:tcBorders>
              <w:top w:val="single" w:sz="8" w:color="auto"/>
              <w:bottom w:val="single" w:sz="8" w:color="CFF0FC"/>
            </w:tcBorders>
          </w:tcPr>
          <w:p>
            <w:pPr>
              <w:spacing w:after="0"/>
              <w:rPr>
                <w:sz w:val="11"/>
                <w:szCs w:val="11"/>
                <w:color w:val="auto"/>
              </w:rPr>
            </w:pPr>
          </w:p>
        </w:tc>
        <w:tc>
          <w:tcPr>
            <w:tcW w:w="880" w:type="dxa"/>
            <w:vAlign w:val="bottom"/>
            <w:tcBorders>
              <w:top w:val="single" w:sz="8" w:color="auto"/>
              <w:bottom w:val="single" w:sz="8" w:color="CFF0FC"/>
            </w:tcBorders>
          </w:tcPr>
          <w:p>
            <w:pPr>
              <w:jc w:val="right"/>
              <w:ind w:right="361"/>
              <w:spacing w:after="0" w:line="138"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22"/>
              <w:spacing w:after="0" w:line="138"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21"/>
              <w:spacing w:after="0" w:line="138"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184,960</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114,375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330,025</w:t>
            </w:r>
          </w:p>
        </w:tc>
        <w:tc>
          <w:tcPr>
            <w:tcW w:w="2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175,850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6,103,694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4,330,433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10,694,938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8,905,736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2,441,357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1,438,904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4,235,569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2,886,813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2,656,748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2,470,683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4,944,144</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5,123,077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tcPr>
          <w:p>
            <w:pPr>
              <w:ind w:left="220"/>
              <w:spacing w:after="0"/>
              <w:rPr>
                <w:sz w:val="20"/>
                <w:szCs w:val="20"/>
                <w:color w:val="auto"/>
              </w:rPr>
            </w:pPr>
            <w:r>
              <w:rPr>
                <w:rFonts w:ascii="Arial" w:cs="Arial" w:eastAsia="Arial" w:hAnsi="Arial"/>
                <w:sz w:val="16"/>
                <w:szCs w:val="16"/>
                <w:color w:val="auto"/>
              </w:rPr>
              <w:t>Cost of services revenue</w:t>
            </w:r>
          </w:p>
        </w:tc>
        <w:tc>
          <w:tcPr>
            <w:tcW w:w="140" w:type="dxa"/>
            <w:vAlign w:val="bottom"/>
          </w:tcPr>
          <w:p>
            <w:pPr>
              <w:spacing w:after="0"/>
              <w:rPr>
                <w:sz w:val="17"/>
                <w:szCs w:val="17"/>
                <w:color w:val="auto"/>
              </w:rPr>
            </w:pPr>
          </w:p>
        </w:tc>
        <w:tc>
          <w:tcPr>
            <w:tcW w:w="12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86,995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126,539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0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11,201,799</w:t>
            </w: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8,327,015</w:t>
            </w: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19,874,651</w:t>
            </w: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17,042,165</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20"/>
                <w:szCs w:val="20"/>
                <w:color w:val="auto"/>
              </w:rPr>
            </w:pPr>
            <w:r>
              <w:rPr>
                <w:rFonts w:ascii="Arial" w:cs="Arial" w:eastAsia="Arial" w:hAnsi="Arial"/>
                <w:sz w:val="16"/>
                <w:szCs w:val="16"/>
                <w:color w:val="auto"/>
              </w:rPr>
              <w:t>Loss from operations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(11,016,839)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(8,212,640)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(19,544,626)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(16,866,315)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7,974</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63,913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00" w:type="dxa"/>
            <w:vAlign w:val="bottom"/>
            <w:shd w:val="clear" w:color="auto" w:fill="CFF0FC"/>
          </w:tcPr>
          <w:p>
            <w:pPr>
              <w:ind w:left="440"/>
              <w:spacing w:after="0"/>
              <w:rPr>
                <w:sz w:val="20"/>
                <w:szCs w:val="20"/>
                <w:color w:val="auto"/>
              </w:rPr>
            </w:pPr>
            <w:r>
              <w:rPr>
                <w:rFonts w:ascii="Arial" w:cs="Arial" w:eastAsia="Arial" w:hAnsi="Arial"/>
                <w:sz w:val="16"/>
                <w:szCs w:val="16"/>
                <w:color w:val="auto"/>
              </w:rPr>
              <w:t>Total other income</w:t>
            </w: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7,974</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3,034</w:t>
            </w:r>
          </w:p>
        </w:tc>
        <w:tc>
          <w:tcPr>
            <w:tcW w:w="2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63,913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(11,015,829</w:t>
            </w:r>
          </w:p>
        </w:tc>
        <w:tc>
          <w:tcPr>
            <w:tcW w:w="240" w:type="dxa"/>
            <w:vAlign w:val="bottom"/>
            <w:tcBorders>
              <w:bottom w:val="single" w:sz="8" w:color="CFF0FC"/>
            </w:tcBorders>
          </w:tcPr>
          <w:p>
            <w:pPr>
              <w:jc w:val="right"/>
              <w:ind w:right="99"/>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(8,204,666)</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(19,541,592)</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(16,802,402)</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7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6"/>
                <w:szCs w:val="16"/>
                <w:color w:val="auto"/>
              </w:rPr>
              <w:t>Basic and diluted loss per common share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(0.18)</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(0.20)</w:t>
            </w:r>
          </w:p>
        </w:tc>
        <w:tc>
          <w:tcPr>
            <w:tcW w:w="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(0.32)</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(0.45)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 basic and diluted</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62,080,250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40,641,264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61,825,044</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37,728,909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Energous Corporation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STATEMENT OF CHANGES IN STOCKHOLDERS' EQUITY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2200" w:type="dxa"/>
            <w:vAlign w:val="bottom"/>
            <w:gridSpan w:val="3"/>
            <w:vMerge w:val="restart"/>
          </w:tcPr>
          <w:p>
            <w:pPr>
              <w:jc w:val="right"/>
              <w:ind w:right="472"/>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456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37"/>
        </w:trPr>
        <w:tc>
          <w:tcPr>
            <w:tcW w:w="4560" w:type="dxa"/>
            <w:vAlign w:val="bottom"/>
          </w:tcPr>
          <w:p>
            <w:pPr>
              <w:spacing w:after="0"/>
              <w:rPr>
                <w:sz w:val="11"/>
                <w:szCs w:val="11"/>
                <w:color w:val="auto"/>
              </w:rPr>
            </w:pPr>
          </w:p>
        </w:tc>
        <w:tc>
          <w:tcPr>
            <w:tcW w:w="1120" w:type="dxa"/>
            <w:vAlign w:val="bottom"/>
          </w:tcPr>
          <w:p>
            <w:pPr>
              <w:jc w:val="right"/>
              <w:ind w:right="312"/>
              <w:spacing w:after="0" w:line="138"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1"/>
                <w:szCs w:val="11"/>
                <w:color w:val="auto"/>
              </w:rPr>
            </w:pPr>
          </w:p>
        </w:tc>
        <w:tc>
          <w:tcPr>
            <w:tcW w:w="8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1"/>
                <w:szCs w:val="11"/>
                <w:color w:val="auto"/>
              </w:rPr>
            </w:pPr>
          </w:p>
        </w:tc>
        <w:tc>
          <w:tcPr>
            <w:tcW w:w="116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0"/>
        </w:trPr>
        <w:tc>
          <w:tcPr>
            <w:tcW w:w="4560" w:type="dxa"/>
            <w:vAlign w:val="bottom"/>
            <w:tcBorders>
              <w:top w:val="single" w:sz="8" w:color="CFF0FC"/>
            </w:tcBorders>
            <w:shd w:val="clear" w:color="auto" w:fill="CFF0FC"/>
          </w:tcPr>
          <w:p>
            <w:pPr>
              <w:spacing w:after="0" w:line="150" w:lineRule="exact"/>
              <w:rPr>
                <w:sz w:val="20"/>
                <w:szCs w:val="20"/>
                <w:color w:val="auto"/>
              </w:rPr>
            </w:pPr>
            <w:r>
              <w:rPr>
                <w:rFonts w:ascii="Arial" w:cs="Arial" w:eastAsia="Arial" w:hAnsi="Arial"/>
                <w:sz w:val="14"/>
                <w:szCs w:val="14"/>
                <w:color w:val="auto"/>
              </w:rPr>
              <w:t>Balance at January 1, 2021</w:t>
            </w:r>
          </w:p>
        </w:tc>
        <w:tc>
          <w:tcPr>
            <w:tcW w:w="11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61,292,412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12"/>
              <w:spacing w:after="0" w:line="150"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614</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1"/>
              <w:spacing w:after="0" w:line="150"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344,024,638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(294,972,746)</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49,052,506</w:t>
            </w: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line="145" w:lineRule="exact"/>
              <w:rPr>
                <w:sz w:val="20"/>
                <w:szCs w:val="20"/>
                <w:color w:val="auto"/>
              </w:rPr>
            </w:pPr>
            <w:r>
              <w:rPr>
                <w:rFonts w:ascii="Arial" w:cs="Arial" w:eastAsia="Arial" w:hAnsi="Arial"/>
                <w:sz w:val="14"/>
                <w:szCs w:val="14"/>
                <w:color w:val="auto"/>
              </w:rPr>
              <w:t>Stock-based compensation - restricted</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tcPr>
          <w:p>
            <w:pPr>
              <w:ind w:left="100"/>
              <w:spacing w:after="0" w:line="159" w:lineRule="exact"/>
              <w:rPr>
                <w:sz w:val="20"/>
                <w:szCs w:val="20"/>
                <w:color w:val="auto"/>
              </w:rPr>
            </w:pPr>
            <w:r>
              <w:rPr>
                <w:rFonts w:ascii="Arial" w:cs="Arial" w:eastAsia="Arial" w:hAnsi="Arial"/>
                <w:sz w:val="14"/>
                <w:szCs w:val="14"/>
                <w:color w:val="auto"/>
              </w:rPr>
              <w:t>stock units ("RSUs")</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2,088,910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2,088,910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shd w:val="clear" w:color="auto" w:fill="CFF0FC"/>
          </w:tcPr>
          <w:p>
            <w:pPr>
              <w:spacing w:after="0" w:line="145" w:lineRule="exact"/>
              <w:rPr>
                <w:sz w:val="20"/>
                <w:szCs w:val="20"/>
                <w:color w:val="auto"/>
              </w:rPr>
            </w:pPr>
            <w:r>
              <w:rPr>
                <w:rFonts w:ascii="Arial" w:cs="Arial" w:eastAsia="Arial" w:hAnsi="Arial"/>
                <w:sz w:val="14"/>
                <w:szCs w:val="14"/>
                <w:color w:val="auto"/>
              </w:rPr>
              <w:t>Stock-based compensation - employee</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stock purchase plan ("ESPP")</w:t>
            </w:r>
          </w:p>
        </w:tc>
        <w:tc>
          <w:tcPr>
            <w:tcW w:w="1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57,316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57,316</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60" w:type="dxa"/>
            <w:vAlign w:val="bottom"/>
          </w:tcPr>
          <w:p>
            <w:pPr>
              <w:spacing w:after="0" w:line="157" w:lineRule="exact"/>
              <w:rPr>
                <w:sz w:val="20"/>
                <w:szCs w:val="20"/>
                <w:color w:val="auto"/>
              </w:rPr>
            </w:pPr>
            <w:r>
              <w:rPr>
                <w:rFonts w:ascii="Arial" w:cs="Arial" w:eastAsia="Arial" w:hAnsi="Arial"/>
                <w:sz w:val="14"/>
                <w:szCs w:val="14"/>
                <w:color w:val="auto"/>
              </w:rPr>
              <w:t>Issuance of shares for RSUs</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627,412</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Proceeds from contributions to the ESPP</w:t>
            </w: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117,013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117,013</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6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(8,525,763)</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(8,525,763)</w:t>
            </w:r>
          </w:p>
        </w:tc>
        <w:tc>
          <w:tcPr>
            <w:tcW w:w="0" w:type="dxa"/>
            <w:vAlign w:val="bottom"/>
          </w:tcPr>
          <w:p>
            <w:pPr>
              <w:spacing w:after="0"/>
              <w:rPr>
                <w:sz w:val="1"/>
                <w:szCs w:val="1"/>
                <w:color w:val="auto"/>
              </w:rPr>
            </w:pPr>
          </w:p>
        </w:tc>
      </w:tr>
      <w:tr>
        <w:trPr>
          <w:trHeight w:val="150"/>
        </w:trPr>
        <w:tc>
          <w:tcPr>
            <w:tcW w:w="4560" w:type="dxa"/>
            <w:vAlign w:val="bottom"/>
            <w:tcBorders>
              <w:top w:val="single" w:sz="8" w:color="CFF0FC"/>
            </w:tcBorders>
            <w:shd w:val="clear" w:color="auto" w:fill="CFF0FC"/>
          </w:tcPr>
          <w:p>
            <w:pPr>
              <w:spacing w:after="0" w:line="150" w:lineRule="exact"/>
              <w:rPr>
                <w:sz w:val="20"/>
                <w:szCs w:val="20"/>
                <w:color w:val="auto"/>
              </w:rPr>
            </w:pPr>
            <w:r>
              <w:rPr>
                <w:rFonts w:ascii="Arial" w:cs="Arial" w:eastAsia="Arial" w:hAnsi="Arial"/>
                <w:sz w:val="14"/>
                <w:szCs w:val="14"/>
                <w:color w:val="auto"/>
              </w:rPr>
              <w:t>Balance March 31, 2021 (unaudited)</w:t>
            </w:r>
          </w:p>
        </w:tc>
        <w:tc>
          <w:tcPr>
            <w:tcW w:w="11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61,919,824</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620</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346,287,871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(303,498,509)</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42,789,982</w:t>
            </w: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line="145" w:lineRule="exact"/>
              <w:rPr>
                <w:sz w:val="20"/>
                <w:szCs w:val="20"/>
                <w:color w:val="auto"/>
              </w:rPr>
            </w:pPr>
            <w:r>
              <w:rPr>
                <w:rFonts w:ascii="Arial" w:cs="Arial" w:eastAsia="Arial" w:hAnsi="Arial"/>
                <w:sz w:val="14"/>
                <w:szCs w:val="14"/>
                <w:color w:val="auto"/>
              </w:rPr>
              <w:t>Stock-based compensation - restricted</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tcPr>
          <w:p>
            <w:pPr>
              <w:ind w:left="100"/>
              <w:spacing w:after="0" w:line="159" w:lineRule="exact"/>
              <w:rPr>
                <w:sz w:val="20"/>
                <w:szCs w:val="20"/>
                <w:color w:val="auto"/>
              </w:rPr>
            </w:pPr>
            <w:r>
              <w:rPr>
                <w:rFonts w:ascii="Arial" w:cs="Arial" w:eastAsia="Arial" w:hAnsi="Arial"/>
                <w:sz w:val="14"/>
                <w:szCs w:val="14"/>
                <w:color w:val="auto"/>
              </w:rPr>
              <w:t>stock units ("RSUs")</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1,471,826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1,471,826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shd w:val="clear" w:color="auto" w:fill="CFF0FC"/>
          </w:tcPr>
          <w:p>
            <w:pPr>
              <w:spacing w:after="0" w:line="145" w:lineRule="exact"/>
              <w:rPr>
                <w:sz w:val="20"/>
                <w:szCs w:val="20"/>
                <w:color w:val="auto"/>
              </w:rPr>
            </w:pPr>
            <w:r>
              <w:rPr>
                <w:rFonts w:ascii="Arial" w:cs="Arial" w:eastAsia="Arial" w:hAnsi="Arial"/>
                <w:sz w:val="14"/>
                <w:szCs w:val="14"/>
                <w:color w:val="auto"/>
              </w:rPr>
              <w:t>Stock-based compensation - performance</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share units ("PSUs")</w:t>
            </w:r>
          </w:p>
        </w:tc>
        <w:tc>
          <w:tcPr>
            <w:tcW w:w="1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2,695,847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2,695,847</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line="145" w:lineRule="exact"/>
              <w:rPr>
                <w:sz w:val="20"/>
                <w:szCs w:val="20"/>
                <w:color w:val="auto"/>
              </w:rPr>
            </w:pPr>
            <w:r>
              <w:rPr>
                <w:rFonts w:ascii="Arial" w:cs="Arial" w:eastAsia="Arial" w:hAnsi="Arial"/>
                <w:sz w:val="14"/>
                <w:szCs w:val="14"/>
                <w:color w:val="auto"/>
              </w:rPr>
              <w:t>Stock-based compensation - employee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tcPr>
          <w:p>
            <w:pPr>
              <w:ind w:left="100"/>
              <w:spacing w:after="0" w:line="159" w:lineRule="exact"/>
              <w:rPr>
                <w:sz w:val="20"/>
                <w:szCs w:val="20"/>
                <w:color w:val="auto"/>
              </w:rPr>
            </w:pPr>
            <w:r>
              <w:rPr>
                <w:rFonts w:ascii="Arial" w:cs="Arial" w:eastAsia="Arial" w:hAnsi="Arial"/>
                <w:sz w:val="14"/>
                <w:szCs w:val="14"/>
                <w:color w:val="auto"/>
              </w:rPr>
              <w:t>stock purchase plan ("ESPP")</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60,651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60,651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Issuance of shares for RSUs</w:t>
            </w: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298,641</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line="157" w:lineRule="exact"/>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60" w:type="dxa"/>
            <w:vAlign w:val="bottom"/>
          </w:tcPr>
          <w:p>
            <w:pPr>
              <w:spacing w:after="0" w:line="157" w:lineRule="exact"/>
              <w:rPr>
                <w:sz w:val="20"/>
                <w:szCs w:val="20"/>
                <w:color w:val="auto"/>
              </w:rPr>
            </w:pPr>
            <w:r>
              <w:rPr>
                <w:rFonts w:ascii="Arial" w:cs="Arial" w:eastAsia="Arial" w:hAnsi="Arial"/>
                <w:sz w:val="14"/>
                <w:szCs w:val="14"/>
                <w:color w:val="auto"/>
              </w:rPr>
              <w:t>Issuance of shares for PSUs</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494,608</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Proceeds from contributions to the ESPP</w:t>
            </w: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155,064</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120,232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120,234</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6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(11,015,829)</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(11,015,829)</w:t>
            </w:r>
          </w:p>
        </w:tc>
        <w:tc>
          <w:tcPr>
            <w:tcW w:w="0" w:type="dxa"/>
            <w:vAlign w:val="bottom"/>
          </w:tcPr>
          <w:p>
            <w:pPr>
              <w:spacing w:after="0"/>
              <w:rPr>
                <w:sz w:val="1"/>
                <w:szCs w:val="1"/>
                <w:color w:val="auto"/>
              </w:rPr>
            </w:pPr>
          </w:p>
        </w:tc>
      </w:tr>
      <w:tr>
        <w:trPr>
          <w:trHeight w:val="150"/>
        </w:trPr>
        <w:tc>
          <w:tcPr>
            <w:tcW w:w="4560" w:type="dxa"/>
            <w:vAlign w:val="bottom"/>
            <w:tcBorders>
              <w:top w:val="single" w:sz="8" w:color="CFF0FC"/>
              <w:bottom w:val="single" w:sz="8" w:color="CFF0FC"/>
            </w:tcBorders>
            <w:shd w:val="clear" w:color="auto" w:fill="CFF0FC"/>
          </w:tcPr>
          <w:p>
            <w:pPr>
              <w:spacing w:after="0" w:line="150" w:lineRule="exact"/>
              <w:rPr>
                <w:sz w:val="20"/>
                <w:szCs w:val="20"/>
                <w:color w:val="auto"/>
              </w:rPr>
            </w:pPr>
            <w:r>
              <w:rPr>
                <w:rFonts w:ascii="Arial" w:cs="Arial" w:eastAsia="Arial" w:hAnsi="Arial"/>
                <w:sz w:val="14"/>
                <w:szCs w:val="14"/>
                <w:color w:val="auto"/>
              </w:rPr>
              <w:t>Balance, June 30, 2021 (unaudited)</w:t>
            </w:r>
          </w:p>
        </w:tc>
        <w:tc>
          <w:tcPr>
            <w:tcW w:w="112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62,868,137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ind w:right="712"/>
              <w:spacing w:after="0" w:line="150"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630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11"/>
              <w:spacing w:after="0" w:line="150"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350,636,419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(314,514,338)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36,122,711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456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50"/>
        </w:trPr>
        <w:tc>
          <w:tcPr>
            <w:tcW w:w="4560" w:type="dxa"/>
            <w:vAlign w:val="bottom"/>
          </w:tcPr>
          <w:p>
            <w:pPr>
              <w:spacing w:after="0"/>
              <w:rPr>
                <w:sz w:val="13"/>
                <w:szCs w:val="13"/>
                <w:color w:val="auto"/>
              </w:rPr>
            </w:pPr>
          </w:p>
        </w:tc>
        <w:tc>
          <w:tcPr>
            <w:tcW w:w="1120" w:type="dxa"/>
            <w:vAlign w:val="bottom"/>
          </w:tcPr>
          <w:p>
            <w:pPr>
              <w:jc w:val="right"/>
              <w:ind w:right="312"/>
              <w:spacing w:after="0" w:line="150"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86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20"/>
              <w:spacing w:after="0" w:line="150"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60"/>
              <w:spacing w:after="0" w:line="150" w:lineRule="exact"/>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3"/>
                <w:szCs w:val="13"/>
                <w:color w:val="auto"/>
              </w:rPr>
            </w:pPr>
          </w:p>
        </w:tc>
        <w:tc>
          <w:tcPr>
            <w:tcW w:w="1160" w:type="dxa"/>
            <w:vAlign w:val="bottom"/>
            <w:gridSpan w:val="2"/>
          </w:tcPr>
          <w:p>
            <w:pPr>
              <w:jc w:val="center"/>
              <w:ind w:right="240"/>
              <w:spacing w:after="0" w:line="150"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0"/>
        </w:trPr>
        <w:tc>
          <w:tcPr>
            <w:tcW w:w="4560" w:type="dxa"/>
            <w:vAlign w:val="bottom"/>
            <w:tcBorders>
              <w:top w:val="single" w:sz="8" w:color="CFF0FC"/>
            </w:tcBorders>
            <w:shd w:val="clear" w:color="auto" w:fill="CFF0FC"/>
          </w:tcPr>
          <w:p>
            <w:pPr>
              <w:spacing w:after="0" w:line="150" w:lineRule="exact"/>
              <w:rPr>
                <w:sz w:val="20"/>
                <w:szCs w:val="20"/>
                <w:color w:val="auto"/>
              </w:rPr>
            </w:pPr>
            <w:r>
              <w:rPr>
                <w:rFonts w:ascii="Arial" w:cs="Arial" w:eastAsia="Arial" w:hAnsi="Arial"/>
                <w:sz w:val="14"/>
                <w:szCs w:val="14"/>
                <w:color w:val="auto"/>
              </w:rPr>
              <w:t>Balance at January 1, 2020</w:t>
            </w:r>
          </w:p>
        </w:tc>
        <w:tc>
          <w:tcPr>
            <w:tcW w:w="11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33,203,806</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12"/>
              <w:spacing w:after="0" w:line="150"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333</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1"/>
              <w:spacing w:after="0" w:line="150"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282,153,201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(263,140,660)</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19,012,874</w:t>
            </w: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line="145" w:lineRule="exact"/>
              <w:rPr>
                <w:sz w:val="20"/>
                <w:szCs w:val="20"/>
                <w:color w:val="auto"/>
              </w:rPr>
            </w:pPr>
            <w:r>
              <w:rPr>
                <w:rFonts w:ascii="Arial" w:cs="Arial" w:eastAsia="Arial" w:hAnsi="Arial"/>
                <w:sz w:val="14"/>
                <w:szCs w:val="14"/>
                <w:color w:val="auto"/>
              </w:rPr>
              <w:t>Stock-based compensation - restricted</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tcPr>
          <w:p>
            <w:pPr>
              <w:ind w:left="100"/>
              <w:spacing w:after="0" w:line="159" w:lineRule="exact"/>
              <w:rPr>
                <w:sz w:val="20"/>
                <w:szCs w:val="20"/>
                <w:color w:val="auto"/>
              </w:rPr>
            </w:pPr>
            <w:r>
              <w:rPr>
                <w:rFonts w:ascii="Arial" w:cs="Arial" w:eastAsia="Arial" w:hAnsi="Arial"/>
                <w:sz w:val="14"/>
                <w:szCs w:val="14"/>
                <w:color w:val="auto"/>
              </w:rPr>
              <w:t>stock units ("RSUs")</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2,321,820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2,321,820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shd w:val="clear" w:color="auto" w:fill="CFF0FC"/>
          </w:tcPr>
          <w:p>
            <w:pPr>
              <w:spacing w:after="0" w:line="145" w:lineRule="exact"/>
              <w:rPr>
                <w:sz w:val="20"/>
                <w:szCs w:val="20"/>
                <w:color w:val="auto"/>
              </w:rPr>
            </w:pPr>
            <w:r>
              <w:rPr>
                <w:rFonts w:ascii="Arial" w:cs="Arial" w:eastAsia="Arial" w:hAnsi="Arial"/>
                <w:sz w:val="14"/>
                <w:szCs w:val="14"/>
                <w:color w:val="auto"/>
              </w:rPr>
              <w:t>Stock-based compensation - performance</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share units ("PSUs")</w:t>
            </w:r>
          </w:p>
        </w:tc>
        <w:tc>
          <w:tcPr>
            <w:tcW w:w="1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(88,348)</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(88,348)</w:t>
            </w:r>
          </w:p>
        </w:tc>
        <w:tc>
          <w:tcPr>
            <w:tcW w:w="0" w:type="dxa"/>
            <w:vAlign w:val="bottom"/>
          </w:tcPr>
          <w:p>
            <w:pPr>
              <w:spacing w:after="0"/>
              <w:rPr>
                <w:sz w:val="1"/>
                <w:szCs w:val="1"/>
                <w:color w:val="auto"/>
              </w:rPr>
            </w:pPr>
          </w:p>
        </w:tc>
      </w:tr>
      <w:tr>
        <w:trPr>
          <w:trHeight w:val="144"/>
        </w:trPr>
        <w:tc>
          <w:tcPr>
            <w:tcW w:w="4560" w:type="dxa"/>
            <w:vAlign w:val="bottom"/>
          </w:tcPr>
          <w:p>
            <w:pPr>
              <w:spacing w:after="0" w:line="145" w:lineRule="exact"/>
              <w:rPr>
                <w:sz w:val="20"/>
                <w:szCs w:val="20"/>
                <w:color w:val="auto"/>
              </w:rPr>
            </w:pPr>
            <w:r>
              <w:rPr>
                <w:rFonts w:ascii="Arial" w:cs="Arial" w:eastAsia="Arial" w:hAnsi="Arial"/>
                <w:sz w:val="14"/>
                <w:szCs w:val="14"/>
                <w:color w:val="auto"/>
              </w:rPr>
              <w:t>Stock-based compensation - employee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tcPr>
          <w:p>
            <w:pPr>
              <w:ind w:left="100"/>
              <w:spacing w:after="0" w:line="159" w:lineRule="exact"/>
              <w:rPr>
                <w:sz w:val="20"/>
                <w:szCs w:val="20"/>
                <w:color w:val="auto"/>
              </w:rPr>
            </w:pPr>
            <w:r>
              <w:rPr>
                <w:rFonts w:ascii="Arial" w:cs="Arial" w:eastAsia="Arial" w:hAnsi="Arial"/>
                <w:sz w:val="14"/>
                <w:szCs w:val="14"/>
                <w:color w:val="auto"/>
              </w:rPr>
              <w:t>stock purchase plan ("ESPP")</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42,827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42,827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Issuance of shares for RSUs</w:t>
            </w: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396,559</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line="157" w:lineRule="exact"/>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60" w:type="dxa"/>
            <w:vAlign w:val="bottom"/>
          </w:tcPr>
          <w:p>
            <w:pPr>
              <w:spacing w:after="0" w:line="157" w:lineRule="exact"/>
              <w:rPr>
                <w:sz w:val="20"/>
                <w:szCs w:val="20"/>
                <w:color w:val="auto"/>
              </w:rPr>
            </w:pPr>
            <w:r>
              <w:rPr>
                <w:rFonts w:ascii="Arial" w:cs="Arial" w:eastAsia="Arial" w:hAnsi="Arial"/>
                <w:sz w:val="14"/>
                <w:szCs w:val="14"/>
                <w:color w:val="auto"/>
              </w:rPr>
              <w:t>Proceeds from contributions to the ESPP</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113,059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113,059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shd w:val="clear" w:color="auto" w:fill="CFF0FC"/>
          </w:tcPr>
          <w:p>
            <w:pPr>
              <w:spacing w:after="0" w:line="145" w:lineRule="exact"/>
              <w:rPr>
                <w:sz w:val="20"/>
                <w:szCs w:val="20"/>
                <w:color w:val="auto"/>
              </w:rPr>
            </w:pPr>
            <w:r>
              <w:rPr>
                <w:rFonts w:ascii="Arial" w:cs="Arial" w:eastAsia="Arial" w:hAnsi="Arial"/>
                <w:sz w:val="14"/>
                <w:szCs w:val="14"/>
                <w:color w:val="auto"/>
              </w:rPr>
              <w:t>Issuance of shares in an at-the-market ("ATM")</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offering, net of $141,322 in issuance costs</w:t>
            </w:r>
          </w:p>
        </w:tc>
        <w:tc>
          <w:tcPr>
            <w:tcW w:w="1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4,351,652</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5,506,836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5,506,880</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6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(8,597,736)</w:t>
            </w:r>
          </w:p>
        </w:tc>
        <w:tc>
          <w:tcPr>
            <w:tcW w:w="100" w:type="dxa"/>
            <w:vAlign w:val="bottom"/>
          </w:tcPr>
          <w:p>
            <w:pPr>
              <w:spacing w:after="0"/>
              <w:rPr>
                <w:sz w:val="13"/>
                <w:szCs w:val="13"/>
                <w:color w:val="auto"/>
              </w:rPr>
            </w:pPr>
          </w:p>
        </w:tc>
        <w:tc>
          <w:tcPr>
            <w:tcW w:w="11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(8,597,736)</w:t>
            </w:r>
          </w:p>
        </w:tc>
        <w:tc>
          <w:tcPr>
            <w:tcW w:w="0" w:type="dxa"/>
            <w:vAlign w:val="bottom"/>
          </w:tcPr>
          <w:p>
            <w:pPr>
              <w:spacing w:after="0"/>
              <w:rPr>
                <w:sz w:val="1"/>
                <w:szCs w:val="1"/>
                <w:color w:val="auto"/>
              </w:rPr>
            </w:pPr>
          </w:p>
        </w:tc>
      </w:tr>
      <w:tr>
        <w:trPr>
          <w:trHeight w:val="150"/>
        </w:trPr>
        <w:tc>
          <w:tcPr>
            <w:tcW w:w="4560" w:type="dxa"/>
            <w:vAlign w:val="bottom"/>
            <w:tcBorders>
              <w:top w:val="single" w:sz="8" w:color="CFF0FC"/>
            </w:tcBorders>
            <w:shd w:val="clear" w:color="auto" w:fill="CFF0FC"/>
          </w:tcPr>
          <w:p>
            <w:pPr>
              <w:spacing w:after="0" w:line="150" w:lineRule="exact"/>
              <w:rPr>
                <w:sz w:val="20"/>
                <w:szCs w:val="20"/>
                <w:color w:val="auto"/>
              </w:rPr>
            </w:pPr>
            <w:r>
              <w:rPr>
                <w:rFonts w:ascii="Arial" w:cs="Arial" w:eastAsia="Arial" w:hAnsi="Arial"/>
                <w:sz w:val="14"/>
                <w:szCs w:val="14"/>
                <w:color w:val="auto"/>
              </w:rPr>
              <w:t>Balance, March 31, 2020 (unaudited)</w:t>
            </w:r>
          </w:p>
        </w:tc>
        <w:tc>
          <w:tcPr>
            <w:tcW w:w="11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37,952,017</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12"/>
              <w:spacing w:after="0" w:line="150"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381</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1"/>
              <w:spacing w:after="0" w:line="150"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290,049,391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(271,738,396)</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line="150" w:lineRule="exact"/>
              <w:rPr>
                <w:sz w:val="20"/>
                <w:szCs w:val="20"/>
                <w:color w:val="auto"/>
              </w:rPr>
            </w:pPr>
            <w:r>
              <w:rPr>
                <w:rFonts w:ascii="Arial" w:cs="Arial" w:eastAsia="Arial" w:hAnsi="Arial"/>
                <w:sz w:val="14"/>
                <w:szCs w:val="14"/>
                <w:color w:val="auto"/>
              </w:rPr>
              <w:t>18,311,376</w:t>
            </w: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line="145" w:lineRule="exact"/>
              <w:rPr>
                <w:sz w:val="20"/>
                <w:szCs w:val="20"/>
                <w:color w:val="auto"/>
              </w:rPr>
            </w:pPr>
            <w:r>
              <w:rPr>
                <w:rFonts w:ascii="Arial" w:cs="Arial" w:eastAsia="Arial" w:hAnsi="Arial"/>
                <w:sz w:val="14"/>
                <w:szCs w:val="14"/>
                <w:color w:val="auto"/>
              </w:rPr>
              <w:t>Stock-based compensation - restricted</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tcPr>
          <w:p>
            <w:pPr>
              <w:ind w:left="100"/>
              <w:spacing w:after="0" w:line="159" w:lineRule="exact"/>
              <w:rPr>
                <w:sz w:val="20"/>
                <w:szCs w:val="20"/>
                <w:color w:val="auto"/>
              </w:rPr>
            </w:pPr>
            <w:r>
              <w:rPr>
                <w:rFonts w:ascii="Arial" w:cs="Arial" w:eastAsia="Arial" w:hAnsi="Arial"/>
                <w:sz w:val="14"/>
                <w:szCs w:val="14"/>
                <w:color w:val="auto"/>
              </w:rPr>
              <w:t>stock units ("RSUs")</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2,028,599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2,028,599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shd w:val="clear" w:color="auto" w:fill="CFF0FC"/>
          </w:tcPr>
          <w:p>
            <w:pPr>
              <w:spacing w:after="0" w:line="145" w:lineRule="exact"/>
              <w:rPr>
                <w:sz w:val="20"/>
                <w:szCs w:val="20"/>
                <w:color w:val="auto"/>
              </w:rPr>
            </w:pPr>
            <w:r>
              <w:rPr>
                <w:rFonts w:ascii="Arial" w:cs="Arial" w:eastAsia="Arial" w:hAnsi="Arial"/>
                <w:sz w:val="14"/>
                <w:szCs w:val="14"/>
                <w:color w:val="auto"/>
              </w:rPr>
              <w:t>Stock-based compensation - employee</w:t>
            </w: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stock purchase plan ("ESPP")</w:t>
            </w:r>
          </w:p>
        </w:tc>
        <w:tc>
          <w:tcPr>
            <w:tcW w:w="11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41,308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41,308</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60" w:type="dxa"/>
            <w:vAlign w:val="bottom"/>
          </w:tcPr>
          <w:p>
            <w:pPr>
              <w:spacing w:after="0" w:line="157" w:lineRule="exact"/>
              <w:rPr>
                <w:sz w:val="20"/>
                <w:szCs w:val="20"/>
                <w:color w:val="auto"/>
              </w:rPr>
            </w:pPr>
            <w:r>
              <w:rPr>
                <w:rFonts w:ascii="Arial" w:cs="Arial" w:eastAsia="Arial" w:hAnsi="Arial"/>
                <w:sz w:val="14"/>
                <w:szCs w:val="14"/>
                <w:color w:val="auto"/>
              </w:rPr>
              <w:t>Issuance of shares for RSUs</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232,995</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7"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Proceeds from contributions to the ESPP</w:t>
            </w: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144,370</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104,144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104,145</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60" w:type="dxa"/>
            <w:vAlign w:val="bottom"/>
          </w:tcPr>
          <w:p>
            <w:pPr>
              <w:spacing w:after="0" w:line="145" w:lineRule="exact"/>
              <w:rPr>
                <w:sz w:val="20"/>
                <w:szCs w:val="20"/>
                <w:color w:val="auto"/>
              </w:rPr>
            </w:pPr>
            <w:r>
              <w:rPr>
                <w:rFonts w:ascii="Arial" w:cs="Arial" w:eastAsia="Arial" w:hAnsi="Arial"/>
                <w:sz w:val="14"/>
                <w:szCs w:val="14"/>
                <w:color w:val="auto"/>
              </w:rPr>
              <w:t>Issuance of shares in an at-the-market ("ATM")</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60" w:type="dxa"/>
            <w:vAlign w:val="bottom"/>
          </w:tcPr>
          <w:p>
            <w:pPr>
              <w:ind w:left="100"/>
              <w:spacing w:after="0" w:line="159" w:lineRule="exact"/>
              <w:rPr>
                <w:sz w:val="20"/>
                <w:szCs w:val="20"/>
                <w:color w:val="auto"/>
              </w:rPr>
            </w:pPr>
            <w:r>
              <w:rPr>
                <w:rFonts w:ascii="Arial" w:cs="Arial" w:eastAsia="Arial" w:hAnsi="Arial"/>
                <w:sz w:val="14"/>
                <w:szCs w:val="14"/>
                <w:color w:val="auto"/>
              </w:rPr>
              <w:t>offering, net of $236,528 in issuance costs</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3,355,928</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9,216,578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9,216,611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6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Net loss</w:t>
            </w: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(8,204,666)</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(8,204,666)</w:t>
            </w:r>
          </w:p>
        </w:tc>
        <w:tc>
          <w:tcPr>
            <w:tcW w:w="0" w:type="dxa"/>
            <w:vAlign w:val="bottom"/>
          </w:tcPr>
          <w:p>
            <w:pPr>
              <w:spacing w:after="0"/>
              <w:rPr>
                <w:sz w:val="1"/>
                <w:szCs w:val="1"/>
                <w:color w:val="auto"/>
              </w:rPr>
            </w:pPr>
          </w:p>
        </w:tc>
      </w:tr>
      <w:tr>
        <w:trPr>
          <w:trHeight w:val="150"/>
        </w:trPr>
        <w:tc>
          <w:tcPr>
            <w:tcW w:w="4560" w:type="dxa"/>
            <w:vAlign w:val="bottom"/>
          </w:tcPr>
          <w:p>
            <w:pPr>
              <w:spacing w:after="0" w:line="150" w:lineRule="exact"/>
              <w:rPr>
                <w:sz w:val="20"/>
                <w:szCs w:val="20"/>
                <w:color w:val="auto"/>
              </w:rPr>
            </w:pPr>
            <w:r>
              <w:rPr>
                <w:rFonts w:ascii="Arial" w:cs="Arial" w:eastAsia="Arial" w:hAnsi="Arial"/>
                <w:sz w:val="14"/>
                <w:szCs w:val="14"/>
                <w:color w:val="auto"/>
              </w:rPr>
              <w:t>Balance, June 30, 2020 (unaudited)</w:t>
            </w:r>
          </w:p>
        </w:tc>
        <w:tc>
          <w:tcPr>
            <w:tcW w:w="11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41,685,310</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12"/>
              <w:spacing w:after="0" w:line="150"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417</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0"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301,440,018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(279,943,062)</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21,497,373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Energous Corporation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5"/>
          </w:tcPr>
          <w:p>
            <w:pPr>
              <w:jc w:val="right"/>
              <w:ind w:right="840"/>
              <w:spacing w:after="0"/>
              <w:rPr>
                <w:sz w:val="20"/>
                <w:szCs w:val="20"/>
                <w:color w:val="auto"/>
              </w:rPr>
            </w:pPr>
            <w:r>
              <w:rPr>
                <w:rFonts w:ascii="Arial" w:cs="Arial" w:eastAsia="Arial" w:hAnsi="Arial"/>
                <w:sz w:val="13"/>
                <w:szCs w:val="13"/>
                <w:b w:val="1"/>
                <w:bCs w:val="1"/>
                <w:color w:val="auto"/>
              </w:rPr>
              <w:t>For the Six Months Ended June 30,</w:t>
            </w:r>
          </w:p>
        </w:tc>
      </w:tr>
      <w:tr>
        <w:trPr>
          <w:trHeight w:val="137"/>
        </w:trPr>
        <w:tc>
          <w:tcPr>
            <w:tcW w:w="5980" w:type="dxa"/>
            <w:vAlign w:val="bottom"/>
            <w:tcBorders>
              <w:bottom w:val="single" w:sz="8" w:color="CFF0FC"/>
            </w:tcBorders>
          </w:tcPr>
          <w:p>
            <w:pPr>
              <w:spacing w:after="0"/>
              <w:rPr>
                <w:sz w:val="11"/>
                <w:szCs w:val="11"/>
                <w:color w:val="auto"/>
              </w:rPr>
            </w:pPr>
          </w:p>
        </w:tc>
        <w:tc>
          <w:tcPr>
            <w:tcW w:w="1780" w:type="dxa"/>
            <w:vAlign w:val="bottom"/>
            <w:tcBorders>
              <w:bottom w:val="single" w:sz="8" w:color="CFF0FC"/>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81"/>
              <w:spacing w:after="0" w:line="138"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top w:val="single" w:sz="8" w:color="auto"/>
              <w:bottom w:val="single" w:sz="8" w:color="CFF0FC"/>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580"/>
              <w:spacing w:after="0" w:line="138"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1"/>
                <w:szCs w:val="11"/>
                <w:color w:val="auto"/>
              </w:rPr>
            </w:pPr>
          </w:p>
        </w:tc>
      </w:tr>
      <w:tr>
        <w:trPr>
          <w:trHeight w:val="198"/>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5980" w:type="dxa"/>
            <w:vAlign w:val="bottom"/>
          </w:tcPr>
          <w:p>
            <w:pPr>
              <w:spacing w:after="0"/>
              <w:rPr>
                <w:sz w:val="20"/>
                <w:szCs w:val="20"/>
                <w:color w:val="auto"/>
              </w:rPr>
            </w:pPr>
            <w:r>
              <w:rPr>
                <w:rFonts w:ascii="Arial" w:cs="Arial" w:eastAsia="Arial" w:hAnsi="Arial"/>
                <w:sz w:val="16"/>
                <w:szCs w:val="16"/>
                <w:color w:val="auto"/>
              </w:rPr>
              <w:t>Net loss</w:t>
            </w:r>
          </w:p>
        </w:tc>
        <w:tc>
          <w:tcPr>
            <w:tcW w:w="214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(19,541,592)</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(16,802,402)</w:t>
            </w:r>
          </w:p>
        </w:tc>
      </w:tr>
      <w:tr>
        <w:trPr>
          <w:trHeight w:val="206"/>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5980" w:type="dxa"/>
            <w:vAlign w:val="bottom"/>
          </w:tcPr>
          <w:p>
            <w:pPr>
              <w:ind w:left="440"/>
              <w:spacing w:after="0"/>
              <w:rPr>
                <w:sz w:val="20"/>
                <w:szCs w:val="20"/>
                <w:color w:val="auto"/>
              </w:rPr>
            </w:pPr>
            <w:r>
              <w:rPr>
                <w:rFonts w:ascii="Arial" w:cs="Arial" w:eastAsia="Arial" w:hAnsi="Arial"/>
                <w:sz w:val="16"/>
                <w:szCs w:val="16"/>
                <w:color w:val="auto"/>
              </w:rPr>
              <w:t>Net cash used in operating activities:</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5980" w:type="dxa"/>
            <w:vAlign w:val="bottom"/>
            <w:shd w:val="clear" w:color="auto" w:fill="CFF0FC"/>
          </w:tcPr>
          <w:p>
            <w:pPr>
              <w:ind w:left="660"/>
              <w:spacing w:after="0"/>
              <w:rPr>
                <w:sz w:val="20"/>
                <w:szCs w:val="20"/>
                <w:color w:val="auto"/>
              </w:rPr>
            </w:pPr>
            <w:r>
              <w:rPr>
                <w:rFonts w:ascii="Arial" w:cs="Arial" w:eastAsia="Arial" w:hAnsi="Arial"/>
                <w:sz w:val="16"/>
                <w:szCs w:val="16"/>
                <w:color w:val="auto"/>
              </w:rPr>
              <w:t>Depreciation and amortization</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126,385</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217,629</w:t>
            </w:r>
          </w:p>
        </w:tc>
        <w:tc>
          <w:tcPr>
            <w:tcW w:w="120" w:type="dxa"/>
            <w:vAlign w:val="bottom"/>
            <w:shd w:val="clear" w:color="auto" w:fill="CFF0FC"/>
          </w:tcPr>
          <w:p>
            <w:pPr>
              <w:spacing w:after="0"/>
              <w:rPr>
                <w:sz w:val="17"/>
                <w:szCs w:val="17"/>
                <w:color w:val="auto"/>
              </w:rPr>
            </w:pPr>
          </w:p>
        </w:tc>
      </w:tr>
      <w:tr>
        <w:trPr>
          <w:trHeight w:val="206"/>
        </w:trPr>
        <w:tc>
          <w:tcPr>
            <w:tcW w:w="5980" w:type="dxa"/>
            <w:vAlign w:val="bottom"/>
          </w:tcPr>
          <w:p>
            <w:pPr>
              <w:ind w:left="660"/>
              <w:spacing w:after="0"/>
              <w:rPr>
                <w:sz w:val="20"/>
                <w:szCs w:val="20"/>
                <w:color w:val="auto"/>
              </w:rPr>
            </w:pPr>
            <w:r>
              <w:rPr>
                <w:rFonts w:ascii="Arial" w:cs="Arial" w:eastAsia="Arial" w:hAnsi="Arial"/>
                <w:sz w:val="16"/>
                <w:szCs w:val="16"/>
                <w:color w:val="auto"/>
              </w:rPr>
              <w:t>Stock based compensation</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6,374,550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4,346,206</w:t>
            </w:r>
          </w:p>
        </w:tc>
        <w:tc>
          <w:tcPr>
            <w:tcW w:w="120" w:type="dxa"/>
            <w:vAlign w:val="bottom"/>
          </w:tcPr>
          <w:p>
            <w:pPr>
              <w:spacing w:after="0"/>
              <w:rPr>
                <w:sz w:val="17"/>
                <w:szCs w:val="17"/>
                <w:color w:val="auto"/>
              </w:rPr>
            </w:pPr>
          </w:p>
        </w:tc>
      </w:tr>
      <w:tr>
        <w:trPr>
          <w:trHeight w:val="206"/>
        </w:trPr>
        <w:tc>
          <w:tcPr>
            <w:tcW w:w="5980" w:type="dxa"/>
            <w:vAlign w:val="bottom"/>
            <w:shd w:val="clear" w:color="auto" w:fill="CFF0FC"/>
          </w:tcPr>
          <w:p>
            <w:pPr>
              <w:ind w:left="660"/>
              <w:spacing w:after="0"/>
              <w:rPr>
                <w:sz w:val="20"/>
                <w:szCs w:val="20"/>
                <w:color w:val="auto"/>
              </w:rPr>
            </w:pPr>
            <w:r>
              <w:rPr>
                <w:rFonts w:ascii="Arial" w:cs="Arial" w:eastAsia="Arial" w:hAnsi="Arial"/>
                <w:sz w:val="16"/>
                <w:szCs w:val="16"/>
                <w:color w:val="auto"/>
              </w:rPr>
              <w:t>Changes in operating lease right-of-use assets</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393,936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378,593</w:t>
            </w:r>
          </w:p>
        </w:tc>
        <w:tc>
          <w:tcPr>
            <w:tcW w:w="120" w:type="dxa"/>
            <w:vAlign w:val="bottom"/>
            <w:shd w:val="clear" w:color="auto" w:fill="CFF0FC"/>
          </w:tcPr>
          <w:p>
            <w:pPr>
              <w:spacing w:after="0"/>
              <w:rPr>
                <w:sz w:val="17"/>
                <w:szCs w:val="17"/>
                <w:color w:val="auto"/>
              </w:rPr>
            </w:pPr>
          </w:p>
        </w:tc>
      </w:tr>
      <w:tr>
        <w:trPr>
          <w:trHeight w:val="206"/>
        </w:trPr>
        <w:tc>
          <w:tcPr>
            <w:tcW w:w="5980" w:type="dxa"/>
            <w:vAlign w:val="bottom"/>
          </w:tcPr>
          <w:p>
            <w:pPr>
              <w:ind w:left="660"/>
              <w:spacing w:after="0"/>
              <w:rPr>
                <w:sz w:val="20"/>
                <w:szCs w:val="20"/>
                <w:color w:val="auto"/>
              </w:rPr>
            </w:pPr>
            <w:r>
              <w:rPr>
                <w:rFonts w:ascii="Arial" w:cs="Arial" w:eastAsia="Arial" w:hAnsi="Arial"/>
                <w:sz w:val="16"/>
                <w:szCs w:val="16"/>
                <w:color w:val="auto"/>
              </w:rPr>
              <w:t>Bad debt expense</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33,000</w:t>
            </w:r>
          </w:p>
        </w:tc>
        <w:tc>
          <w:tcPr>
            <w:tcW w:w="120" w:type="dxa"/>
            <w:vAlign w:val="bottom"/>
          </w:tcPr>
          <w:p>
            <w:pPr>
              <w:spacing w:after="0"/>
              <w:rPr>
                <w:sz w:val="17"/>
                <w:szCs w:val="17"/>
                <w:color w:val="auto"/>
              </w:rPr>
            </w:pPr>
          </w:p>
        </w:tc>
      </w:tr>
      <w:tr>
        <w:trPr>
          <w:trHeight w:val="206"/>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598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(46,120)</w:t>
            </w: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(75,082)</w:t>
            </w:r>
          </w:p>
        </w:tc>
      </w:tr>
      <w:tr>
        <w:trPr>
          <w:trHeight w:val="206"/>
        </w:trPr>
        <w:tc>
          <w:tcPr>
            <w:tcW w:w="5980" w:type="dxa"/>
            <w:vAlign w:val="bottom"/>
            <w:shd w:val="clear" w:color="auto" w:fill="CFF0FC"/>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(10,769)</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(212,727)</w:t>
            </w:r>
          </w:p>
        </w:tc>
      </w:tr>
      <w:tr>
        <w:trPr>
          <w:trHeight w:val="206"/>
        </w:trPr>
        <w:tc>
          <w:tcPr>
            <w:tcW w:w="598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555,702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(330,537)</w:t>
            </w:r>
          </w:p>
        </w:tc>
      </w:tr>
      <w:tr>
        <w:trPr>
          <w:trHeight w:val="206"/>
        </w:trPr>
        <w:tc>
          <w:tcPr>
            <w:tcW w:w="5980" w:type="dxa"/>
            <w:vAlign w:val="bottom"/>
            <w:shd w:val="clear" w:color="auto" w:fill="CFF0FC"/>
          </w:tcPr>
          <w:p>
            <w:pPr>
              <w:ind w:left="660"/>
              <w:spacing w:after="0"/>
              <w:rPr>
                <w:sz w:val="20"/>
                <w:szCs w:val="20"/>
                <w:color w:val="auto"/>
              </w:rPr>
            </w:pPr>
            <w:r>
              <w:rPr>
                <w:rFonts w:ascii="Arial" w:cs="Arial" w:eastAsia="Arial" w:hAnsi="Arial"/>
                <w:sz w:val="16"/>
                <w:szCs w:val="16"/>
                <w:color w:val="auto"/>
              </w:rPr>
              <w:t>Accrued expenses</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31,251</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(429,460)</w:t>
            </w:r>
          </w:p>
        </w:tc>
      </w:tr>
      <w:tr>
        <w:trPr>
          <w:trHeight w:val="206"/>
        </w:trPr>
        <w:tc>
          <w:tcPr>
            <w:tcW w:w="5980" w:type="dxa"/>
            <w:vAlign w:val="bottom"/>
          </w:tcPr>
          <w:p>
            <w:pPr>
              <w:ind w:left="660"/>
              <w:spacing w:after="0"/>
              <w:rPr>
                <w:sz w:val="20"/>
                <w:szCs w:val="20"/>
                <w:color w:val="auto"/>
              </w:rPr>
            </w:pPr>
            <w:r>
              <w:rPr>
                <w:rFonts w:ascii="Arial" w:cs="Arial" w:eastAsia="Arial" w:hAnsi="Arial"/>
                <w:sz w:val="16"/>
                <w:szCs w:val="16"/>
                <w:color w:val="auto"/>
              </w:rPr>
              <w:t>Operating lease liabilities</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(422,533)</w:t>
            </w: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(341,064)</w:t>
            </w:r>
          </w:p>
        </w:tc>
      </w:tr>
      <w:tr>
        <w:trPr>
          <w:trHeight w:val="206"/>
        </w:trPr>
        <w:tc>
          <w:tcPr>
            <w:tcW w:w="5980" w:type="dxa"/>
            <w:vAlign w:val="bottom"/>
            <w:shd w:val="clear" w:color="auto" w:fill="CFF0FC"/>
          </w:tcPr>
          <w:p>
            <w:pPr>
              <w:ind w:left="660"/>
              <w:spacing w:after="0"/>
              <w:rPr>
                <w:sz w:val="20"/>
                <w:szCs w:val="20"/>
                <w:color w:val="auto"/>
              </w:rPr>
            </w:pPr>
            <w:r>
              <w:rPr>
                <w:rFonts w:ascii="Arial" w:cs="Arial" w:eastAsia="Arial" w:hAnsi="Arial"/>
                <w:sz w:val="16"/>
                <w:szCs w:val="16"/>
                <w:color w:val="auto"/>
              </w:rPr>
              <w:t>Deferred revenue</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98"/>
        </w:trPr>
        <w:tc>
          <w:tcPr>
            <w:tcW w:w="598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Net cash used in operating activities</w:t>
            </w:r>
          </w:p>
        </w:tc>
        <w:tc>
          <w:tcPr>
            <w:tcW w:w="178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(12,537,690)</w:t>
            </w:r>
          </w:p>
        </w:tc>
        <w:tc>
          <w:tcPr>
            <w:tcW w:w="28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(13,215,844)</w:t>
            </w:r>
          </w:p>
        </w:tc>
        <w:tc>
          <w:tcPr>
            <w:tcW w:w="120" w:type="dxa"/>
            <w:vAlign w:val="bottom"/>
            <w:tcBorders>
              <w:bottom w:val="single" w:sz="8" w:color="CFF0FC"/>
            </w:tcBorders>
          </w:tcPr>
          <w:p>
            <w:pPr>
              <w:spacing w:after="0"/>
              <w:rPr>
                <w:sz w:val="17"/>
                <w:szCs w:val="17"/>
                <w:color w:val="auto"/>
              </w:rPr>
            </w:pPr>
          </w:p>
        </w:tc>
      </w:tr>
      <w:tr>
        <w:trPr>
          <w:trHeight w:val="198"/>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6"/>
        </w:trPr>
        <w:tc>
          <w:tcPr>
            <w:tcW w:w="598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(203,004)</w:t>
            </w:r>
          </w:p>
        </w:tc>
        <w:tc>
          <w:tcPr>
            <w:tcW w:w="36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8"/>
        </w:trPr>
        <w:tc>
          <w:tcPr>
            <w:tcW w:w="598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Net cash used in investing activities</w:t>
            </w:r>
          </w:p>
        </w:tc>
        <w:tc>
          <w:tcPr>
            <w:tcW w:w="17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(203,004)</w:t>
            </w: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r>
      <w:tr>
        <w:trPr>
          <w:trHeight w:val="198"/>
        </w:trPr>
        <w:tc>
          <w:tcPr>
            <w:tcW w:w="59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5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proceeds from the sales of common stock</w:t>
            </w:r>
          </w:p>
        </w:tc>
        <w:tc>
          <w:tcPr>
            <w:tcW w:w="1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14,723,491</w:t>
            </w:r>
          </w:p>
        </w:tc>
        <w:tc>
          <w:tcPr>
            <w:tcW w:w="120" w:type="dxa"/>
            <w:vAlign w:val="bottom"/>
            <w:shd w:val="clear" w:color="auto" w:fill="CFF0FC"/>
          </w:tcPr>
          <w:p>
            <w:pPr>
              <w:spacing w:after="0"/>
              <w:rPr>
                <w:sz w:val="17"/>
                <w:szCs w:val="17"/>
                <w:color w:val="auto"/>
              </w:rPr>
            </w:pPr>
          </w:p>
        </w:tc>
      </w:tr>
      <w:tr>
        <w:trPr>
          <w:trHeight w:val="206"/>
        </w:trPr>
        <w:tc>
          <w:tcPr>
            <w:tcW w:w="598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Proceeds from contributions to employee stock purchase plan</w:t>
            </w:r>
          </w:p>
        </w:tc>
        <w:tc>
          <w:tcPr>
            <w:tcW w:w="17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237,247</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217,204</w:t>
            </w:r>
          </w:p>
        </w:tc>
        <w:tc>
          <w:tcPr>
            <w:tcW w:w="120" w:type="dxa"/>
            <w:vAlign w:val="bottom"/>
            <w:tcBorders>
              <w:bottom w:val="single" w:sz="8" w:color="CFF0FC"/>
            </w:tcBorders>
          </w:tcPr>
          <w:p>
            <w:pPr>
              <w:spacing w:after="0"/>
              <w:rPr>
                <w:sz w:val="17"/>
                <w:szCs w:val="17"/>
                <w:color w:val="auto"/>
              </w:rPr>
            </w:pPr>
          </w:p>
        </w:tc>
      </w:tr>
      <w:tr>
        <w:trPr>
          <w:trHeight w:val="198"/>
        </w:trPr>
        <w:tc>
          <w:tcPr>
            <w:tcW w:w="59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Net cash provided by financing activities</w:t>
            </w:r>
          </w:p>
        </w:tc>
        <w:tc>
          <w:tcPr>
            <w:tcW w:w="17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237,247</w:t>
            </w:r>
          </w:p>
        </w:tc>
        <w:tc>
          <w:tcPr>
            <w:tcW w:w="2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14,940,695</w:t>
            </w:r>
          </w:p>
        </w:tc>
        <w:tc>
          <w:tcPr>
            <w:tcW w:w="120" w:type="dxa"/>
            <w:vAlign w:val="bottom"/>
            <w:shd w:val="clear" w:color="auto" w:fill="CFF0FC"/>
          </w:tcPr>
          <w:p>
            <w:pPr>
              <w:spacing w:after="0"/>
              <w:rPr>
                <w:sz w:val="17"/>
                <w:szCs w:val="17"/>
                <w:color w:val="auto"/>
              </w:rPr>
            </w:pPr>
          </w:p>
        </w:tc>
      </w:tr>
      <w:tr>
        <w:trPr>
          <w:trHeight w:val="198"/>
        </w:trPr>
        <w:tc>
          <w:tcPr>
            <w:tcW w:w="598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(12,503,447)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1,724,851</w:t>
            </w:r>
          </w:p>
        </w:tc>
        <w:tc>
          <w:tcPr>
            <w:tcW w:w="120" w:type="dxa"/>
            <w:vAlign w:val="bottom"/>
          </w:tcPr>
          <w:p>
            <w:pPr>
              <w:spacing w:after="0"/>
              <w:rPr>
                <w:sz w:val="17"/>
                <w:szCs w:val="17"/>
                <w:color w:val="auto"/>
              </w:rPr>
            </w:pPr>
          </w:p>
        </w:tc>
      </w:tr>
      <w:tr>
        <w:trPr>
          <w:trHeight w:val="206"/>
        </w:trPr>
        <w:tc>
          <w:tcPr>
            <w:tcW w:w="5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 - beginning</w:t>
            </w:r>
          </w:p>
        </w:tc>
        <w:tc>
          <w:tcPr>
            <w:tcW w:w="17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50,729,661</w:t>
            </w:r>
          </w:p>
        </w:tc>
        <w:tc>
          <w:tcPr>
            <w:tcW w:w="2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21,684,089</w:t>
            </w:r>
          </w:p>
        </w:tc>
        <w:tc>
          <w:tcPr>
            <w:tcW w:w="120" w:type="dxa"/>
            <w:vAlign w:val="bottom"/>
            <w:shd w:val="clear" w:color="auto" w:fill="CFF0FC"/>
          </w:tcPr>
          <w:p>
            <w:pPr>
              <w:spacing w:after="0"/>
              <w:rPr>
                <w:sz w:val="17"/>
                <w:szCs w:val="17"/>
                <w:color w:val="auto"/>
              </w:rPr>
            </w:pPr>
          </w:p>
        </w:tc>
      </w:tr>
      <w:tr>
        <w:trPr>
          <w:trHeight w:val="238"/>
        </w:trPr>
        <w:tc>
          <w:tcPr>
            <w:tcW w:w="598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Cash and cash equivalents - ending</w:t>
            </w:r>
          </w:p>
        </w:tc>
        <w:tc>
          <w:tcPr>
            <w:tcW w:w="17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38,226,214</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23,408,940</w:t>
            </w:r>
          </w:p>
        </w:tc>
        <w:tc>
          <w:tcPr>
            <w:tcW w:w="120" w:type="dxa"/>
            <w:vAlign w:val="bottom"/>
            <w:tcBorders>
              <w:bottom w:val="single" w:sz="8" w:color="CFF0FC"/>
            </w:tcBorders>
          </w:tcPr>
          <w:p>
            <w:pPr>
              <w:spacing w:after="0"/>
              <w:rPr>
                <w:sz w:val="20"/>
                <w:szCs w:val="20"/>
                <w:color w:val="auto"/>
              </w:rPr>
            </w:pPr>
          </w:p>
        </w:tc>
      </w:tr>
      <w:tr>
        <w:trPr>
          <w:trHeight w:val="182"/>
        </w:trPr>
        <w:tc>
          <w:tcPr>
            <w:tcW w:w="5980" w:type="dxa"/>
            <w:vAlign w:val="bottom"/>
            <w:shd w:val="clear" w:color="auto" w:fill="CFF0FC"/>
          </w:tcPr>
          <w:p>
            <w:pPr>
              <w:spacing w:after="0" w:line="182" w:lineRule="exact"/>
              <w:rPr>
                <w:sz w:val="20"/>
                <w:szCs w:val="20"/>
                <w:color w:val="auto"/>
              </w:rPr>
            </w:pPr>
            <w:r>
              <w:rPr>
                <w:rFonts w:ascii="Arial" w:cs="Arial" w:eastAsia="Arial" w:hAnsi="Arial"/>
                <w:sz w:val="16"/>
                <w:szCs w:val="16"/>
                <w:color w:val="auto"/>
              </w:rPr>
              <w:t>Supplemental disclosure of non-cash financing activities:</w:t>
            </w:r>
          </w:p>
        </w:tc>
        <w:tc>
          <w:tcPr>
            <w:tcW w:w="1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46"/>
        </w:trPr>
        <w:tc>
          <w:tcPr>
            <w:tcW w:w="5980" w:type="dxa"/>
            <w:vAlign w:val="bottom"/>
          </w:tcPr>
          <w:p>
            <w:pPr>
              <w:ind w:left="220"/>
              <w:spacing w:after="0"/>
              <w:rPr>
                <w:sz w:val="20"/>
                <w:szCs w:val="20"/>
                <w:color w:val="auto"/>
              </w:rPr>
            </w:pPr>
            <w:r>
              <w:rPr>
                <w:rFonts w:ascii="Arial" w:cs="Arial" w:eastAsia="Arial" w:hAnsi="Arial"/>
                <w:sz w:val="16"/>
                <w:szCs w:val="16"/>
                <w:color w:val="auto"/>
              </w:rPr>
              <w:t>Common stock issued for RSUs</w:t>
            </w:r>
          </w:p>
        </w:tc>
        <w:tc>
          <w:tcPr>
            <w:tcW w:w="214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1"/>
                <w:szCs w:val="21"/>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r>
      <w:tr>
        <w:trPr>
          <w:trHeight w:val="182"/>
        </w:trPr>
        <w:tc>
          <w:tcPr>
            <w:tcW w:w="5980" w:type="dxa"/>
            <w:vAlign w:val="bottom"/>
            <w:tcBorders>
              <w:top w:val="single" w:sz="8" w:color="CFF0FC"/>
              <w:bottom w:val="single" w:sz="8" w:color="CFF0FC"/>
            </w:tcBorders>
            <w:shd w:val="clear" w:color="auto" w:fill="CFF0FC"/>
          </w:tcPr>
          <w:p>
            <w:pPr>
              <w:ind w:left="220"/>
              <w:spacing w:after="0" w:line="182" w:lineRule="exact"/>
              <w:rPr>
                <w:sz w:val="20"/>
                <w:szCs w:val="20"/>
                <w:color w:val="auto"/>
              </w:rPr>
            </w:pPr>
            <w:r>
              <w:rPr>
                <w:rFonts w:ascii="Arial" w:cs="Arial" w:eastAsia="Arial" w:hAnsi="Arial"/>
                <w:sz w:val="16"/>
                <w:szCs w:val="16"/>
                <w:color w:val="auto"/>
              </w:rPr>
              <w:t>Common stock issued for PSUs</w:t>
            </w:r>
          </w:p>
        </w:tc>
        <w:tc>
          <w:tcPr>
            <w:tcW w:w="178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5</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20"/>
        </w:trPr>
        <w:tc>
          <w:tcPr>
            <w:tcW w:w="5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financial statements.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Note 1 - Business Organization, Nature of Operations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The Company believes its proprietary WattUp technologies are well suited for many applications, including building and home automation, electronic shelf labels, industrial IoT sensors, surface and implanted medical devices, tracking devices, hearables, wearables, consumer electronics, public safety and military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Liquidity and Management Plans</w:t>
      </w:r>
    </w:p>
    <w:p>
      <w:pPr>
        <w:spacing w:after="0" w:line="171"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During the three and six months ended June 30, 2021, the Company recorded revenue of $184,960 and $330,025, respectively, and during the three and six months ended June 30, 2020, the Company recorded $114,375 and $175,850, respectively. During the three and six months ended June 30, 2021, the Company recorded net losses of $11,015,829 and $19,541,592, respectively, and during the three and six months ended June 30, 2020, the Company recorded net losses of $8,204,666 and $16,802,402, respectively. Net cash used in operating activities was $12,537,690 and $13,215,844 for the six months ended June 30, 2021 and 2020, respectively. The Company is currently meeting its liquidity requirements through the proceeds of securities offerings that raised net proceeds of $53,556,202 during 2020, along with payments received from customers.</w:t>
      </w:r>
    </w:p>
    <w:p>
      <w:pPr>
        <w:spacing w:after="0" w:line="13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As of June 30, 2021, the Company had cash on hand of $38,226,214. The Company expects that cash on hand as of June 30, 2021, together with anticipated revenues, will be sufficient to fund the Company’s operations into August 2022.</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the Company would find acceptable, or at all.</w:t>
      </w:r>
    </w:p>
    <w:p>
      <w:pPr>
        <w:spacing w:after="0" w:line="134" w:lineRule="exact"/>
        <w:rPr>
          <w:sz w:val="20"/>
          <w:szCs w:val="20"/>
          <w:color w:val="auto"/>
        </w:rPr>
      </w:pPr>
    </w:p>
    <w:p>
      <w:pPr>
        <w:ind w:right="380"/>
        <w:spacing w:after="0" w:line="355" w:lineRule="auto"/>
        <w:rPr>
          <w:sz w:val="20"/>
          <w:szCs w:val="20"/>
          <w:color w:val="auto"/>
        </w:rPr>
      </w:pPr>
      <w:r>
        <w:rPr>
          <w:rFonts w:ascii="Arial" w:cs="Arial" w:eastAsia="Arial" w:hAnsi="Arial"/>
          <w:sz w:val="14"/>
          <w:szCs w:val="14"/>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competition and global market fluctuations.</w:t>
      </w:r>
    </w:p>
    <w:p>
      <w:pPr>
        <w:spacing w:after="0" w:line="69"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auto"/>
        </w:rPr>
        <w:t>In March 2020, the World Health Organization declared the outbreak of a novel coronavirus (COVID-19) as a pandemic. The pandemic continues to affect the United States and the world. The Company is monitoring the ongoing effects of COVID-19 (including continued outbreaks) and the related business and travel restrictions and changes to behavior intended to reduce its spread, and COVID-19’s impact on the Company’s operations, financial position, cash flows, inventory, supply chains, global regulatory approvals, purchasing trends, customer payments, and the industry in general, in addition to the impact on its employees. Due to the continuing developments and fluidity of this situation, the magnitude and duration of the pandemic and its impact on the Company's operations and liquidity are still uncertain as of the date of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67"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(“SEC”).</w:t>
      </w:r>
    </w:p>
    <w:p>
      <w:pPr>
        <w:spacing w:after="0" w:line="91"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color w:val="auto"/>
        </w:rPr>
        <w:t>These unaudited condensed interim financial statements should be read in conjunction with the audited financial statements and notes thereto for the fiscal year ended December 31, 2020 included in the Company's Annual Report on Form 10-K for the fiscal year ended December 31, 2020, filed with the SEC on March 24, 2021. The accounting policies used in preparing these unaudited condensed interim financial statements are consistent with those described in the Company’s December 31, 2020 audited financial statements</w:t>
      </w:r>
      <w:r>
        <w:rPr>
          <w:rFonts w:ascii="Arial" w:cs="Arial" w:eastAsia="Arial" w:hAnsi="Arial"/>
          <w:sz w:val="16"/>
          <w:szCs w:val="16"/>
          <w:i w:val="1"/>
          <w:iCs w:val="1"/>
          <w:color w:val="auto"/>
        </w:rPr>
        <w: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Note 3 – Summary of Significant Accounting Policies,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67" w:lineRule="exact"/>
        <w:rPr>
          <w:sz w:val="20"/>
          <w:szCs w:val="20"/>
          <w:color w:val="auto"/>
        </w:rPr>
      </w:pPr>
    </w:p>
    <w:p>
      <w:pPr>
        <w:ind w:right="60"/>
        <w:spacing w:after="0" w:line="316"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0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Company’s significant estimates and assumptions include the valuation of stock-based compensation instruments, recognition of revenue, the useful lives of long-lived assets, and income tax expense.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67"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2018, the Company adopted Accounting Standards Update No. 2014-09, "Revenue from Contracts with Customers" (Topic 606).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Topic 606, the Company recognizes revenue using the following five-step approach:</w:t>
      </w:r>
    </w:p>
    <w:p>
      <w:pPr>
        <w:spacing w:after="0" w:line="119" w:lineRule="exact"/>
        <w:rPr>
          <w:sz w:val="20"/>
          <w:szCs w:val="20"/>
          <w:color w:val="auto"/>
        </w:rPr>
      </w:pPr>
    </w:p>
    <w:p>
      <w:pPr>
        <w:ind w:left="860" w:hanging="42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Identify the contract with a customer.</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Identify the performance obligations in the contract.</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Determine the transaction price of the contract.</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Recognize revenue when the performance obligations are met or delivered.</w:t>
      </w:r>
    </w:p>
    <w:p>
      <w:pPr>
        <w:spacing w:after="0" w:line="17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Company’s revenue primarily consists of product development projects revenue and royalty revenue from Dialog. The Company also provides contract services for Dialog. During the three months ended June 30, 2021, the Company recognized $184,960 in product development projects revenue, $0 in royalty revenue and $0 in contract services revenue. During the six months ended June 30, 2021, the Company recognized $330,025 in product development projects revenue, $0 in royalty revenue and $0 in contract services revenue. During the three months ended June 30, 2020, the Company recognized $25,000 in product development projects revenue, $0 in royalty revenue and $89,375 in contract services revenue. During the six months ended June 30, 2020, the Company recognized $45,850 in product development projects revenue, $0 in royalty revenue and $130,000 in contract services revenue.</w:t>
      </w:r>
    </w:p>
    <w:p>
      <w:pPr>
        <w:spacing w:after="0" w:line="134"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a point in time based on when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10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Company records royalty revenue from its manufacturing partner, Dialog, and such royalty revenue is recognized at a point in time based on shipments from Dialog to its customers.</w:t>
      </w:r>
    </w:p>
    <w:p>
      <w:pPr>
        <w:spacing w:after="0" w:line="12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Company recognizes contract services revenue from Dialog over the period of time that the services are performed. The costs associated with this revenue are recognized as the services are performed and are included in cost of services revenue.</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Note 3 – Summary of Significant Accounting Policies,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Research and development expenses are charged to operations as incurred. For internally developed patents, all patent application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$6,103,694 and $4,330,433 for the three months ended June 30, 2021 and 2020, respectively, and the Company incurred research and development costs of $10,694,938 and $8,905,736 for the six months ended June 30, 2021 and 2020,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79"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The Company accounts for equity instruments issued to employees, board members and contractors in accordance with accounting guidance that requires awards to be recorded at their fair value on the date of grant and are amortized over the vesting period of the award. The Company recognizes compensation costs on a straight-line basis over the requisite service period of the award, which is typically the vesting term of the equity instrument issued.</w:t>
      </w:r>
    </w:p>
    <w:p>
      <w:pPr>
        <w:spacing w:after="0" w:line="125"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Under the Company’s Employee Stock Purchase Plan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June 30, 2021,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three or six months ended June 30, 2021 or 2020. The Company files income tax returns with the United States and California governments.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Per Common Share</w:t>
      </w:r>
    </w:p>
    <w:p>
      <w:pPr>
        <w:spacing w:after="0" w:line="179"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6,323,445 and 6,945,580 for the three months ended June 30, 2021 and 2020, respectively, and 6,323,445 and 6,945,580 for the six months ended June 30, 2021 and 2020, respectively, because their inclusion would be anti-dilutive.</w:t>
      </w:r>
    </w:p>
    <w:p>
      <w:pPr>
        <w:spacing w:after="0" w:line="122"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Potentially dilutive securities outlined in the table below have been excluded from the computation of diluted net loss per share because the effect of their inclusion would have been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2300" w:type="dxa"/>
            <w:vAlign w:val="bottom"/>
            <w:gridSpan w:val="3"/>
          </w:tcPr>
          <w:p>
            <w:pPr>
              <w:jc w:val="center"/>
              <w:ind w:left="885"/>
              <w:spacing w:after="0"/>
              <w:rPr>
                <w:sz w:val="20"/>
                <w:szCs w:val="20"/>
                <w:color w:val="auto"/>
              </w:rPr>
            </w:pPr>
            <w:r>
              <w:rPr>
                <w:rFonts w:ascii="Arial" w:cs="Arial" w:eastAsia="Arial" w:hAnsi="Arial"/>
                <w:sz w:val="13"/>
                <w:szCs w:val="13"/>
                <w:b w:val="1"/>
                <w:bCs w:val="1"/>
                <w:color w:val="auto"/>
                <w:w w:val="91"/>
              </w:rPr>
              <w:t>For the Three Months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gridSpan w:val="3"/>
          </w:tcPr>
          <w:p>
            <w:pPr>
              <w:jc w:val="center"/>
              <w:ind w:left="64"/>
              <w:spacing w:after="0"/>
              <w:rPr>
                <w:sz w:val="20"/>
                <w:szCs w:val="20"/>
                <w:color w:val="auto"/>
              </w:rPr>
            </w:pPr>
            <w:r>
              <w:rPr>
                <w:rFonts w:ascii="Arial" w:cs="Arial" w:eastAsia="Arial" w:hAnsi="Arial"/>
                <w:sz w:val="13"/>
                <w:szCs w:val="13"/>
                <w:b w:val="1"/>
                <w:bCs w:val="1"/>
                <w:color w:val="auto"/>
                <w:w w:val="90"/>
              </w:rPr>
              <w:t>For the Six Months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060" w:type="dxa"/>
            <w:vAlign w:val="bottom"/>
          </w:tcPr>
          <w:p>
            <w:pPr>
              <w:spacing w:after="0"/>
              <w:rPr>
                <w:sz w:val="13"/>
                <w:szCs w:val="13"/>
                <w:color w:val="auto"/>
              </w:rPr>
            </w:pPr>
          </w:p>
        </w:tc>
        <w:tc>
          <w:tcPr>
            <w:tcW w:w="2300" w:type="dxa"/>
            <w:vAlign w:val="bottom"/>
            <w:tcBorders>
              <w:bottom w:val="single" w:sz="8" w:color="auto"/>
            </w:tcBorders>
            <w:gridSpan w:val="3"/>
          </w:tcPr>
          <w:p>
            <w:pPr>
              <w:jc w:val="center"/>
              <w:ind w:left="865"/>
              <w:spacing w:after="0"/>
              <w:rPr>
                <w:sz w:val="20"/>
                <w:szCs w:val="20"/>
                <w:color w:val="auto"/>
              </w:rPr>
            </w:pPr>
            <w:r>
              <w:rPr>
                <w:rFonts w:ascii="Arial" w:cs="Arial" w:eastAsia="Arial" w:hAnsi="Arial"/>
                <w:sz w:val="13"/>
                <w:szCs w:val="13"/>
                <w:b w:val="1"/>
                <w:bCs w:val="1"/>
                <w:color w:val="auto"/>
                <w:w w:val="88"/>
              </w:rPr>
              <w:t>Ended June 30,</w:t>
            </w:r>
          </w:p>
        </w:tc>
        <w:tc>
          <w:tcPr>
            <w:tcW w:w="9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left="64"/>
              <w:spacing w:after="0"/>
              <w:rPr>
                <w:sz w:val="20"/>
                <w:szCs w:val="20"/>
                <w:color w:val="auto"/>
              </w:rPr>
            </w:pPr>
            <w:r>
              <w:rPr>
                <w:rFonts w:ascii="Arial" w:cs="Arial" w:eastAsia="Arial" w:hAnsi="Arial"/>
                <w:sz w:val="13"/>
                <w:szCs w:val="13"/>
                <w:b w:val="1"/>
                <w:bCs w:val="1"/>
                <w:color w:val="auto"/>
                <w:w w:val="90"/>
              </w:rPr>
              <w:t>Ended June 30,</w:t>
            </w:r>
          </w:p>
        </w:tc>
        <w:tc>
          <w:tcPr>
            <w:tcW w:w="1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7"/>
        </w:trPr>
        <w:tc>
          <w:tcPr>
            <w:tcW w:w="4060" w:type="dxa"/>
            <w:vAlign w:val="bottom"/>
            <w:tcBorders>
              <w:bottom w:val="single" w:sz="8" w:color="CFF0FC"/>
            </w:tcBorders>
          </w:tcPr>
          <w:p>
            <w:pPr>
              <w:spacing w:after="0"/>
              <w:rPr>
                <w:sz w:val="11"/>
                <w:szCs w:val="11"/>
                <w:color w:val="auto"/>
              </w:rPr>
            </w:pPr>
          </w:p>
        </w:tc>
        <w:tc>
          <w:tcPr>
            <w:tcW w:w="1480" w:type="dxa"/>
            <w:vAlign w:val="bottom"/>
            <w:tcBorders>
              <w:bottom w:val="single" w:sz="8" w:color="auto"/>
            </w:tcBorders>
          </w:tcPr>
          <w:p>
            <w:pPr>
              <w:jc w:val="right"/>
              <w:ind w:right="545"/>
              <w:spacing w:after="0" w:line="138"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FF0FC"/>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42"/>
              <w:spacing w:after="0" w:line="138"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1"/>
                <w:szCs w:val="11"/>
                <w:color w:val="auto"/>
              </w:rPr>
            </w:pPr>
          </w:p>
        </w:tc>
        <w:tc>
          <w:tcPr>
            <w:tcW w:w="9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602"/>
              <w:spacing w:after="0" w:line="138"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1"/>
                <w:szCs w:val="11"/>
                <w:color w:val="auto"/>
              </w:rPr>
            </w:pPr>
          </w:p>
        </w:tc>
      </w:tr>
      <w:tr>
        <w:trPr>
          <w:trHeight w:val="198"/>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Warrants issued to private investors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3,284,789</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3,938,802</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3,284,789</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3,938,802</w:t>
            </w:r>
          </w:p>
        </w:tc>
        <w:tc>
          <w:tcPr>
            <w:tcW w:w="120" w:type="dxa"/>
            <w:vAlign w:val="bottom"/>
            <w:shd w:val="clear" w:color="auto" w:fill="CFF0FC"/>
          </w:tcPr>
          <w:p>
            <w:pPr>
              <w:spacing w:after="0"/>
              <w:rPr>
                <w:sz w:val="17"/>
                <w:szCs w:val="17"/>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6"/>
                <w:szCs w:val="16"/>
                <w:color w:val="auto"/>
              </w:rPr>
              <w:t>Options to purchase common stock</w:t>
            </w:r>
          </w:p>
        </w:tc>
        <w:tc>
          <w:tcPr>
            <w:tcW w:w="1480" w:type="dxa"/>
            <w:vAlign w:val="bottom"/>
          </w:tcPr>
          <w:p>
            <w:pPr>
              <w:jc w:val="right"/>
              <w:spacing w:after="0"/>
              <w:rPr>
                <w:sz w:val="20"/>
                <w:szCs w:val="20"/>
                <w:color w:val="auto"/>
              </w:rPr>
            </w:pPr>
            <w:r>
              <w:rPr>
                <w:rFonts w:ascii="Arial" w:cs="Arial" w:eastAsia="Arial" w:hAnsi="Arial"/>
                <w:sz w:val="16"/>
                <w:szCs w:val="16"/>
                <w:color w:val="auto"/>
              </w:rPr>
              <w:t>550,985</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550,985</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550,985</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550,985</w:t>
            </w:r>
          </w:p>
        </w:tc>
        <w:tc>
          <w:tcPr>
            <w:tcW w:w="120" w:type="dxa"/>
            <w:vAlign w:val="bottom"/>
          </w:tcPr>
          <w:p>
            <w:pPr>
              <w:spacing w:after="0"/>
              <w:rPr>
                <w:sz w:val="17"/>
                <w:szCs w:val="17"/>
                <w:color w:val="auto"/>
              </w:rPr>
            </w:pPr>
          </w:p>
        </w:tc>
      </w:tr>
      <w:tr>
        <w:trPr>
          <w:trHeight w:val="206"/>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RSUs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1,530,216</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1,822,116</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1,530,216</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1,822,116</w:t>
            </w:r>
          </w:p>
        </w:tc>
        <w:tc>
          <w:tcPr>
            <w:tcW w:w="120" w:type="dxa"/>
            <w:vAlign w:val="bottom"/>
            <w:shd w:val="clear" w:color="auto" w:fill="CFF0FC"/>
          </w:tcPr>
          <w:p>
            <w:pPr>
              <w:spacing w:after="0"/>
              <w:rPr>
                <w:sz w:val="17"/>
                <w:szCs w:val="17"/>
                <w:color w:val="auto"/>
              </w:rPr>
            </w:pPr>
          </w:p>
        </w:tc>
      </w:tr>
      <w:tr>
        <w:trPr>
          <w:trHeight w:val="206"/>
        </w:trPr>
        <w:tc>
          <w:tcPr>
            <w:tcW w:w="4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PSUs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957,455</w:t>
            </w:r>
          </w:p>
        </w:tc>
        <w:tc>
          <w:tcPr>
            <w:tcW w:w="280" w:type="dxa"/>
            <w:vAlign w:val="bottom"/>
            <w:tcBorders>
              <w:bottom w:val="single" w:sz="8" w:color="CFF0FC"/>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633,677</w:t>
            </w:r>
          </w:p>
        </w:tc>
        <w:tc>
          <w:tcPr>
            <w:tcW w:w="28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957,455</w:t>
            </w:r>
          </w:p>
        </w:tc>
        <w:tc>
          <w:tcPr>
            <w:tcW w:w="30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633,677</w:t>
            </w:r>
          </w:p>
        </w:tc>
        <w:tc>
          <w:tcPr>
            <w:tcW w:w="120" w:type="dxa"/>
            <w:vAlign w:val="bottom"/>
            <w:tcBorders>
              <w:bottom w:val="single" w:sz="8" w:color="CFF0FC"/>
            </w:tcBorders>
          </w:tcPr>
          <w:p>
            <w:pPr>
              <w:spacing w:after="0"/>
              <w:rPr>
                <w:sz w:val="17"/>
                <w:szCs w:val="17"/>
                <w:color w:val="auto"/>
              </w:rPr>
            </w:pPr>
          </w:p>
        </w:tc>
      </w:tr>
      <w:tr>
        <w:trPr>
          <w:trHeight w:val="198"/>
        </w:trPr>
        <w:tc>
          <w:tcPr>
            <w:tcW w:w="40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potentially dilutive securities</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6,323,445</w:t>
            </w:r>
          </w:p>
        </w:tc>
        <w:tc>
          <w:tcPr>
            <w:tcW w:w="2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6,945,580</w:t>
            </w:r>
          </w:p>
        </w:tc>
        <w:tc>
          <w:tcPr>
            <w:tcW w:w="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6,323,445</w:t>
            </w:r>
          </w:p>
        </w:tc>
        <w:tc>
          <w:tcPr>
            <w:tcW w:w="3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6,945,580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Note 3 – Summary of Significant Accounting Policies,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28" w:lineRule="exact"/>
        <w:rPr>
          <w:sz w:val="20"/>
          <w:szCs w:val="20"/>
          <w:color w:val="auto"/>
        </w:rPr>
      </w:pPr>
    </w:p>
    <w:p>
      <w:pPr>
        <w:ind w:right="380"/>
        <w:spacing w:after="0" w:line="322" w:lineRule="auto"/>
        <w:rPr>
          <w:sz w:val="20"/>
          <w:szCs w:val="20"/>
          <w:color w:val="auto"/>
        </w:rPr>
      </w:pPr>
      <w:r>
        <w:rPr>
          <w:rFonts w:ascii="Arial" w:cs="Arial" w:eastAsia="Arial" w:hAnsi="Arial"/>
          <w:sz w:val="14"/>
          <w:szCs w:val="14"/>
          <w:color w:val="auto"/>
        </w:rPr>
        <w:t>As of January 1, 2019, 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15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4 – Commitments and Contingencies, </w:t>
      </w:r>
      <w:r>
        <w:rPr>
          <w:rFonts w:ascii="Arial" w:cs="Arial" w:eastAsia="Arial" w:hAnsi="Arial"/>
          <w:sz w:val="16"/>
          <w:szCs w:val="16"/>
          <w:i w:val="1"/>
          <w:iCs w:val="1"/>
          <w:color w:val="auto"/>
        </w:rPr>
        <w:t>Operating Leases</w:t>
      </w:r>
      <w:r>
        <w:rPr>
          <w:rFonts w:ascii="Arial" w:cs="Arial" w:eastAsia="Arial" w:hAnsi="Arial"/>
          <w:sz w:val="16"/>
          <w:szCs w:val="16"/>
          <w:color w:val="auto"/>
        </w:rPr>
        <w:t xml:space="preserve"> for further discussion of the Company’s operating leases.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228"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 xml:space="preserve">In December 2019, the FASB issued ASU No. 2019-12, “Income Taxes (Topic 740),” </w:t>
      </w:r>
      <w:r>
        <w:rPr>
          <w:rFonts w:ascii="Arial" w:cs="Arial" w:eastAsia="Arial" w:hAnsi="Arial"/>
          <w:sz w:val="15"/>
          <w:szCs w:val="15"/>
          <w:i w:val="1"/>
          <w:iCs w:val="1"/>
          <w:color w:val="auto"/>
        </w:rPr>
        <w:t>Simplifying the Accounting for Income Taxes</w:t>
      </w:r>
      <w:r>
        <w:rPr>
          <w:rFonts w:ascii="Arial" w:cs="Arial" w:eastAsia="Arial" w:hAnsi="Arial"/>
          <w:sz w:val="15"/>
          <w:szCs w:val="15"/>
          <w:color w:val="auto"/>
        </w:rPr>
        <w:t>. ASU 2019-12 removes certain exceptions under Topic 740 and improves consistent application by clarifying and amending existing guidance. This standard is effective for annual reporting periods beginning after December 15, 2020. The Company adopted this standard, and the adoption did not have a material impact on its financial statements.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May 2021, the FASB issued ASU No. 2021-04, “</w:t>
      </w:r>
      <w:r>
        <w:rPr>
          <w:rFonts w:ascii="Arial" w:cs="Arial" w:eastAsia="Arial" w:hAnsi="Arial"/>
          <w:sz w:val="16"/>
          <w:szCs w:val="16"/>
          <w:color w:val="3C3C3D"/>
        </w:rPr>
        <w:t>Earnings Per Share (Topic 260), Debt—Modifications and Extinguishments (Subtopic 470-50), Compensation—Stock</w:t>
      </w:r>
      <w:r>
        <w:rPr>
          <w:rFonts w:ascii="Arial" w:cs="Arial" w:eastAsia="Arial" w:hAnsi="Arial"/>
          <w:sz w:val="16"/>
          <w:szCs w:val="16"/>
          <w:color w:val="auto"/>
        </w:rPr>
        <w:t xml:space="preserve"> </w:t>
      </w:r>
      <w:r>
        <w:rPr>
          <w:rFonts w:ascii="Arial" w:cs="Arial" w:eastAsia="Arial" w:hAnsi="Arial"/>
          <w:sz w:val="16"/>
          <w:szCs w:val="16"/>
          <w:color w:val="3C3C3D"/>
        </w:rPr>
        <w:t>Compensation (Topic 718), and Derivatives and Hedging—Contracts in Entity’s Own Equity (Subtopic 815-40): Issuer’s Accounting for Certain Modifications or Exchanges of Freestanding Equity-Classified Written Call Options (a consensus of the FASB Emerging Issues Task Force).” ASU 2021-04 clarifies accounting for modifications or exchanges of equity-classified warrants. This standard is effective for annual reporting periods beginning after December 15, 2021. The Company does not believe the adoption of this standard will have a material impact on its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Evaluation of Subsequent Events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Company evaluates events that have occurred after the balance sheet date of June 30, 2021, through the date which the financial statements are available to be issued.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San Jose Lease</w:t>
      </w:r>
    </w:p>
    <w:p>
      <w:pPr>
        <w:spacing w:after="0" w:line="167" w:lineRule="exact"/>
        <w:rPr>
          <w:sz w:val="20"/>
          <w:szCs w:val="20"/>
          <w:color w:val="auto"/>
        </w:rPr>
      </w:pPr>
    </w:p>
    <w:p>
      <w:pPr>
        <w:ind w:right="60"/>
        <w:spacing w:after="0" w:line="292" w:lineRule="auto"/>
        <w:rPr>
          <w:sz w:val="20"/>
          <w:szCs w:val="20"/>
          <w:color w:val="auto"/>
        </w:rPr>
      </w:pPr>
      <w:r>
        <w:rPr>
          <w:rFonts w:ascii="Arial" w:cs="Arial" w:eastAsia="Arial" w:hAnsi="Arial"/>
          <w:sz w:val="15"/>
          <w:szCs w:val="15"/>
          <w:color w:val="auto"/>
        </w:rPr>
        <w:t>On July 1, 2019, the Company signed a new lease agreement for the lease of its office space at its corporate headquarters in San Jose, California for an additional three years. The lease agreement includes space on the first floor of the building that had been previously subleased. Upon expiration of the original lease on September 30, 2019, the new monthly lease payment starting October 1, 2019 was $52,970 and is subject to annual escalations up to a maximum monthly lease payment of $64,941.</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Note 4 – Commitments and Contingencies,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Leases, continued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Costa Mesa Lease</w:t>
      </w:r>
    </w:p>
    <w:p>
      <w:pPr>
        <w:spacing w:after="0" w:line="228"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On July 15, 2019, the Company signed a new lease agreement for the lease of office space in Costa Mesa, California for an additional two years. Upon expiration of the original lease on September 30, 2019, the new monthly lease payment starting October 1, 2019 was $9,773 and is subject to an annual escalation up to a maximum monthly lease payment of $10,200.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Operating Lease Commitments</w:t>
      </w:r>
    </w:p>
    <w:p>
      <w:pPr>
        <w:spacing w:after="0" w:line="228"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In February 2016, the FASB issued its final standard on lease accounting, ASU No. 2016-02, “Leases (Topic 842),” which superseded Topic 840, “Leases,” which was further modified in ASU No. 2018-10, “Codification Improvements” to clarify the implementation guidance. The new accounting standard was effective for the Company beginning on January 1, 2019 and required the recognition on the balance sheet of right-of-use assets and lease liabilities. The Company elected the optional transition method and adopted the new guidance on January 1, 2019 on a modified retrospective basis with no restatement of prior period amounts. The Company’s adoption of the new standard resulted in the recognition of right-of-use assets of $414,426 and operating lease liabilities of $485,747, with no material cumulative effect adjustment to equity as of the date of adoption. The Company anticipates having future total lease payments of $1,002,084 during the period from the third quarter of 2021 to the third quarter of 2022. As of June 30, 2021, the company has total operating lease right-of-use assets of $899,355, current portion operating lease liabilities of $785,484 and long-term portion of operating lease liabilities of $194,176. The weighted average remaining lease term is 1.2 years as of June 30, 2021.</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undiscounted cash flows to lease liabilities recognized as of June 30, 2021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Amount</w:t>
            </w:r>
          </w:p>
        </w:tc>
      </w:tr>
      <w:tr>
        <w:trPr>
          <w:trHeight w:val="137"/>
        </w:trPr>
        <w:tc>
          <w:tcPr>
            <w:tcW w:w="9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tcBorders>
              <w:top w:val="single" w:sz="8" w:color="auto"/>
            </w:tcBorders>
          </w:tcPr>
          <w:p>
            <w:pPr>
              <w:jc w:val="right"/>
              <w:ind w:right="544"/>
              <w:spacing w:after="0" w:line="138" w:lineRule="exact"/>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1"/>
                <w:szCs w:val="11"/>
                <w:color w:val="auto"/>
              </w:rPr>
            </w:pPr>
          </w:p>
        </w:tc>
      </w:tr>
      <w:tr>
        <w:trPr>
          <w:trHeight w:val="206"/>
        </w:trPr>
        <w:tc>
          <w:tcPr>
            <w:tcW w:w="904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417,615</w:t>
            </w:r>
          </w:p>
        </w:tc>
        <w:tc>
          <w:tcPr>
            <w:tcW w:w="120" w:type="dxa"/>
            <w:vAlign w:val="bottom"/>
            <w:shd w:val="clear" w:color="auto" w:fill="CFF0FC"/>
          </w:tcPr>
          <w:p>
            <w:pPr>
              <w:spacing w:after="0"/>
              <w:rPr>
                <w:sz w:val="17"/>
                <w:szCs w:val="17"/>
                <w:color w:val="auto"/>
              </w:rPr>
            </w:pPr>
          </w:p>
        </w:tc>
      </w:tr>
      <w:tr>
        <w:trPr>
          <w:trHeight w:val="206"/>
        </w:trPr>
        <w:tc>
          <w:tcPr>
            <w:tcW w:w="9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2022</w:t>
            </w:r>
          </w:p>
        </w:tc>
        <w:tc>
          <w:tcPr>
            <w:tcW w:w="220" w:type="dxa"/>
            <w:vAlign w:val="bottom"/>
            <w:tcBorders>
              <w:bottom w:val="single" w:sz="8" w:color="CFF0FC"/>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584,469</w:t>
            </w:r>
          </w:p>
        </w:tc>
        <w:tc>
          <w:tcPr>
            <w:tcW w:w="120" w:type="dxa"/>
            <w:vAlign w:val="bottom"/>
            <w:tcBorders>
              <w:bottom w:val="single" w:sz="8" w:color="CFF0FC"/>
            </w:tcBorders>
          </w:tcPr>
          <w:p>
            <w:pPr>
              <w:spacing w:after="0"/>
              <w:rPr>
                <w:sz w:val="17"/>
                <w:szCs w:val="17"/>
                <w:color w:val="auto"/>
              </w:rPr>
            </w:pPr>
          </w:p>
        </w:tc>
      </w:tr>
      <w:tr>
        <w:trPr>
          <w:trHeight w:val="198"/>
        </w:trPr>
        <w:tc>
          <w:tcPr>
            <w:tcW w:w="9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future lease payments</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1,002,084</w:t>
            </w:r>
          </w:p>
        </w:tc>
        <w:tc>
          <w:tcPr>
            <w:tcW w:w="120" w:type="dxa"/>
            <w:vAlign w:val="bottom"/>
            <w:shd w:val="clear" w:color="auto" w:fill="CFF0FC"/>
          </w:tcPr>
          <w:p>
            <w:pPr>
              <w:spacing w:after="0"/>
              <w:rPr>
                <w:sz w:val="17"/>
                <w:szCs w:val="17"/>
                <w:color w:val="auto"/>
              </w:rPr>
            </w:pPr>
          </w:p>
        </w:tc>
      </w:tr>
      <w:tr>
        <w:trPr>
          <w:trHeight w:val="206"/>
        </w:trPr>
        <w:tc>
          <w:tcPr>
            <w:tcW w:w="9260" w:type="dxa"/>
            <w:vAlign w:val="bottom"/>
            <w:gridSpan w:val="2"/>
          </w:tcPr>
          <w:p>
            <w:pPr>
              <w:spacing w:after="0"/>
              <w:rPr>
                <w:sz w:val="20"/>
                <w:szCs w:val="20"/>
                <w:color w:val="auto"/>
              </w:rPr>
            </w:pPr>
            <w:r>
              <w:rPr>
                <w:rFonts w:ascii="Arial" w:cs="Arial" w:eastAsia="Arial" w:hAnsi="Arial"/>
                <w:sz w:val="16"/>
                <w:szCs w:val="16"/>
                <w:color w:val="auto"/>
              </w:rPr>
              <w:t>Present value discount (4% weighted average)</w:t>
            </w:r>
          </w:p>
        </w:tc>
        <w:tc>
          <w:tcPr>
            <w:tcW w:w="2000" w:type="dxa"/>
            <w:vAlign w:val="bottom"/>
            <w:gridSpan w:val="2"/>
          </w:tcPr>
          <w:p>
            <w:pPr>
              <w:jc w:val="right"/>
              <w:ind w:right="60"/>
              <w:spacing w:after="0"/>
              <w:rPr>
                <w:sz w:val="20"/>
                <w:szCs w:val="20"/>
                <w:color w:val="auto"/>
              </w:rPr>
            </w:pPr>
            <w:r>
              <w:rPr>
                <w:rFonts w:ascii="Arial" w:cs="Arial" w:eastAsia="Arial" w:hAnsi="Arial"/>
                <w:sz w:val="16"/>
                <w:szCs w:val="16"/>
                <w:color w:val="auto"/>
              </w:rPr>
              <w:t>(22,424)</w:t>
            </w:r>
          </w:p>
        </w:tc>
      </w:tr>
      <w:tr>
        <w:trPr>
          <w:trHeight w:val="198"/>
        </w:trPr>
        <w:tc>
          <w:tcPr>
            <w:tcW w:w="9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 operating lease liabilities</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979,660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22222"/>
        </w:rPr>
        <w:t>Hosted Design Software Agreement</w:t>
      </w:r>
    </w:p>
    <w:p>
      <w:pPr>
        <w:spacing w:after="0" w:line="167" w:lineRule="exact"/>
        <w:rPr>
          <w:sz w:val="20"/>
          <w:szCs w:val="20"/>
          <w:color w:val="auto"/>
        </w:rPr>
      </w:pPr>
    </w:p>
    <w:p>
      <w:pPr>
        <w:ind w:right="180"/>
        <w:spacing w:after="0" w:line="293" w:lineRule="auto"/>
        <w:rPr>
          <w:sz w:val="20"/>
          <w:szCs w:val="20"/>
          <w:color w:val="auto"/>
        </w:rPr>
      </w:pPr>
      <w:r>
        <w:rPr>
          <w:rFonts w:ascii="Arial" w:cs="Arial" w:eastAsia="Arial" w:hAnsi="Arial"/>
          <w:sz w:val="14"/>
          <w:szCs w:val="14"/>
          <w:color w:val="222222"/>
        </w:rPr>
        <w:t>On June 25, 2015, the Company entered into a three-year agreement to license electronic design automation software in a hosted environment. Pursuant to the agreement, under which services began July 2015, the Company is required to remit quarterly payments in the amount of approximately $101,000 with the last payment due March 30, 2018. On December 18, 2015, the agreement was amended to redefine the hardware and software configuration and the quarterly payments increased to approximately $198,000. In July 2018, the Company renewed the agreement for an additional three years, and the Company was required to remit quarterly payments of approximately</w:t>
      </w:r>
    </w:p>
    <w:p>
      <w:pPr>
        <w:spacing w:after="0" w:line="1" w:lineRule="exact"/>
        <w:rPr>
          <w:sz w:val="20"/>
          <w:szCs w:val="20"/>
          <w:color w:val="auto"/>
        </w:rPr>
      </w:pPr>
    </w:p>
    <w:p>
      <w:pPr>
        <w:ind w:right="480"/>
        <w:spacing w:after="0" w:line="265" w:lineRule="auto"/>
        <w:rPr>
          <w:sz w:val="20"/>
          <w:szCs w:val="20"/>
          <w:color w:val="auto"/>
        </w:rPr>
      </w:pPr>
      <w:r>
        <w:rPr>
          <w:rFonts w:ascii="Arial" w:cs="Arial" w:eastAsia="Arial" w:hAnsi="Arial"/>
          <w:sz w:val="16"/>
          <w:szCs w:val="16"/>
          <w:color w:val="222222"/>
        </w:rPr>
        <w:t>$218,000. In June 2021, the Company renewed the agreement for an additional three years, and the Company is required to remit quarterly payments of approximately $233,000 through the second quarter of 2024.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Litigations, Claims, and Assessments</w:t>
      </w:r>
    </w:p>
    <w:p>
      <w:pPr>
        <w:spacing w:after="0" w:line="204" w:lineRule="exact"/>
        <w:rPr>
          <w:sz w:val="20"/>
          <w:szCs w:val="20"/>
          <w:color w:val="auto"/>
        </w:rPr>
      </w:pPr>
    </w:p>
    <w:p>
      <w:pPr>
        <w:ind w:right="240"/>
        <w:spacing w:after="0" w:line="292" w:lineRule="auto"/>
        <w:rPr>
          <w:sz w:val="20"/>
          <w:szCs w:val="20"/>
          <w:color w:val="auto"/>
        </w:rPr>
      </w:pPr>
      <w:r>
        <w:rPr>
          <w:rFonts w:ascii="Arial" w:cs="Arial" w:eastAsia="Arial" w:hAnsi="Arial"/>
          <w:sz w:val="15"/>
          <w:szCs w:val="15"/>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Note 4 – Commitments and Contingencies,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MBO Bonus Plan</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29"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114"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During the three months ended June 30, 2021, the Company accrued $391,578 in expense under the Bonus Plan, which will be paid during the third quarter of 2021. During the three months ended June 30, 2020, the Company accrued $392,929 in expense under the Bonus Plan, which was paid during the third quarter of 2020. During the six months ended June 30, 2021 and 2020, the Company accrued $783,156 and $677,520, respectively, in expense under the Bonus Plan.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Severance and Change in Control Agreement</w:t>
      </w:r>
    </w:p>
    <w:p>
      <w:pPr>
        <w:spacing w:after="0" w:line="167"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On March 15, 2018, the Compensation Committee approved a form of Severance and Change in Control Agreement (“Severance Agreement”) that the Company may enter into with executive officers (“Executive”).</w:t>
      </w:r>
    </w:p>
    <w:p>
      <w:pPr>
        <w:spacing w:after="0" w:line="11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Under the Severance Agreement, if an Executive is terminated in a qualifying termination, the Company agrees to pay the Executive six to 12 months of that Executive’s monthly base salary. If Executive elects continued coverage under the Consolidated Omnibus Budget Reconciliation Act of 1985, as amended (“COBRA”) the Company will pay the full amount of Executive’s premiums under the Company’s health, dental and vision plans, including coverage for the Executive’s eligible dependents, for the six to 12 month period following the Executive’s termination.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Transition Agreement – Stephen Rizzone</w:t>
      </w:r>
    </w:p>
    <w:p>
      <w:pPr>
        <w:spacing w:after="0" w:line="167"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On April 3, 2015, the Company entered into an Amended and Restated Executive Employment Agreement with Stephen R. Rizzone, the Company’s President and Chief Executive Officer (“Employment Agreement”).</w:t>
      </w:r>
    </w:p>
    <w:p>
      <w:pPr>
        <w:spacing w:after="0" w:line="114" w:lineRule="exact"/>
        <w:rPr>
          <w:sz w:val="20"/>
          <w:szCs w:val="20"/>
          <w:color w:val="auto"/>
        </w:rPr>
      </w:pPr>
    </w:p>
    <w:p>
      <w:pPr>
        <w:ind w:right="380"/>
        <w:spacing w:after="0" w:line="292" w:lineRule="auto"/>
        <w:rPr>
          <w:sz w:val="20"/>
          <w:szCs w:val="20"/>
          <w:color w:val="auto"/>
        </w:rPr>
      </w:pPr>
      <w:r>
        <w:rPr>
          <w:rFonts w:ascii="Arial" w:cs="Arial" w:eastAsia="Arial" w:hAnsi="Arial"/>
          <w:sz w:val="15"/>
          <w:szCs w:val="15"/>
          <w:color w:val="auto"/>
        </w:rPr>
        <w:t>The Employment Agreement effective as of January 1, 2015, has an initial term of four years and automatically renews each year after the initial term. The Employment Agreement provides for an annual base salary of $365,000, and Mr. Rizzone is eligible to receive quarterly cash bonuses from the MBO Bonus Plan with a total target amount equal to 100% of his base salary based upon achievement of performance-based objectives established by the Board.</w:t>
      </w:r>
    </w:p>
    <w:p>
      <w:pPr>
        <w:spacing w:after="0" w:line="170"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On July 9, 2021, the Company announced that Stephen R. Rizzone has retired from his position as the Company’s President and Chief Executive Officer and as a member of the Board (see Note 9 – Subsequent Event).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Strategic Alliance Agreement</w:t>
      </w:r>
    </w:p>
    <w:p>
      <w:pPr>
        <w:spacing w:after="0" w:line="167"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In November 2016, the Company and Dialog Semiconductor plc (“Dialog”), a related party (see Note 7—Related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(the “Dialog Exclusivity Requirement”). In addition, both parties agreed on a revenue sharing arrangement and will collaborate on the commercialization of Licensed Products based on a mutually-agreed upon plan. Each party will retain all of its intellectual property.</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Note 4 – Commitments and Contingencies, continued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Strategic Alliance Agreement </w:t>
      </w:r>
      <w:r>
        <w:rPr>
          <w:rFonts w:ascii="Arial" w:cs="Arial" w:eastAsia="Arial" w:hAnsi="Arial"/>
          <w:sz w:val="16"/>
          <w:szCs w:val="16"/>
          <w:b w:val="1"/>
          <w:bCs w:val="1"/>
          <w:color w:val="auto"/>
        </w:rPr>
        <w:t>continued</w:t>
      </w:r>
    </w:p>
    <w:p>
      <w:pPr>
        <w:spacing w:after="0" w:line="183"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The Alliance Agreement has an initial term of seven years and will automatically renew annually thereafter unless terminated by either party upon 180 days’ prior written notice. The Company may terminate the Alliance Agreement at any time after the third anniversary of the Agreement upon 180 days’ prior written notice to Dialog, or if Dialog breaches certain exclusivity obligations. Dialog may terminate the Alliance Agreement if sales of Licensed Products do not meet specified targets. The Company Exclusivity Requirement will terminate upon the earlier of January 1, 2021 or the occurrence of certain events relating to the Company’s pre-existing exclusivity obligations. The Company Exclusivity Requirement renews automatically on an annual basis unless the Company and Dialog agree to terminate the requirement.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Authorized Capital</w:t>
      </w:r>
    </w:p>
    <w:p>
      <w:pPr>
        <w:spacing w:after="0" w:line="179"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w:t>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On August 9, 2018, the Company filed a shelf registration statement on Form S-3 with the SEC, which became effective on August 17, 2018. This shelf registration statement allows the Company to sell, from time to time, any combination of debt or equity securities described in the registration statement up to aggregate proceeds of $75,000,000. Pursuant to this registration statement, in March 2019 the Company raised $23,319,156 (net of $1,680,844 in issuance costs) from an offering of shares of its common stock and warrants to purchase 1,666,666 shares of common stock at an exercise price of $10.00 per share. The Company also raised $4,557,693 (net of $339,081 in issuance costs) during the fourth quarter of 2019, $5,506,880 (net of $141,322 in issuance costs) during the first quarter of 2020 and $9,216,611 (net of $236,528 in issuance costs) during the second quarter of 2020, pursuant to this shelf registration statement.</w:t>
      </w:r>
    </w:p>
    <w:p>
      <w:pPr>
        <w:spacing w:after="0" w:line="134"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On September 15, 2020, the Company filed a shelf registration statement on Form S-3 with the SEC, which became effective on September 24, 2020,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(“ATM”) sales agreement prospectus supplement covering the offering, or the ATM Program, issuance and sale by the Company of up to a maximum aggregate offering price of $40,000,000 of its common stock that may be issued and sold under that certain sales agreement. The $40,000,000 of common stock that may be offered, issued and sold under the sales agreement prospectus is included in the $75,000,000 of the Company’s securities that may be offered, issued and sold by the Company under the base prospectus. Pursuant to this shelf registration statement, the Company sold shares which raised net proceeds of $38,832,711 (net of $1,167,289 in issuance costs) during the third and fourth quarters of 2020. The ATM Program was completed as of the end of 2020 and no further securities were sold during the three or six months ended June 30, 2021.</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Outstanding</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outstanding common shares typically include shares that are deemed delivered under US GAAP. Shares that are deemed delivered currently include shares that have vested, but have not yet been delivered, under tax-deferred equity awards, as well as shares purchased under our Employee Stock Purchase Program (“ESPP”) where actual transfer of shares normally occurs a few days after the completion of the purchase periods. There are no voting rights for shares that are deemed delivered under US GAAP until the actual delivery of shares takes place. On July 24, 2020, the stockholders of the Company approved an increase of the authorized share capital of the Company from 50,000,000 to 200,000,000 shares of common stock.</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Note 6 –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Incentive Plans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2013 Equity Incentive Plan</w:t>
      </w:r>
    </w:p>
    <w:p>
      <w:pPr>
        <w:spacing w:after="0" w:line="167" w:lineRule="exact"/>
        <w:rPr>
          <w:sz w:val="20"/>
          <w:szCs w:val="20"/>
          <w:color w:val="auto"/>
        </w:rPr>
      </w:pPr>
    </w:p>
    <w:p>
      <w:pPr>
        <w:ind w:right="540"/>
        <w:spacing w:after="0" w:line="316" w:lineRule="auto"/>
        <w:rPr>
          <w:sz w:val="20"/>
          <w:szCs w:val="20"/>
          <w:color w:val="auto"/>
        </w:rPr>
      </w:pPr>
      <w:r>
        <w:rPr>
          <w:rFonts w:ascii="Arial" w:cs="Arial" w:eastAsia="Arial" w:hAnsi="Arial"/>
          <w:sz w:val="15"/>
          <w:szCs w:val="15"/>
          <w:color w:val="auto"/>
        </w:rPr>
        <w:t>Effective on June 16, 2021, the Company’s stockholders approved the amendment and restatement of the 2013 Equity Incentive Plan to increase the number of shares reserved for issuance thereunder by 1,500,000 shares, bringing to 8,785,967 the total number of shares approved for issuance under that plan.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2,414,623 shares of common stock remain eligible to be issued through equity-based instruments under the 2013 Equity Incentive Plan.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2014 Non-Employee Equity Compensation Plan</w:t>
      </w:r>
    </w:p>
    <w:p>
      <w:pPr>
        <w:spacing w:after="0" w:line="167" w:lineRule="exact"/>
        <w:rPr>
          <w:sz w:val="20"/>
          <w:szCs w:val="20"/>
          <w:color w:val="auto"/>
        </w:rPr>
      </w:pPr>
    </w:p>
    <w:p>
      <w:pPr>
        <w:ind w:right="380"/>
        <w:spacing w:after="0" w:line="267" w:lineRule="auto"/>
        <w:rPr>
          <w:sz w:val="20"/>
          <w:szCs w:val="20"/>
          <w:color w:val="auto"/>
        </w:rPr>
      </w:pPr>
      <w:r>
        <w:rPr>
          <w:rFonts w:ascii="Arial" w:cs="Arial" w:eastAsia="Arial" w:hAnsi="Arial"/>
          <w:sz w:val="16"/>
          <w:szCs w:val="16"/>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185"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As of June 30, 2021, 917,013 shares of common stock remain eligible to be issued through equity-based instruments under the 2014 Non-Employee Equity Compensation Plan.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2015 Performance Share Unit Plan</w:t>
      </w:r>
    </w:p>
    <w:p>
      <w:pPr>
        <w:spacing w:after="0" w:line="167"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Effective on June 16, 2021, the Company’s stockholders approved the amendment and restatement of the 2015 Performance Share Unit Plan to increase the number of shares reserved for issuance through equity-based instruments thereunder by 1,700,000 shares, bringing to 5,110,104 the total number of shares approved for issuance under that plan.</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2021, 2,379,888 shares of common stock remain eligible to be issued through equity-based instruments under the 2015 Performance Share Unit Plan.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2017 Equity Inducement Plan</w:t>
      </w:r>
    </w:p>
    <w:p>
      <w:pPr>
        <w:spacing w:after="0" w:line="228"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On December 28, 2017, the Board approved the 2017 Equity Inducement Plan. Under the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174" w:lineRule="exact"/>
        <w:rPr>
          <w:sz w:val="20"/>
          <w:szCs w:val="20"/>
          <w:color w:val="auto"/>
        </w:rPr>
      </w:pPr>
    </w:p>
    <w:p>
      <w:pPr>
        <w:ind w:right="980"/>
        <w:spacing w:after="0" w:line="466" w:lineRule="auto"/>
        <w:rPr>
          <w:sz w:val="20"/>
          <w:szCs w:val="20"/>
          <w:color w:val="auto"/>
        </w:rPr>
      </w:pPr>
      <w:r>
        <w:rPr>
          <w:rFonts w:ascii="Arial" w:cs="Arial" w:eastAsia="Arial" w:hAnsi="Arial"/>
          <w:sz w:val="16"/>
          <w:szCs w:val="16"/>
          <w:color w:val="auto"/>
        </w:rPr>
        <w:t xml:space="preserve">As of June 30, 2021, 138,679 shares of common stock remain available to be issued through equity-based instruments under the 2017 Equity Inducement Plan. </w:t>
      </w:r>
      <w:r>
        <w:rPr>
          <w:rFonts w:ascii="Arial" w:cs="Arial" w:eastAsia="Arial" w:hAnsi="Arial"/>
          <w:sz w:val="16"/>
          <w:szCs w:val="16"/>
          <w:u w:val="single" w:color="auto"/>
          <w:color w:val="auto"/>
        </w:rPr>
        <w:t>Employee Stock Purchase Plan</w:t>
      </w:r>
    </w:p>
    <w:p>
      <w:pPr>
        <w:ind w:right="60"/>
        <w:spacing w:after="0" w:line="256" w:lineRule="auto"/>
        <w:rPr>
          <w:sz w:val="20"/>
          <w:szCs w:val="20"/>
          <w:color w:val="auto"/>
        </w:rPr>
      </w:pPr>
      <w:r>
        <w:rPr>
          <w:rFonts w:ascii="Arial" w:cs="Arial" w:eastAsia="Arial" w:hAnsi="Arial"/>
          <w:sz w:val="16"/>
          <w:szCs w:val="16"/>
          <w:color w:val="auto"/>
        </w:rPr>
        <w:t>In April 2015, the Company’s Board approved the ESPP, under which 600,000 shares of common stock have been reserved for purchase by the Company’s employees, subject to the approval by the stockholders. On May 21, 2015, the Company’s stockholders approved the ESPP. Effective on June 16, 2021, the Company’s stockholders approved the amendment and restatement of the Employee Stock Purchase Plan to increase the number of shares reserved for issuance through equity-based instruments thereunder by 700,000 shares, bring to 1,550,000 the total number of shares approved for issuance under that plan. Under the ESPP, employees may designate an amount not less than 1% but not more than 10% of their annual compensation for the purchase of Company shares. No more than 7,500 shares may be purchased by an employee under the ESPP during an offering period.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138"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As of June 30, 2021, 685,374 shares of common stock remain eligible to be issued under the ESPP. Employees contributed $237,247 through payroll withholdings to the ESPP for the offering period ended June 30, 2021 and shares were deemed delivered on that date.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Note 6 – Stock-Based Compensation,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Company’s stock option activity during the six months ended June 30,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88"/>
              </w:rPr>
              <w:t>Weighted</w:t>
            </w: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Weighted</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89"/>
              </w:rPr>
              <w:t>Average</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140" w:type="dxa"/>
            <w:vAlign w:val="bottom"/>
            <w:vMerge w:val="restart"/>
          </w:tcPr>
          <w:p>
            <w:pPr>
              <w:jc w:val="right"/>
              <w:ind w:right="202"/>
              <w:spacing w:after="0"/>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40"/>
              <w:spacing w:after="0" w:line="133" w:lineRule="exact"/>
              <w:rPr>
                <w:sz w:val="20"/>
                <w:szCs w:val="20"/>
                <w:color w:val="auto"/>
              </w:rPr>
            </w:pPr>
            <w:r>
              <w:rPr>
                <w:rFonts w:ascii="Arial" w:cs="Arial" w:eastAsia="Arial" w:hAnsi="Arial"/>
                <w:sz w:val="13"/>
                <w:szCs w:val="13"/>
                <w:b w:val="1"/>
                <w:bCs w:val="1"/>
                <w:color w:val="auto"/>
                <w:w w:val="85"/>
              </w:rPr>
              <w:t>Average</w:t>
            </w:r>
          </w:p>
        </w:tc>
        <w:tc>
          <w:tcPr>
            <w:tcW w:w="140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0"/>
              </w:rPr>
              <w:t>Remaining</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40"/>
              <w:spacing w:after="0" w:line="133" w:lineRule="exact"/>
              <w:rPr>
                <w:sz w:val="20"/>
                <w:szCs w:val="20"/>
                <w:color w:val="auto"/>
              </w:rPr>
            </w:pPr>
            <w:r>
              <w:rPr>
                <w:rFonts w:ascii="Arial" w:cs="Arial" w:eastAsia="Arial" w:hAnsi="Arial"/>
                <w:sz w:val="13"/>
                <w:szCs w:val="13"/>
                <w:b w:val="1"/>
                <w:bCs w:val="1"/>
                <w:color w:val="auto"/>
                <w:w w:val="89"/>
              </w:rPr>
              <w:t>Exercise</w:t>
            </w: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99"/>
              </w:rPr>
              <w:t>Life In</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40" w:type="dxa"/>
            <w:vAlign w:val="bottom"/>
          </w:tcPr>
          <w:p>
            <w:pPr>
              <w:spacing w:after="0"/>
              <w:rPr>
                <w:sz w:val="13"/>
                <w:szCs w:val="13"/>
                <w:color w:val="auto"/>
              </w:rPr>
            </w:pPr>
          </w:p>
        </w:tc>
        <w:tc>
          <w:tcPr>
            <w:tcW w:w="1140" w:type="dxa"/>
            <w:vAlign w:val="bottom"/>
          </w:tcPr>
          <w:p>
            <w:pPr>
              <w:jc w:val="right"/>
              <w:ind w:right="282"/>
              <w:spacing w:after="0"/>
              <w:rPr>
                <w:sz w:val="20"/>
                <w:szCs w:val="20"/>
                <w:color w:val="auto"/>
              </w:rPr>
            </w:pPr>
            <w:r>
              <w:rPr>
                <w:rFonts w:ascii="Arial" w:cs="Arial" w:eastAsia="Arial" w:hAnsi="Arial"/>
                <w:sz w:val="13"/>
                <w:szCs w:val="13"/>
                <w:b w:val="1"/>
                <w:bCs w:val="1"/>
                <w:color w:val="auto"/>
              </w:rPr>
              <w:t>Options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Price</w:t>
            </w: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Years</w:t>
            </w:r>
          </w:p>
        </w:tc>
        <w:tc>
          <w:tcPr>
            <w:tcW w:w="2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98"/>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550,985</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3,384</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Exercised</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84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550,985</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33,655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Exercisable at January 1, 2021</w:t>
            </w:r>
          </w:p>
        </w:tc>
        <w:tc>
          <w:tcPr>
            <w:tcW w:w="1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40" w:type="dxa"/>
            <w:vAlign w:val="bottom"/>
            <w:vMerge w:val="continue"/>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550,985</w:t>
            </w:r>
          </w:p>
        </w:tc>
        <w:tc>
          <w:tcPr>
            <w:tcW w:w="240" w:type="dxa"/>
            <w:vAlign w:val="bottom"/>
          </w:tcPr>
          <w:p>
            <w:pPr>
              <w:spacing w:after="0"/>
              <w:rPr>
                <w:sz w:val="15"/>
                <w:szCs w:val="15"/>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5.67</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3.2</w:t>
            </w:r>
          </w:p>
        </w:tc>
        <w:tc>
          <w:tcPr>
            <w:tcW w:w="260" w:type="dxa"/>
            <w:vAlign w:val="bottom"/>
          </w:tcPr>
          <w:p>
            <w:pPr>
              <w:spacing w:after="0"/>
              <w:rPr>
                <w:sz w:val="15"/>
                <w:szCs w:val="15"/>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3,384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Vested</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84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Forfeited</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6"/>
                <w:szCs w:val="16"/>
                <w:color w:val="auto"/>
              </w:rPr>
              <w:t>Exercisable at June 30,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550,985</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As of June 30, 2021, the unamortized value of options was $0.</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840" w:type="dxa"/>
            <w:vAlign w:val="bottom"/>
          </w:tcPr>
          <w:p>
            <w:pPr>
              <w:spacing w:after="0"/>
              <w:rPr>
                <w:sz w:val="20"/>
                <w:szCs w:val="20"/>
                <w:color w:val="auto"/>
              </w:rPr>
            </w:pPr>
            <w:r>
              <w:rPr>
                <w:rFonts w:ascii="Arial" w:cs="Arial" w:eastAsia="Arial" w:hAnsi="Arial"/>
                <w:sz w:val="16"/>
                <w:szCs w:val="16"/>
                <w:b w:val="1"/>
                <w:bCs w:val="1"/>
                <w:i w:val="1"/>
                <w:iCs w:val="1"/>
                <w:color w:val="auto"/>
              </w:rPr>
              <w:t>Restricted Stock Units (“RSUs”)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520"/>
        <w:spacing w:after="0" w:line="281" w:lineRule="auto"/>
        <w:rPr>
          <w:sz w:val="20"/>
          <w:szCs w:val="20"/>
          <w:color w:val="auto"/>
        </w:rPr>
      </w:pPr>
      <w:r>
        <w:rPr>
          <w:rFonts w:ascii="Arial" w:cs="Arial" w:eastAsia="Arial" w:hAnsi="Arial"/>
          <w:sz w:val="16"/>
          <w:szCs w:val="16"/>
          <w:color w:val="auto"/>
        </w:rPr>
        <w:t>During the six months ended June 30, 2021, the Compensation Committee granted various employees RSUs covering 964,885 shares of common stock under the 2013 Equity Incentive Plan. The awards vest over terms ranging from two to four years.</w:t>
      </w:r>
    </w:p>
    <w:p>
      <w:pPr>
        <w:spacing w:after="0" w:line="114"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During the six months ended June 30, 2021, the Compensation Committee and the Board of Directors granted various non-employees RSUs covering 135,000 shares of common stock under the 2014 Non-employee Equity Compensation Plan. The awards vest over terms ranging from one to four years</w:t>
      </w:r>
    </w:p>
    <w:p>
      <w:pPr>
        <w:spacing w:after="0" w:line="12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During the six months ended June 30, 2021, the Board of Directors granted an employee RSUs covering 7,000 shares of common stock under the 2017 Equity Inducement Plan. The award vests over a term of four years.</w:t>
      </w:r>
    </w:p>
    <w:p>
      <w:pPr>
        <w:spacing w:after="0" w:line="175"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As of June 30, 2021, the unamortized value of the RSUs was $4,763,288. The unamortized amount will be expensed over a weighted average period of 1.5 years. A summary of the activity related to RSUs for the six months ended June 30, 2021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33"/>
        </w:trPr>
        <w:tc>
          <w:tcPr>
            <w:tcW w:w="7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3"/>
        </w:trPr>
        <w:tc>
          <w:tcPr>
            <w:tcW w:w="7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2"/>
          </w:tcPr>
          <w:p>
            <w:pPr>
              <w:jc w:val="center"/>
              <w:ind w:right="440"/>
              <w:spacing w:after="0" w:line="133"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3"/>
        </w:trPr>
        <w:tc>
          <w:tcPr>
            <w:tcW w:w="7760" w:type="dxa"/>
            <w:vAlign w:val="bottom"/>
          </w:tcPr>
          <w:p>
            <w:pPr>
              <w:spacing w:after="0"/>
              <w:rPr>
                <w:sz w:val="11"/>
                <w:szCs w:val="11"/>
                <w:color w:val="auto"/>
              </w:rPr>
            </w:pPr>
          </w:p>
        </w:tc>
        <w:tc>
          <w:tcPr>
            <w:tcW w:w="1820" w:type="dxa"/>
            <w:vAlign w:val="bottom"/>
            <w:gridSpan w:val="2"/>
            <w:vMerge w:val="restart"/>
          </w:tcPr>
          <w:p>
            <w:pPr>
              <w:jc w:val="right"/>
              <w:ind w:right="920"/>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1"/>
                <w:szCs w:val="11"/>
                <w:color w:val="auto"/>
              </w:rPr>
            </w:pPr>
          </w:p>
        </w:tc>
        <w:tc>
          <w:tcPr>
            <w:tcW w:w="1380" w:type="dxa"/>
            <w:vAlign w:val="bottom"/>
            <w:gridSpan w:val="2"/>
          </w:tcPr>
          <w:p>
            <w:pPr>
              <w:jc w:val="center"/>
              <w:ind w:right="420"/>
              <w:spacing w:after="0" w:line="133" w:lineRule="exact"/>
              <w:rPr>
                <w:sz w:val="20"/>
                <w:szCs w:val="20"/>
                <w:color w:val="auto"/>
              </w:rPr>
            </w:pPr>
            <w:r>
              <w:rPr>
                <w:rFonts w:ascii="Arial" w:cs="Arial" w:eastAsia="Arial" w:hAnsi="Arial"/>
                <w:sz w:val="13"/>
                <w:szCs w:val="13"/>
                <w:b w:val="1"/>
                <w:bCs w:val="1"/>
                <w:color w:val="auto"/>
                <w:w w:val="93"/>
              </w:rPr>
              <w:t>Date Fair</w:t>
            </w:r>
          </w:p>
        </w:tc>
        <w:tc>
          <w:tcPr>
            <w:tcW w:w="0" w:type="dxa"/>
            <w:vAlign w:val="bottom"/>
          </w:tcPr>
          <w:p>
            <w:pPr>
              <w:spacing w:after="0"/>
              <w:rPr>
                <w:sz w:val="1"/>
                <w:szCs w:val="1"/>
                <w:color w:val="auto"/>
              </w:rPr>
            </w:pPr>
          </w:p>
        </w:tc>
      </w:tr>
      <w:tr>
        <w:trPr>
          <w:trHeight w:val="153"/>
        </w:trPr>
        <w:tc>
          <w:tcPr>
            <w:tcW w:w="776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98"/>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January 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1,421,168</w:t>
            </w:r>
          </w:p>
        </w:tc>
        <w:tc>
          <w:tcPr>
            <w:tcW w:w="2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rPr>
              <w:t>RSUs 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1,106,885</w:t>
            </w:r>
          </w:p>
        </w:tc>
        <w:tc>
          <w:tcPr>
            <w:tcW w:w="28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RSUs forfeited</w:t>
            </w: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(71,784)</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rPr>
              <w:t>RSUs vested</w:t>
            </w: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(926,053)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June 30,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1,530,216</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CFF0FC"/>
              <w:bottom w:val="single" w:sz="8" w:color="CFF0FC"/>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Note 6 – Stock-Based Compensation, continued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Share Units (“PSUs”)</w:t>
      </w:r>
    </w:p>
    <w:p>
      <w:pPr>
        <w:spacing w:after="0" w:line="16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Performance share units (“PSUs”) are grants that vest upon the achievement of certain performance goals. The goals are commonly related to the Company’s revenue, market capitalization or market share price of the common stock.</w:t>
      </w:r>
    </w:p>
    <w:p>
      <w:pPr>
        <w:spacing w:after="0" w:line="12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During the six months ended June 30, 2021, the Compensation Committee of the Board of Directors granted various employees PSUs covering 1,465,713 shares of common stock under the Company’s 2015 Performance Share Unit Plan.</w:t>
      </w:r>
    </w:p>
    <w:p>
      <w:pPr>
        <w:spacing w:after="0" w:line="114"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Amortization for all PSU awards was $2,695,847 for the three and six months ended June 30, 2021 and $0 and $(88,348) for the three and six months ended June 30, 2020,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As of June 30, 2021, the unamortized value of the PSUs was $1,198,389. The unamortized amount will be expensed over a weighted average period of 0.5 years.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activity related to PSUs for the six months ended June 30, 2021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3"/>
        </w:trPr>
        <w:tc>
          <w:tcPr>
            <w:tcW w:w="7740" w:type="dxa"/>
            <w:vAlign w:val="bottom"/>
          </w:tcPr>
          <w:p>
            <w:pPr>
              <w:spacing w:after="0"/>
              <w:rPr>
                <w:sz w:val="11"/>
                <w:szCs w:val="11"/>
                <w:color w:val="auto"/>
              </w:rPr>
            </w:pPr>
          </w:p>
        </w:tc>
        <w:tc>
          <w:tcPr>
            <w:tcW w:w="1840" w:type="dxa"/>
            <w:vAlign w:val="bottom"/>
            <w:gridSpan w:val="2"/>
            <w:vMerge w:val="restart"/>
          </w:tcPr>
          <w:p>
            <w:pPr>
              <w:jc w:val="right"/>
              <w:ind w:right="9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1"/>
              </w:rPr>
              <w:t>Average Grant</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Date Fair Value</w:t>
            </w:r>
          </w:p>
        </w:tc>
        <w:tc>
          <w:tcPr>
            <w:tcW w:w="0" w:type="dxa"/>
            <w:vAlign w:val="bottom"/>
          </w:tcPr>
          <w:p>
            <w:pPr>
              <w:spacing w:after="0"/>
              <w:rPr>
                <w:sz w:val="1"/>
                <w:szCs w:val="1"/>
                <w:color w:val="auto"/>
              </w:rPr>
            </w:pPr>
          </w:p>
        </w:tc>
      </w:tr>
      <w:tr>
        <w:trPr>
          <w:trHeight w:val="198"/>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January 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tcPr>
          <w:p>
            <w:pPr>
              <w:spacing w:after="0"/>
              <w:rPr>
                <w:sz w:val="20"/>
                <w:szCs w:val="20"/>
                <w:color w:val="auto"/>
              </w:rPr>
            </w:pPr>
            <w:r>
              <w:rPr>
                <w:rFonts w:ascii="Arial" w:cs="Arial" w:eastAsia="Arial" w:hAnsi="Arial"/>
                <w:sz w:val="16"/>
                <w:szCs w:val="16"/>
                <w:color w:val="auto"/>
              </w:rPr>
              <w:t>PSUs 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1,465,713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PSUs forfeited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(13,650)</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40" w:type="dxa"/>
            <w:vAlign w:val="bottom"/>
          </w:tcPr>
          <w:p>
            <w:pPr>
              <w:spacing w:after="0"/>
              <w:rPr>
                <w:sz w:val="20"/>
                <w:szCs w:val="20"/>
                <w:color w:val="auto"/>
              </w:rPr>
            </w:pPr>
            <w:r>
              <w:rPr>
                <w:rFonts w:ascii="Arial" w:cs="Arial" w:eastAsia="Arial" w:hAnsi="Arial"/>
                <w:sz w:val="16"/>
                <w:szCs w:val="16"/>
                <w:color w:val="auto"/>
              </w:rPr>
              <w:t>PSUs vested</w:t>
            </w:r>
          </w:p>
        </w:tc>
        <w:tc>
          <w:tcPr>
            <w:tcW w:w="1840" w:type="dxa"/>
            <w:vAlign w:val="bottom"/>
            <w:gridSpan w:val="2"/>
          </w:tcPr>
          <w:p>
            <w:pPr>
              <w:jc w:val="right"/>
              <w:ind w:right="240"/>
              <w:spacing w:after="0"/>
              <w:rPr>
                <w:sz w:val="20"/>
                <w:szCs w:val="20"/>
                <w:color w:val="auto"/>
              </w:rPr>
            </w:pPr>
            <w:r>
              <w:rPr>
                <w:rFonts w:ascii="Arial" w:cs="Arial" w:eastAsia="Arial" w:hAnsi="Arial"/>
                <w:sz w:val="16"/>
                <w:szCs w:val="16"/>
                <w:color w:val="auto"/>
              </w:rPr>
              <w:t>(494,608)</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June 30,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957,455</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67" w:lineRule="exact"/>
        <w:rPr>
          <w:sz w:val="20"/>
          <w:szCs w:val="20"/>
          <w:color w:val="auto"/>
        </w:rPr>
      </w:pPr>
    </w:p>
    <w:p>
      <w:pPr>
        <w:jc w:val="both"/>
        <w:ind w:right="420"/>
        <w:spacing w:after="0" w:line="267" w:lineRule="auto"/>
        <w:rPr>
          <w:sz w:val="20"/>
          <w:szCs w:val="20"/>
          <w:color w:val="auto"/>
        </w:rPr>
      </w:pPr>
      <w:r>
        <w:rPr>
          <w:rFonts w:ascii="Arial" w:cs="Arial" w:eastAsia="Arial" w:hAnsi="Arial"/>
          <w:sz w:val="16"/>
          <w:szCs w:val="16"/>
          <w:color w:val="auto"/>
        </w:rPr>
        <w:t>The most recent offering period under the ESPP started on January 1, 2021 and concluded on June 30, 2021. During the year ended December 31, 2020, there were two offering periods. The first offering period began January 1, 2020 and concluded on June 30, 2020. The second offering period began on July 1, 2020 and concluded on December 31, 2020.</w:t>
      </w:r>
    </w:p>
    <w:p>
      <w:pPr>
        <w:spacing w:after="0" w:line="125"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The weighted-average grant-date fair value of the purchase option for each designated share purchased under this plan was approximately $0.75 and $0.57 for the six months ended June 30, 2021 and 2020,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plan of $60,651 and $41,308 for the three months ended June 30, 2021 and 2020, respectively, and the Company recognized compensation expense for the plan of $117,967 and $84,135 for the six months ended June 30, 2021 and 2020,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Company estimated the fair value of ESPP purchase options granted during the six months ended June 30, 2021 and 2020 using the Black-Scholes option pricing model.</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stock options granted were estimated using the following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5"/>
              </w:rPr>
              <w:t>Six Months Ended</w:t>
            </w:r>
          </w:p>
        </w:tc>
        <w:tc>
          <w:tcPr>
            <w:tcW w:w="180" w:type="dxa"/>
            <w:vAlign w:val="bottom"/>
          </w:tcPr>
          <w:p>
            <w:pPr>
              <w:spacing w:after="0"/>
              <w:rPr>
                <w:sz w:val="12"/>
                <w:szCs w:val="1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5"/>
              </w:rPr>
              <w:t>Six Months Ended</w:t>
            </w:r>
          </w:p>
        </w:tc>
      </w:tr>
      <w:tr>
        <w:trPr>
          <w:trHeight w:val="153"/>
        </w:trPr>
        <w:tc>
          <w:tcPr>
            <w:tcW w:w="7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June 30, 2021</w:t>
            </w:r>
          </w:p>
        </w:tc>
        <w:tc>
          <w:tcPr>
            <w:tcW w:w="180" w:type="dxa"/>
            <w:vAlign w:val="bottom"/>
          </w:tcPr>
          <w:p>
            <w:pPr>
              <w:spacing w:after="0"/>
              <w:rPr>
                <w:sz w:val="13"/>
                <w:szCs w:val="13"/>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June 30, 2020</w:t>
            </w:r>
          </w:p>
        </w:tc>
      </w:tr>
      <w:tr>
        <w:trPr>
          <w:trHeight w:val="198"/>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Stock price</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160" w:type="dxa"/>
            <w:vAlign w:val="bottom"/>
            <w:tcBorders>
              <w:top w:val="single" w:sz="8" w:color="CFF0FC"/>
            </w:tcBorders>
            <w:shd w:val="clear" w:color="auto" w:fill="CFF0FC"/>
          </w:tcPr>
          <w:p>
            <w:pPr>
              <w:spacing w:after="0"/>
              <w:rPr>
                <w:sz w:val="17"/>
                <w:szCs w:val="17"/>
                <w:color w:val="auto"/>
              </w:rPr>
            </w:pPr>
          </w:p>
        </w:tc>
      </w:tr>
      <w:tr>
        <w:trPr>
          <w:trHeight w:val="206"/>
        </w:trPr>
        <w:tc>
          <w:tcPr>
            <w:tcW w:w="7640" w:type="dxa"/>
            <w:vAlign w:val="bottom"/>
          </w:tcPr>
          <w:p>
            <w:pPr>
              <w:spacing w:after="0"/>
              <w:rPr>
                <w:sz w:val="20"/>
                <w:szCs w:val="20"/>
                <w:color w:val="auto"/>
              </w:rPr>
            </w:pPr>
            <w:r>
              <w:rPr>
                <w:rFonts w:ascii="Arial" w:cs="Arial" w:eastAsia="Arial" w:hAnsi="Arial"/>
                <w:sz w:val="16"/>
                <w:szCs w:val="16"/>
                <w:color w:val="auto"/>
              </w:rPr>
              <w:t>Dividend yield</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7"/>
                <w:szCs w:val="17"/>
                <w:color w:val="auto"/>
              </w:rPr>
            </w:pPr>
          </w:p>
        </w:tc>
      </w:tr>
      <w:tr>
        <w:trPr>
          <w:trHeight w:val="206"/>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1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95%</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61%</w:t>
            </w:r>
          </w:p>
        </w:tc>
      </w:tr>
      <w:tr>
        <w:trPr>
          <w:trHeight w:val="206"/>
        </w:trPr>
        <w:tc>
          <w:tcPr>
            <w:tcW w:w="76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80" w:type="dxa"/>
            <w:vAlign w:val="bottom"/>
          </w:tcPr>
          <w:p>
            <w:pPr>
              <w:spacing w:after="0"/>
              <w:rPr>
                <w:sz w:val="17"/>
                <w:szCs w:val="17"/>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0.09%</w:t>
            </w:r>
          </w:p>
        </w:tc>
        <w:tc>
          <w:tcPr>
            <w:tcW w:w="18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6"/>
                <w:szCs w:val="16"/>
                <w:color w:val="auto"/>
              </w:rPr>
              <w:t>1.57%</w:t>
            </w:r>
          </w:p>
        </w:tc>
      </w:tr>
      <w:tr>
        <w:trPr>
          <w:trHeight w:val="206"/>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Expected life</w:t>
            </w:r>
          </w:p>
        </w:tc>
        <w:tc>
          <w:tcPr>
            <w:tcW w:w="1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6 months</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 months</w:t>
            </w:r>
          </w:p>
        </w:tc>
      </w:tr>
      <w:tr>
        <w:trPr>
          <w:trHeight w:val="557"/>
        </w:trPr>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102"/>
        </w:trPr>
        <w:tc>
          <w:tcPr>
            <w:tcW w:w="76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Note 6 – Stock-Based Compensation, continued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total stock-based compensation costs recognized for the three and six months ended June 30, 2021 and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3"/>
                <w:szCs w:val="13"/>
                <w:b w:val="1"/>
                <w:bCs w:val="1"/>
                <w:color w:val="auto"/>
              </w:rPr>
              <w:t>Three Months Ended June 30,</w:t>
            </w:r>
          </w:p>
        </w:tc>
        <w:tc>
          <w:tcPr>
            <w:tcW w:w="6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3"/>
                <w:szCs w:val="13"/>
                <w:b w:val="1"/>
                <w:bCs w:val="1"/>
                <w:color w:val="auto"/>
                <w:w w:val="97"/>
              </w:rPr>
              <w:t>Six Months Ended June,</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7"/>
        </w:trPr>
        <w:tc>
          <w:tcPr>
            <w:tcW w:w="3760" w:type="dxa"/>
            <w:vAlign w:val="bottom"/>
            <w:tcBorders>
              <w:bottom w:val="single" w:sz="8" w:color="CFF0FC"/>
            </w:tcBorders>
          </w:tcPr>
          <w:p>
            <w:pPr>
              <w:spacing w:after="0"/>
              <w:rPr>
                <w:sz w:val="11"/>
                <w:szCs w:val="11"/>
                <w:color w:val="auto"/>
              </w:rPr>
            </w:pPr>
          </w:p>
        </w:tc>
        <w:tc>
          <w:tcPr>
            <w:tcW w:w="9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9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CFF0FC"/>
            </w:tcBorders>
          </w:tcPr>
          <w:p>
            <w:pPr>
              <w:spacing w:after="0"/>
              <w:rPr>
                <w:sz w:val="11"/>
                <w:szCs w:val="11"/>
                <w:color w:val="auto"/>
              </w:rPr>
            </w:pPr>
          </w:p>
        </w:tc>
        <w:tc>
          <w:tcPr>
            <w:tcW w:w="9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22"/>
              <w:spacing w:after="0" w:line="138"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1"/>
                <w:szCs w:val="11"/>
                <w:color w:val="auto"/>
              </w:rPr>
            </w:pPr>
          </w:p>
        </w:tc>
      </w:tr>
      <w:tr>
        <w:trPr>
          <w:trHeight w:val="198"/>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RSUs</w:t>
            </w:r>
          </w:p>
        </w:tc>
        <w:tc>
          <w:tcPr>
            <w:tcW w:w="9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1,471,826</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2,028,599</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3,560,736</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4,350,419</w:t>
            </w:r>
          </w:p>
        </w:tc>
        <w:tc>
          <w:tcPr>
            <w:tcW w:w="120" w:type="dxa"/>
            <w:vAlign w:val="bottom"/>
            <w:shd w:val="clear" w:color="auto" w:fill="CFF0FC"/>
          </w:tcPr>
          <w:p>
            <w:pPr>
              <w:spacing w:after="0"/>
              <w:rPr>
                <w:sz w:val="17"/>
                <w:szCs w:val="17"/>
                <w:color w:val="auto"/>
              </w:rPr>
            </w:pPr>
          </w:p>
        </w:tc>
      </w:tr>
      <w:tr>
        <w:trPr>
          <w:trHeight w:val="206"/>
        </w:trPr>
        <w:tc>
          <w:tcPr>
            <w:tcW w:w="3760" w:type="dxa"/>
            <w:vAlign w:val="bottom"/>
          </w:tcPr>
          <w:p>
            <w:pPr>
              <w:spacing w:after="0"/>
              <w:rPr>
                <w:sz w:val="20"/>
                <w:szCs w:val="20"/>
                <w:color w:val="auto"/>
              </w:rPr>
            </w:pPr>
            <w:r>
              <w:rPr>
                <w:rFonts w:ascii="Arial" w:cs="Arial" w:eastAsia="Arial" w:hAnsi="Arial"/>
                <w:sz w:val="16"/>
                <w:szCs w:val="16"/>
                <w:color w:val="auto"/>
              </w:rPr>
              <w:t>PSUs</w:t>
            </w: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2,695,847</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2,695,847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(88,348)</w:t>
            </w:r>
          </w:p>
        </w:tc>
      </w:tr>
      <w:tr>
        <w:trPr>
          <w:trHeight w:val="206"/>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ESPP</w:t>
            </w:r>
          </w:p>
        </w:tc>
        <w:tc>
          <w:tcPr>
            <w:tcW w:w="9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60,651</w:t>
            </w:r>
          </w:p>
        </w:tc>
        <w:tc>
          <w:tcPr>
            <w:tcW w:w="28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41,308</w:t>
            </w:r>
          </w:p>
        </w:tc>
        <w:tc>
          <w:tcPr>
            <w:tcW w:w="30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117,967</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84,135</w:t>
            </w:r>
          </w:p>
        </w:tc>
        <w:tc>
          <w:tcPr>
            <w:tcW w:w="120" w:type="dxa"/>
            <w:vAlign w:val="bottom"/>
            <w:shd w:val="clear" w:color="auto" w:fill="CFF0FC"/>
          </w:tcPr>
          <w:p>
            <w:pPr>
              <w:spacing w:after="0"/>
              <w:rPr>
                <w:sz w:val="17"/>
                <w:szCs w:val="17"/>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ind w:right="79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4,228,324</w:t>
            </w: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2,069,907</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ind w:right="81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6,374,550</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4,346,206</w:t>
            </w:r>
          </w:p>
        </w:tc>
        <w:tc>
          <w:tcPr>
            <w:tcW w:w="120" w:type="dxa"/>
            <w:vAlign w:val="bottom"/>
          </w:tcPr>
          <w:p>
            <w:pPr>
              <w:spacing w:after="0"/>
              <w:rPr>
                <w:sz w:val="17"/>
                <w:szCs w:val="17"/>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stock-based compensation was reflected within the statements of operations as: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3"/>
                <w:szCs w:val="13"/>
                <w:b w:val="1"/>
                <w:bCs w:val="1"/>
                <w:color w:val="auto"/>
              </w:rPr>
              <w:t>Three Months Ended June 30,</w:t>
            </w:r>
          </w:p>
        </w:tc>
        <w:tc>
          <w:tcPr>
            <w:tcW w:w="6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3"/>
              </w:rPr>
              <w:t>Six Months Ended June 30,</w:t>
            </w: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3640" w:type="dxa"/>
            <w:vAlign w:val="bottom"/>
            <w:tcBorders>
              <w:bottom w:val="single" w:sz="8" w:color="CFF0FC"/>
            </w:tcBorders>
          </w:tcPr>
          <w:p>
            <w:pPr>
              <w:spacing w:after="0"/>
              <w:rPr>
                <w:sz w:val="11"/>
                <w:szCs w:val="11"/>
                <w:color w:val="auto"/>
              </w:rPr>
            </w:pPr>
          </w:p>
        </w:tc>
        <w:tc>
          <w:tcPr>
            <w:tcW w:w="9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1"/>
                <w:szCs w:val="11"/>
                <w:color w:val="auto"/>
              </w:rPr>
            </w:pPr>
          </w:p>
        </w:tc>
        <w:tc>
          <w:tcPr>
            <w:tcW w:w="30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62"/>
              <w:spacing w:after="0" w:line="138"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1"/>
                <w:szCs w:val="11"/>
                <w:color w:val="auto"/>
              </w:rPr>
            </w:pPr>
          </w:p>
        </w:tc>
      </w:tr>
      <w:tr>
        <w:trPr>
          <w:trHeight w:val="198"/>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900" w:type="dxa"/>
            <w:vAlign w:val="bottom"/>
            <w:shd w:val="clear" w:color="auto" w:fill="CFF0FC"/>
          </w:tcPr>
          <w:p>
            <w:pPr>
              <w:jc w:val="right"/>
              <w:ind w:right="75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2,517,233</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1,032,049</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3,666,510</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2,133,027</w:t>
            </w:r>
          </w:p>
        </w:tc>
        <w:tc>
          <w:tcPr>
            <w:tcW w:w="140" w:type="dxa"/>
            <w:vAlign w:val="bottom"/>
            <w:shd w:val="clear" w:color="auto" w:fill="CFF0FC"/>
          </w:tcPr>
          <w:p>
            <w:pPr>
              <w:spacing w:after="0"/>
              <w:rPr>
                <w:sz w:val="17"/>
                <w:szCs w:val="17"/>
                <w:color w:val="auto"/>
              </w:rPr>
            </w:pPr>
          </w:p>
        </w:tc>
      </w:tr>
      <w:tr>
        <w:trPr>
          <w:trHeight w:val="206"/>
        </w:trPr>
        <w:tc>
          <w:tcPr>
            <w:tcW w:w="3640" w:type="dxa"/>
            <w:vAlign w:val="bottom"/>
          </w:tcPr>
          <w:p>
            <w:pPr>
              <w:spacing w:after="0"/>
              <w:rPr>
                <w:sz w:val="20"/>
                <w:szCs w:val="20"/>
                <w:color w:val="auto"/>
              </w:rPr>
            </w:pPr>
            <w:r>
              <w:rPr>
                <w:rFonts w:ascii="Arial" w:cs="Arial" w:eastAsia="Arial" w:hAnsi="Arial"/>
                <w:sz w:val="16"/>
                <w:szCs w:val="16"/>
                <w:color w:val="auto"/>
              </w:rPr>
              <w:t>Sales and marketing</w:t>
            </w:r>
          </w:p>
        </w:tc>
        <w:tc>
          <w:tcPr>
            <w:tcW w:w="9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1,032,414</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440,335</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1,481,361</w:t>
            </w: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804,793</w:t>
            </w:r>
          </w:p>
        </w:tc>
        <w:tc>
          <w:tcPr>
            <w:tcW w:w="140" w:type="dxa"/>
            <w:vAlign w:val="bottom"/>
          </w:tcPr>
          <w:p>
            <w:pPr>
              <w:spacing w:after="0"/>
              <w:rPr>
                <w:sz w:val="17"/>
                <w:szCs w:val="17"/>
                <w:color w:val="auto"/>
              </w:rPr>
            </w:pPr>
          </w:p>
        </w:tc>
      </w:tr>
      <w:tr>
        <w:trPr>
          <w:trHeight w:val="206"/>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678,677</w:t>
            </w:r>
          </w:p>
        </w:tc>
        <w:tc>
          <w:tcPr>
            <w:tcW w:w="300" w:type="dxa"/>
            <w:vAlign w:val="bottom"/>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597,523</w:t>
            </w:r>
          </w:p>
        </w:tc>
        <w:tc>
          <w:tcPr>
            <w:tcW w:w="30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2"/>
              </w:rPr>
              <w:t>1,226,679</w:t>
            </w:r>
          </w:p>
        </w:tc>
        <w:tc>
          <w:tcPr>
            <w:tcW w:w="300" w:type="dxa"/>
            <w:vAlign w:val="bottom"/>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1,408,386</w:t>
            </w:r>
          </w:p>
        </w:tc>
        <w:tc>
          <w:tcPr>
            <w:tcW w:w="140" w:type="dxa"/>
            <w:vAlign w:val="bottom"/>
            <w:shd w:val="clear" w:color="auto" w:fill="CFF0FC"/>
          </w:tcPr>
          <w:p>
            <w:pPr>
              <w:spacing w:after="0"/>
              <w:rPr>
                <w:sz w:val="17"/>
                <w:szCs w:val="17"/>
                <w:color w:val="auto"/>
              </w:rPr>
            </w:pPr>
          </w:p>
        </w:tc>
      </w:tr>
      <w:tr>
        <w:trPr>
          <w:trHeight w:val="198"/>
        </w:trPr>
        <w:tc>
          <w:tcPr>
            <w:tcW w:w="3640" w:type="dxa"/>
            <w:vAlign w:val="bottom"/>
          </w:tcPr>
          <w:p>
            <w:pPr>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5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4,228,324</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2,069,907</w:t>
            </w:r>
          </w:p>
        </w:tc>
        <w:tc>
          <w:tcPr>
            <w:tcW w:w="30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6,374,550</w:t>
            </w:r>
          </w:p>
        </w:tc>
        <w:tc>
          <w:tcPr>
            <w:tcW w:w="300" w:type="dxa"/>
            <w:vAlign w:val="bottom"/>
          </w:tcPr>
          <w:p>
            <w:pPr>
              <w:spacing w:after="0"/>
              <w:rPr>
                <w:sz w:val="17"/>
                <w:szCs w:val="17"/>
                <w:color w:val="auto"/>
              </w:rPr>
            </w:pPr>
          </w:p>
        </w:tc>
        <w:tc>
          <w:tcPr>
            <w:tcW w:w="6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4,346,206</w:t>
            </w:r>
          </w:p>
        </w:tc>
        <w:tc>
          <w:tcPr>
            <w:tcW w:w="140" w:type="dxa"/>
            <w:vAlign w:val="bottom"/>
          </w:tcPr>
          <w:p>
            <w:pPr>
              <w:spacing w:after="0"/>
              <w:rPr>
                <w:sz w:val="17"/>
                <w:szCs w:val="17"/>
                <w:color w:val="auto"/>
              </w:rPr>
            </w:pPr>
          </w:p>
        </w:tc>
      </w:tr>
      <w:tr>
        <w:trPr>
          <w:trHeight w:val="20"/>
        </w:trPr>
        <w:tc>
          <w:tcPr>
            <w:tcW w:w="3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Related Party Transactions</w:t>
      </w:r>
    </w:p>
    <w:p>
      <w:pPr>
        <w:spacing w:after="0" w:line="183"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 xml:space="preserve">In November 2016, the Company and Dialog entered into an alliance agreement for the manufacture, distribution and commercialization of products incorporating the Company’s wire-free charging technology (See Note 4 – Commitments and Contingencies, </w:t>
      </w:r>
      <w:r>
        <w:rPr>
          <w:rFonts w:ascii="Arial" w:cs="Arial" w:eastAsia="Arial" w:hAnsi="Arial"/>
          <w:sz w:val="15"/>
          <w:szCs w:val="15"/>
          <w:i w:val="1"/>
          <w:iCs w:val="1"/>
          <w:color w:val="auto"/>
        </w:rPr>
        <w:t>Strategic Alliance Agreement</w:t>
      </w:r>
      <w:r>
        <w:rPr>
          <w:rFonts w:ascii="Arial" w:cs="Arial" w:eastAsia="Arial" w:hAnsi="Arial"/>
          <w:sz w:val="15"/>
          <w:szCs w:val="15"/>
          <w:color w:val="auto"/>
        </w:rPr>
        <w:t>). On November 7, 2016 and June 28, 2017, the Company and Dialog entered into securities purchase agreements under which Dialog acquired a total of 1,739,691 shares and received warrants to purchase up to 1,417,565 shares. As of June 30, 2021, none of the warrants remain outstanding. As of June 30, 2021, Dialog owns approximately 2.8% of the Company’s outstanding common shares. The Company recorded $0 and $0 for the three months ended June 30, 2021 and 2020, respectively, and $0 and $0 in for the six months ended June 30, 2021 and 2020, respectively, in royalty revenue. Additionally, the Company recorded $0 and $89,375 in contract services revenue performed by Dialog during the three months ended June 30, 2021 and 2020, respectively, and the Company recorded $0 and $130,000 in contract services revenue performed by Dialog during the six months ended June 30, 2021 and 2020, respectively. The Company recorded $0 and $86,995 in cost of services revenue associated with contract services performed for Dialog during the three months ended June 30, 2021 and 2020, respectively, and the Company recorded $0 and $126,539 in cost of services revenue associated with contract services performed for Dialog during the six months ended June 30, 2021 and 2020, respectively. Additionally, the Company incurred $183,000 and $0 in chip development expense from Dialog, during the three months ended June 30, 2021 and 2020, respectively, and the Company incurred $183,000 and $0 in chip development expense from Dialog during the six months ended June 30, 2021 and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Customer Concentrations</w:t>
      </w:r>
    </w:p>
    <w:p>
      <w:pPr>
        <w:spacing w:after="0" w:line="23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Three customers accounted for approximately 64% of the Company’s revenue for the three months ended June 30, 2021, and two customers accounted for approximately 96% of the Company’s revenue for the three months ended June 30, 2020. Four customers accounted for approximately 72% of the Company’s revenue for the six months ended June 30, 2021, and two customers accounted for approximately 85% of the Company’s revenue for the six months ended June 30, 2020. Three customers accounted for approximately 62% of the accounts receivable balance as of June 30, 2021. Four customers accounted for approximately 92% of the accounts receivable balance as of December 31, 2020.</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Note 9 – Subsequent Event</w:t>
      </w:r>
    </w:p>
    <w:p>
      <w:pPr>
        <w:spacing w:after="0" w:line="23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On July 9, 2021, the Company announced that Stephen R. Rizzone has retired from his position as the Company’s President and Chief Executive Officer and as a member of the Board.</w:t>
      </w:r>
    </w:p>
    <w:p>
      <w:pPr>
        <w:spacing w:after="0" w:line="175" w:lineRule="exact"/>
        <w:rPr>
          <w:sz w:val="20"/>
          <w:szCs w:val="20"/>
          <w:color w:val="auto"/>
        </w:rPr>
      </w:pPr>
    </w:p>
    <w:p>
      <w:pPr>
        <w:ind w:right="120"/>
        <w:spacing w:after="0" w:line="298" w:lineRule="auto"/>
        <w:rPr>
          <w:sz w:val="20"/>
          <w:szCs w:val="20"/>
          <w:color w:val="auto"/>
        </w:rPr>
      </w:pPr>
      <w:r>
        <w:rPr>
          <w:rFonts w:ascii="Arial" w:cs="Arial" w:eastAsia="Arial" w:hAnsi="Arial"/>
          <w:sz w:val="14"/>
          <w:szCs w:val="14"/>
          <w:color w:val="auto"/>
        </w:rPr>
        <w:t>In connection with Mr. Rizzone’s retirement, the Company and Mr. Rizzone entered into an Executive Transition Agreement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restricted stock units and an extension of the exercise periods of all stock options held by Mr. Rizzone until the one year anniversary of his termination date, and additional benefits related to Mr. Rizzone’s medical insurance. In addition, the Company will pay-off all amounts owed under a lease agreement relating to a Company Car and Mr. Rizzone will receive the title to the vehicle. All compensation under the Separation Agreement will be subject to applicable withholding.</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8" w:name="page19"/>
    <w:bookmarkEnd w:id="18"/>
    <w:p>
      <w:pPr>
        <w:ind w:right="4560"/>
        <w:spacing w:after="0" w:line="468"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the impact of COVID-19 on our business and our response to it; and expectations for revenues, liquidity cash flows and financial performance, the anticipated results of our research and development efforts, the timing for receipt of required regulatory approvals and product launches.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developed our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In November 2016 we entered into a Strategic Alliance Agreement with Dialog Semiconductor plc (“Dialog”), an industry leader in Bluetooth low energy semiconductors and power management semiconductors. In conjunction with the Strategic Alliance Agreement, Dialog manufactures and is the exclusive distributor of integrated circuit (“IC”) products that incorporate our designs and provides sales and logistic support to customers on a global basis. We believe our proprietary WattUp technologies are well suited for many applications, including building and home automation, electronic shelf labels, industrial IoT sensors, surface and implanted medical devices, tracking devices, hearables, wearables, consumer electronics, public safety and military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96"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We believe our technology is innovative in its approach, in that we are developing solutions that charge electronic devices with an RF energy zone. We are developing solutions that deliver wire-free energy for near field charging applications and are also developing at-a-distance charging at distances up to approximately three feet, as well as low-power charging for distances up to 15 feet and beyond, some of which involve mobility charging.</w:t>
      </w:r>
    </w:p>
    <w:p>
      <w:pPr>
        <w:spacing w:after="0" w:line="185" w:lineRule="exact"/>
        <w:rPr>
          <w:sz w:val="20"/>
          <w:szCs w:val="20"/>
          <w:color w:val="auto"/>
        </w:rPr>
      </w:pPr>
    </w:p>
    <w:p>
      <w:pPr>
        <w:ind w:right="20"/>
        <w:spacing w:after="0" w:line="322" w:lineRule="auto"/>
        <w:rPr>
          <w:sz w:val="20"/>
          <w:szCs w:val="20"/>
          <w:color w:val="auto"/>
        </w:rPr>
      </w:pPr>
      <w:r>
        <w:rPr>
          <w:rFonts w:ascii="Arial" w:cs="Arial" w:eastAsia="Arial" w:hAnsi="Arial"/>
          <w:sz w:val="14"/>
          <w:szCs w:val="14"/>
          <w:color w:val="auto"/>
        </w:rPr>
        <w:t>To-date, we have developed multiple transmitters and receivers, including prototypes as well as partner production designs. The transmitters vary based on form factor, power specifications and frequencies, while the receivers are designed for applications including Bluetooth tracking tags, IoT sensors, hearing aids, electronic shelf labels, fitness bands, health sensors and devices, smartwatches, smartphones, smartglasses, industrial applications, keyboards, mice, headsets, earbuds, headphones, and more.</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 w:name="page20"/>
    <w:bookmarkEnd w:id="19"/>
    <w:p>
      <w:pPr>
        <w:jc w:val="both"/>
        <w:ind w:right="20"/>
        <w:spacing w:after="0" w:line="285" w:lineRule="auto"/>
        <w:rPr>
          <w:sz w:val="20"/>
          <w:szCs w:val="20"/>
          <w:color w:val="auto"/>
        </w:rPr>
      </w:pPr>
      <w:r>
        <w:rPr>
          <w:rFonts w:ascii="Arial" w:cs="Arial" w:eastAsia="Arial" w:hAnsi="Arial"/>
          <w:sz w:val="15"/>
          <w:szCs w:val="15"/>
          <w:color w:val="auto"/>
        </w:rPr>
        <w:t>We have engagements with companies in the consumer electronics (CE), industrial, military and medical device markets that are in the both evaluation and product cycle pre-production stages of integrating WattUp-technology into devices being developed for the end-user. The first end product featuring our technology entered the market in 2019 and we expect additional WattUp enabled products to be announced and launched in 2021. We are also in discussions with potential customers in the consumer and industrial spaces that are considering our solutions to supply low power distance charging for products that could enter the market in 2022.</w:t>
      </w:r>
    </w:p>
    <w:p>
      <w:pPr>
        <w:spacing w:after="0" w:line="174" w:lineRule="exact"/>
        <w:rPr>
          <w:sz w:val="20"/>
          <w:szCs w:val="20"/>
          <w:color w:val="auto"/>
        </w:rPr>
      </w:pPr>
    </w:p>
    <w:p>
      <w:pPr>
        <w:ind w:right="200"/>
        <w:spacing w:after="0" w:line="285" w:lineRule="auto"/>
        <w:rPr>
          <w:sz w:val="20"/>
          <w:szCs w:val="20"/>
          <w:color w:val="auto"/>
        </w:rPr>
      </w:pPr>
      <w:r>
        <w:rPr>
          <w:rFonts w:ascii="Arial" w:cs="Arial" w:eastAsia="Arial" w:hAnsi="Arial"/>
          <w:sz w:val="15"/>
          <w:szCs w:val="15"/>
          <w:color w:val="auto"/>
        </w:rPr>
        <w:t>In December 2017, we announced Federal Communications Commission (“FCC”) certification of our first-generation WattUp Mid Field transmitter, which simultaneously powers multiple devices at a distance of up to three feet. This transmitter underwent rigorous, multi-month testing to verify that it met consumer safety and regulatory requirements. We believe this was the first certification of a Part 18 FCC-approved non-contact wireless charging transmitter, and that it establishes engineering design precedents that can streamline future regulatory approvals for our technology and for our customers’ end-products that employ our technology.</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Our technology solution consists principally of transmitter controller ICs, power amplifier ICs and receiver ICs, as well as novel antenna designs, application prototypes and proprietary software algorithms. We submitted our first IC design for wafer fabrication in 2013 and since then have developed subsequent generations of transmitter and receiver ICs, antenna designs, and software algorithms. We have endeavored to optimize our technology by reducing size and cost, while at the same time increasing performance which enables our designs to be integrated into a broad range of devices. We have developed a “building block” approach that allows us to scale our product implementations by combining multiple transmitter building blocks or multiple receiver building blocks to meet the power, distance, size and cost requirements of customer applications requirements. Our technology is readily scalable because the same ICs that are used for contact-based charging can be used for distance-based charging solutions. We have developed two classes of chip solutions, a CMOS-based technology focused on low cost, small footprint and low power (1 watt) and a GaAs/GaN-based technology capable of delivering higher power (greater than 1 watt) with greater efficiency. We intend to continue to invest in research and development with high power capabilities of 20 watts and beyond at high levels of efficiency. We also intend to continue to invest in improving product performance, efficiency, cost-performance, integration and miniaturization as required to reach multiple markets and expand the power-at-a-distance ecosystem, while maintaining a technology lead on potential competitors.</w:t>
      </w:r>
    </w:p>
    <w:p>
      <w:pPr>
        <w:spacing w:after="0" w:line="200"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color w:val="auto"/>
        </w:rPr>
        <w:t>We sell evaluation kits to potential customers of our technology, to allow their respective engineering and product management departments to test and evaluate the technology. Our customers’ product development, technology integration and product introduction cycles occur over multiple quarters and generally span a period of more than a year to two years and can elapse before first evaluation and final shipment of the customer’s product. Once our customers begin to sell products to end customers that incorporate our technology, we would expect the commercialization cycle to shorten over time as the technology matures and market acceptance grows.</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color w:val="auto"/>
        </w:rPr>
        <w:t>We maintain the rights to all intellectual property in our technology. We have implemented an aggressive intellectual property strategy and are continuing to pursue patent protection for new innovations. As of July 30, 2021, the Energous IP portfolio contained 240 awarded patents in the United States, which are organized along five (5) critical paths to implementation that we believe a competitor may have to navigate to commercialize WPT technology. The paths are: Processing Algorithms, Antenna Designs, Transmitter and Receiver ASICs, Other Software Controls (e.g., Bluetoothâ Management and Hardware (e.g., Board Layout). In addition to the inventions covered by these patents, we have also identified specific inventions that we believe are novel and patentable. We intend to file for patent protection for the most valuable of these, and for other inventions that we expect to develop. This is a significant annual expense and we continually monitor the costs and benefits of each patent application and pursue those that we believe are most protective for our business and expand the core value of the Company.</w:t>
      </w:r>
    </w:p>
    <w:p>
      <w:pPr>
        <w:spacing w:after="0" w:line="18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Our seasoned management team has both private and public company experience, as well as relevant industry experience. In addition, we have identified and hired key engineering resources in the areas of IC development, antenna development, hardware, software and firmware engineering as well as integration and testing, which will allow us to continue to expand our technology and intellectual property and to meet our customers’ support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COVID-19 on Our Business</w:t>
      </w:r>
    </w:p>
    <w:p>
      <w:pPr>
        <w:spacing w:after="0" w:line="16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In March 2020, the World Health Organization declared the outbreak of COVID-19 as a pandemic. The pandemic continues to affect the United States and the world. We are monitoring the ongoing effects of COVID-19 (including continued outbreaks) and the related business and travel restrictions and changes to behavior intended to reduce its spread, and its impact on our operations, financial position, cash flows, inventory, supply chains, global regulatory approvals, purchasing trends, customer payments, and the industry in general, in addition to the impact on our employees.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0" w:name="page21"/>
    <w:bookmarkEnd w:id="20"/>
    <w:p>
      <w:pPr>
        <w:spacing w:after="0" w:line="295" w:lineRule="auto"/>
        <w:rPr>
          <w:sz w:val="20"/>
          <w:szCs w:val="20"/>
          <w:color w:val="auto"/>
        </w:rPr>
      </w:pPr>
      <w:r>
        <w:rPr>
          <w:rFonts w:ascii="Arial" w:cs="Arial" w:eastAsia="Arial" w:hAnsi="Arial"/>
          <w:sz w:val="14"/>
          <w:szCs w:val="14"/>
          <w:color w:val="auto"/>
        </w:rPr>
        <w:t>The COVID-19 pandemic has delayed adoption of our technology by potential customers who have experienced workforce and supply chain disruptions, and who continue to evaluate their future prospects and business models, including partnerships with us. For example, in one case, the pandemic delayed the spring launch of a new product that incorporates our technology. Further delays in this or other products could result from the ongoing pandemic. These changes are due in part to changes in how business is conducted as a result of the pandemic, including state executive orders, local shelter-in-place orders, government-imposed quarantines and work-from-home policies in China, the United States, and elsewhere. We have implemented work-from-home policies for our employees that will likely be in place through the end of the year and possibly longer.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Several vaccines have been approved for use since the fourth quarter of 2020, with vaccination rates increasing through early 2021. Several new variants of COVID-19 have emerged including the “delta” variant, which is now widespread, and may be more transmissible than other variants. Vaccines approved to date have lower efficacy in combating the transmission of some of these new variants, though vaccines appear to protect against severe illness. Due to the continuing developments and fluidity of this situation, the magnitude and duration of the pandemic and its impact on our operations and liquidity are still uncertain as of the date of this report.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Estimates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2018 we adopted Accounting Standards Update No. 2014-09, "Revenue from Contracts with Customers" (Topic 606).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Topic 606, we recognize revenue using the following five-step approach:</w:t>
      </w:r>
    </w:p>
    <w:p>
      <w:pPr>
        <w:spacing w:after="0" w:line="119" w:lineRule="exact"/>
        <w:rPr>
          <w:sz w:val="20"/>
          <w:szCs w:val="20"/>
          <w:color w:val="auto"/>
        </w:rPr>
      </w:pPr>
    </w:p>
    <w:p>
      <w:pPr>
        <w:ind w:left="860" w:hanging="427"/>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the contract with a customer.</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the performance obligations in the contract.</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Determine the transaction price of the contract.</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Recognize revenue when the performance obligations are met or delivered.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Our revenue currently consists of product development projects revenue and royalty revenue from Dialog. We also provide contract services for Dialog.</w:t>
      </w:r>
    </w:p>
    <w:p>
      <w:pPr>
        <w:spacing w:after="0" w:line="167" w:lineRule="exact"/>
        <w:rPr>
          <w:sz w:val="20"/>
          <w:szCs w:val="20"/>
          <w:color w:val="auto"/>
        </w:rPr>
      </w:pPr>
    </w:p>
    <w:p>
      <w:pPr>
        <w:ind w:right="140"/>
        <w:spacing w:after="0" w:line="281" w:lineRule="auto"/>
        <w:rPr>
          <w:sz w:val="20"/>
          <w:szCs w:val="20"/>
          <w:color w:val="auto"/>
        </w:rPr>
      </w:pPr>
      <w:r>
        <w:rPr>
          <w:rFonts w:ascii="Arial" w:cs="Arial" w:eastAsia="Arial" w:hAnsi="Arial"/>
          <w:sz w:val="15"/>
          <w:szCs w:val="15"/>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17" w:lineRule="exact"/>
        <w:rPr>
          <w:sz w:val="20"/>
          <w:szCs w:val="20"/>
          <w:color w:val="auto"/>
        </w:rPr>
      </w:pPr>
    </w:p>
    <w:p>
      <w:pPr>
        <w:ind w:right="720"/>
        <w:spacing w:after="0" w:line="281" w:lineRule="auto"/>
        <w:rPr>
          <w:sz w:val="20"/>
          <w:szCs w:val="20"/>
          <w:color w:val="auto"/>
        </w:rPr>
      </w:pPr>
      <w:r>
        <w:rPr>
          <w:rFonts w:ascii="Arial" w:cs="Arial" w:eastAsia="Arial" w:hAnsi="Arial"/>
          <w:sz w:val="16"/>
          <w:szCs w:val="16"/>
          <w:color w:val="auto"/>
        </w:rPr>
        <w:t>We record royalty revenue from our manufacturing partner, Dialog, and such royalty revenue is recognized at a point in time based on shipments from Dialog to its customers.</w:t>
      </w:r>
    </w:p>
    <w:p>
      <w:pPr>
        <w:spacing w:after="0" w:line="12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We recognize contract services revenue from Dialog over a period of time as the services are performed. The costs associated with this revenue are recognized as the services are performed and are included in cost of services revenue.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w:t>
      </w:r>
    </w:p>
    <w:p>
      <w:pPr>
        <w:spacing w:after="0" w:line="166"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21" w:name="page22"/>
    <w:bookmarkEnd w:id="21"/>
    <w:p>
      <w:pPr>
        <w:ind w:right="100"/>
        <w:spacing w:after="0" w:line="355" w:lineRule="auto"/>
        <w:rPr>
          <w:sz w:val="20"/>
          <w:szCs w:val="20"/>
          <w:color w:val="auto"/>
        </w:rPr>
      </w:pPr>
      <w:r>
        <w:rPr>
          <w:rFonts w:ascii="Arial" w:cs="Arial" w:eastAsia="Arial" w:hAnsi="Arial"/>
          <w:sz w:val="14"/>
          <w:szCs w:val="14"/>
          <w:color w:val="auto"/>
        </w:rPr>
        <w:t>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June 30, 2021 and 2020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During the three months ended June 30, 2021 and 2020, we recorded revenue of $184,960 and $114,375, respectively.</w:t>
      </w:r>
    </w:p>
    <w:p>
      <w:pPr>
        <w:spacing w:after="0" w:line="167" w:lineRule="exact"/>
        <w:rPr>
          <w:sz w:val="20"/>
          <w:szCs w:val="20"/>
          <w:color w:val="auto"/>
        </w:rPr>
      </w:pPr>
    </w:p>
    <w:p>
      <w:pPr>
        <w:ind w:right="60"/>
        <w:spacing w:after="0" w:line="316" w:lineRule="auto"/>
        <w:rPr>
          <w:sz w:val="20"/>
          <w:szCs w:val="20"/>
          <w:color w:val="auto"/>
        </w:rPr>
      </w:pPr>
      <w:r>
        <w:rPr>
          <w:rFonts w:ascii="Arial" w:cs="Arial" w:eastAsia="Arial" w:hAnsi="Arial"/>
          <w:sz w:val="15"/>
          <w:szCs w:val="15"/>
          <w:i w:val="1"/>
          <w:iCs w:val="1"/>
          <w:color w:val="auto"/>
        </w:rPr>
        <w:t xml:space="preserve">Operating Expenses and Loss from Operations. </w:t>
      </w:r>
      <w:r>
        <w:rPr>
          <w:rFonts w:ascii="Arial" w:cs="Arial" w:eastAsia="Arial" w:hAnsi="Arial"/>
          <w:sz w:val="15"/>
          <w:szCs w:val="15"/>
          <w:color w:val="auto"/>
        </w:rPr>
        <w:t>Operating expenses are made up of research and development, sales and marketing, general and administrative expenses and</w:t>
      </w:r>
      <w:r>
        <w:rPr>
          <w:rFonts w:ascii="Arial" w:cs="Arial" w:eastAsia="Arial" w:hAnsi="Arial"/>
          <w:sz w:val="15"/>
          <w:szCs w:val="15"/>
          <w:i w:val="1"/>
          <w:iCs w:val="1"/>
          <w:color w:val="auto"/>
        </w:rPr>
        <w:t xml:space="preserve"> </w:t>
      </w:r>
      <w:r>
        <w:rPr>
          <w:rFonts w:ascii="Arial" w:cs="Arial" w:eastAsia="Arial" w:hAnsi="Arial"/>
          <w:sz w:val="15"/>
          <w:szCs w:val="15"/>
          <w:color w:val="auto"/>
        </w:rPr>
        <w:t>cost of services revenue. Losses from operations for the three months ended June 30, 2021 and 2020 were $11,016,839 and $8,212,640, respectively.</w:t>
      </w:r>
    </w:p>
    <w:p>
      <w:pPr>
        <w:spacing w:after="0" w:line="10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i w:val="1"/>
          <w:iCs w:val="1"/>
          <w:color w:val="auto"/>
        </w:rPr>
        <w:t xml:space="preserve">Research and Development Costs. </w:t>
      </w:r>
      <w:r>
        <w:rPr>
          <w:rFonts w:ascii="Arial" w:cs="Arial" w:eastAsia="Arial" w:hAnsi="Arial"/>
          <w:sz w:val="16"/>
          <w:szCs w:val="16"/>
          <w:color w:val="auto"/>
        </w:rPr>
        <w:t>Research and development costs were $6,103,694 and $4,330,433, respectively, for the three months ended June 30, 2021 and 2020.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$1,773,261 is primarily due to a $1,469,281 increase in compensation, consisting of a $1,485,184 increase in stock-based compensation from the recognition of performance share units (“PSU”) award expense, offset by a $15,903 decrease in payroll costs, a $281,725 increase in engineering supplies, components and chip development costs due to project timing and a $51,174 increase in consulting and third-party services.</w:t>
      </w:r>
    </w:p>
    <w:p>
      <w:pPr>
        <w:spacing w:after="0" w:line="129"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i w:val="1"/>
          <w:iCs w:val="1"/>
          <w:color w:val="auto"/>
        </w:rPr>
        <w:t xml:space="preserve">Sales and Marketing Costs. </w:t>
      </w:r>
      <w:r>
        <w:rPr>
          <w:rFonts w:ascii="Arial" w:cs="Arial" w:eastAsia="Arial" w:hAnsi="Arial"/>
          <w:sz w:val="16"/>
          <w:szCs w:val="16"/>
          <w:color w:val="auto"/>
        </w:rPr>
        <w:t>Sales and marketing costs for the three months ended June 30, 2021 and 2020 were $2,441,357 and $1,438,904, respectively. The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$1,002,453 is primarily due to a $753,103 increase in compensation, consisting of a $592,079 increase in stock-based compensation from the recognition of PSU award expense and a $161,024 increase in payroll costs from a higher headcount within the department, an $87,415 increase in public relations, consulting and third-party services expense and a $73,137 increase in legal fees pertaining to marketing and trademarks.</w:t>
      </w:r>
    </w:p>
    <w:p>
      <w:pPr>
        <w:spacing w:after="0" w:line="1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costs for the three months ended June 30, 2021 and 2020 were $2,656,748 and $2,470,683,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of $186,065 is primarily due to a $109,837 increase in compensation, consisting of an $81,154 increase in stock-based compensation and a $28,683 increase in payroll costs, a $107,643 increase in annual stockholder meeting costs, a $48,975 increase in insurance premiums, a $36,808 increase in accounting and auditing fees and a $30,869 increase in software and general office expense, partially offset by $78,120 decrease in legal fees and a $69,935 decrease in investor relations, consulting and third-party services.</w:t>
      </w:r>
    </w:p>
    <w:p>
      <w:pPr>
        <w:spacing w:after="0" w:line="146"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for the three months ended June 30, 2021 was $1,010 as compared to interest income of $7,974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decrease of $6,964 is primarily due to lower savings interest rates.</w:t>
      </w:r>
    </w:p>
    <w:p>
      <w:pPr>
        <w:spacing w:after="0" w:line="114"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As a result of the above, net loss for the three months ended June 30, 2021 was $11,015,829 as compared to $8,204,666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2021 and 2020</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During the six months ended June 30, 2021 and 2020, we recorded revenue of $330,025 and $175,850, respectively.</w:t>
      </w:r>
    </w:p>
    <w:p>
      <w:pPr>
        <w:spacing w:after="0" w:line="167" w:lineRule="exact"/>
        <w:rPr>
          <w:sz w:val="20"/>
          <w:szCs w:val="20"/>
          <w:color w:val="auto"/>
        </w:rPr>
      </w:pPr>
    </w:p>
    <w:p>
      <w:pPr>
        <w:ind w:right="60"/>
        <w:spacing w:after="0" w:line="316" w:lineRule="auto"/>
        <w:rPr>
          <w:sz w:val="20"/>
          <w:szCs w:val="20"/>
          <w:color w:val="auto"/>
        </w:rPr>
      </w:pPr>
      <w:r>
        <w:rPr>
          <w:rFonts w:ascii="Arial" w:cs="Arial" w:eastAsia="Arial" w:hAnsi="Arial"/>
          <w:sz w:val="15"/>
          <w:szCs w:val="15"/>
          <w:i w:val="1"/>
          <w:iCs w:val="1"/>
          <w:color w:val="auto"/>
        </w:rPr>
        <w:t xml:space="preserve">Operating Expenses and Loss from Operations. </w:t>
      </w:r>
      <w:r>
        <w:rPr>
          <w:rFonts w:ascii="Arial" w:cs="Arial" w:eastAsia="Arial" w:hAnsi="Arial"/>
          <w:sz w:val="15"/>
          <w:szCs w:val="15"/>
          <w:color w:val="auto"/>
        </w:rPr>
        <w:t>Operating expenses are made up of research and development, sales and marketing, general and administrative expenses and</w:t>
      </w:r>
      <w:r>
        <w:rPr>
          <w:rFonts w:ascii="Arial" w:cs="Arial" w:eastAsia="Arial" w:hAnsi="Arial"/>
          <w:sz w:val="15"/>
          <w:szCs w:val="15"/>
          <w:i w:val="1"/>
          <w:iCs w:val="1"/>
          <w:color w:val="auto"/>
        </w:rPr>
        <w:t xml:space="preserve"> </w:t>
      </w:r>
      <w:r>
        <w:rPr>
          <w:rFonts w:ascii="Arial" w:cs="Arial" w:eastAsia="Arial" w:hAnsi="Arial"/>
          <w:sz w:val="15"/>
          <w:szCs w:val="15"/>
          <w:color w:val="auto"/>
        </w:rPr>
        <w:t>cost of services revenue. Losses from operations for the six months ended June 30, 2021 and 2020 were $19,544,626 and $16,866,315, respectively.</w:t>
      </w:r>
    </w:p>
    <w:p>
      <w:pPr>
        <w:spacing w:after="0" w:line="91" w:lineRule="exact"/>
        <w:rPr>
          <w:sz w:val="20"/>
          <w:szCs w:val="20"/>
          <w:color w:val="auto"/>
        </w:rPr>
      </w:pPr>
    </w:p>
    <w:p>
      <w:pPr>
        <w:ind w:right="200"/>
        <w:spacing w:after="0" w:line="311" w:lineRule="auto"/>
        <w:rPr>
          <w:sz w:val="20"/>
          <w:szCs w:val="20"/>
          <w:color w:val="auto"/>
        </w:rPr>
      </w:pPr>
      <w:r>
        <w:rPr>
          <w:rFonts w:ascii="Arial" w:cs="Arial" w:eastAsia="Arial" w:hAnsi="Arial"/>
          <w:sz w:val="14"/>
          <w:szCs w:val="14"/>
          <w:i w:val="1"/>
          <w:iCs w:val="1"/>
          <w:color w:val="auto"/>
        </w:rPr>
        <w:t xml:space="preserve">Research and Development Costs. </w:t>
      </w:r>
      <w:r>
        <w:rPr>
          <w:rFonts w:ascii="Arial" w:cs="Arial" w:eastAsia="Arial" w:hAnsi="Arial"/>
          <w:sz w:val="14"/>
          <w:szCs w:val="14"/>
          <w:color w:val="auto"/>
        </w:rPr>
        <w:t>Research and development costs were $10,694,938 and $8,905,736, respectively, for the six months ended June 30, 2021 and 2020. The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of $1,789,202 is primarily due to a $1,651,575 increase in compensation, consisting of a $1,533,483 increase in stock-based compensation from the recognition of PSU award expense and $118,092 increase in payroll costs, a $244,808 increase in engineering supplies, components and chip development costs due to project timing, a $100,326 increase in consulting and third-party services expense and a $62,484 increase in regulatory testing, partially offset by an $89,479 decrease in depreciation.</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4" w:right="319" w:bottom="1440" w:gutter="0" w:footer="0" w:header="0"/>
        </w:sectPr>
      </w:pPr>
    </w:p>
    <w:bookmarkStart w:id="22" w:name="page23"/>
    <w:bookmarkEnd w:id="22"/>
    <w:p>
      <w:pPr>
        <w:ind w:right="180"/>
        <w:spacing w:after="0" w:line="259" w:lineRule="auto"/>
        <w:rPr>
          <w:sz w:val="20"/>
          <w:szCs w:val="20"/>
          <w:color w:val="auto"/>
        </w:rPr>
      </w:pPr>
      <w:r>
        <w:rPr>
          <w:rFonts w:ascii="Arial" w:cs="Arial" w:eastAsia="Arial" w:hAnsi="Arial"/>
          <w:sz w:val="16"/>
          <w:szCs w:val="16"/>
          <w:i w:val="1"/>
          <w:iCs w:val="1"/>
          <w:color w:val="auto"/>
        </w:rPr>
        <w:t xml:space="preserve">Sales and Marketing Costs. </w:t>
      </w:r>
      <w:r>
        <w:rPr>
          <w:rFonts w:ascii="Arial" w:cs="Arial" w:eastAsia="Arial" w:hAnsi="Arial"/>
          <w:sz w:val="16"/>
          <w:szCs w:val="16"/>
          <w:color w:val="auto"/>
        </w:rPr>
        <w:t>Sales and marketing costs for the six months ended June 30, 2021 and 2020 were $4,235,569 and $2,886,813, respectively. The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$1,348,756 is primarily due to a $1,132,589 increase in compensation, consisting of a $676,568 increase in stock-based compensation from the recognition of PSU award expense and a $456,021 increase in payroll costs from a higher headcount within the department, a $98,780 increase in legal fees pertaining to marketing and trademarks, a $67,178 increase in public relations, consulting and third-party services expense and a $45,242 increase in engineering supplies used by the sales and marketing staff for customer demonstrations, partially offset by a $45,248 decrease in tradeshow expense.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General and administrative costs for the six months ended June 30, 2021 and 2020 were $4,944,144 and $5,123,077, respectively. The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decrease of $178,933 is primarily due to a $157,017 decrease in accounting and auditing fees, a $67,447 decrease in compensation, consisting of a $181,707 decrease in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offset by a $114,260 increase in payroll costs, a $76,124 decrease in board member fees, a $57,851 decrease in general corporate legal fees, a</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$44,763 decrease in investor relations, consulting and third-party services expense and a $40,344 decrease in travel and entertainment as a result of COVID-19 restrictions,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a $132,869 increase in insurance premiums and a $101,650 increase in annual meeting costs.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Interest Income. </w:t>
      </w:r>
      <w:r>
        <w:rPr>
          <w:rFonts w:ascii="Arial" w:cs="Arial" w:eastAsia="Arial" w:hAnsi="Arial"/>
          <w:sz w:val="15"/>
          <w:szCs w:val="15"/>
          <w:color w:val="auto"/>
        </w:rPr>
        <w:t>Interest income for the six months ended June 30, 2021 was $3,034 as compared to interest income of $63,913 for the six months ended June 30, 2020.</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decrease of $60,879 is primarily due to lower savings interest rates.</w:t>
      </w:r>
    </w:p>
    <w:p>
      <w:pPr>
        <w:spacing w:after="0" w:line="155"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i w:val="1"/>
          <w:iCs w:val="1"/>
          <w:color w:val="auto"/>
        </w:rPr>
        <w:t xml:space="preserve">Net Loss. </w:t>
      </w:r>
      <w:r>
        <w:rPr>
          <w:rFonts w:ascii="Arial" w:cs="Arial" w:eastAsia="Arial" w:hAnsi="Arial"/>
          <w:sz w:val="16"/>
          <w:szCs w:val="16"/>
          <w:color w:val="auto"/>
        </w:rPr>
        <w:t>As a result of the above, net loss for the six months ended June 30, 2021 was $19,541,592 as compared to $16,802,402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79"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During the six months ended June 30, 2021 and 2020, we recorded revenue of $330,025 and $175,850, respectively. We incurred net losses of $19,541,592 and $16,802,402 for the six months ended June 30, 2021 and 2020, respectively. Net cash used in operating activities was $12,537,690 and $13,215,844 for the six months ended June 30, 2021 and 2020, respectively. We are currently meeting our liquidity requirements through the proceeds from securities offerings that raised net proceeds of $53,556,202 during 2020, along with payments received from customers and employees through ESPP purchases.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believe our current cash on hand, together with anticipated revenues will be sufficient to fund our operations into August 2022. Although we intend to continue our research and development activities, there can be no assurance that our available resources will be sufficient to enable us to generate revenues sufficient to sustain operations. Accordingly, we may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we would find acceptable, or at all.</w:t>
      </w:r>
    </w:p>
    <w:p>
      <w:pPr>
        <w:spacing w:after="0" w:line="134" w:lineRule="exact"/>
        <w:rPr>
          <w:sz w:val="20"/>
          <w:szCs w:val="20"/>
          <w:color w:val="auto"/>
        </w:rPr>
      </w:pPr>
    </w:p>
    <w:p>
      <w:pPr>
        <w:ind w:right="100"/>
        <w:spacing w:after="0" w:line="356" w:lineRule="auto"/>
        <w:rPr>
          <w:sz w:val="20"/>
          <w:szCs w:val="20"/>
          <w:color w:val="auto"/>
        </w:rPr>
      </w:pPr>
      <w:r>
        <w:rPr>
          <w:rFonts w:ascii="Arial" w:cs="Arial" w:eastAsia="Arial" w:hAnsi="Arial"/>
          <w:sz w:val="13"/>
          <w:szCs w:val="13"/>
          <w:color w:val="auto"/>
        </w:rPr>
        <w:t>During the six months ended June 30, 2021, cash flows used in operating activities were $12,537,690, consisting of a net loss of $19,541,592, less non-cash expenses aggregating $6,894,871 (principally stock-based compensation of $6,374,550, decrease in amortization of operating lease right-of-use assets of $393,936 and depreciation and amortization expense of $126,385) and a $555,702 increase in accounts payable, partially offset by a $422,533 decrease in operating lease liabilities and a $46,120 increase in accounts receivable.</w:t>
      </w:r>
    </w:p>
    <w:p>
      <w:pPr>
        <w:spacing w:after="0" w:line="86" w:lineRule="exact"/>
        <w:rPr>
          <w:sz w:val="20"/>
          <w:szCs w:val="20"/>
          <w:color w:val="auto"/>
        </w:rPr>
      </w:pPr>
    </w:p>
    <w:p>
      <w:pPr>
        <w:ind w:right="340"/>
        <w:spacing w:after="0" w:line="285" w:lineRule="auto"/>
        <w:rPr>
          <w:sz w:val="20"/>
          <w:szCs w:val="20"/>
          <w:color w:val="auto"/>
        </w:rPr>
      </w:pPr>
      <w:r>
        <w:rPr>
          <w:rFonts w:ascii="Arial" w:cs="Arial" w:eastAsia="Arial" w:hAnsi="Arial"/>
          <w:sz w:val="15"/>
          <w:szCs w:val="15"/>
          <w:color w:val="auto"/>
        </w:rPr>
        <w:t>During the six months ended June 30, 2020, cash flows used in operating activities were $13,215,844, consisting of a net loss of $16,802,402, less non-cash expenses aggregating $4,975,428 (principally stock-based compensation of $4,346,206, amortization of operating lease right-of-use assets of $378,593 and depreciation and amortization expense of $217,629), a $429,460 decrease in accrued expenses, a $341,064 decrease in operating lease liabilities, a $330,537 decrease in accounts payable, a $212,727 increase in prepaid expenses and other current assets and a $75,082 increase in accounts receivable.</w:t>
      </w:r>
    </w:p>
    <w:p>
      <w:pPr>
        <w:spacing w:after="0" w:line="114"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During the six months ended June 30, 2021 and 2020, cash flows used in investing activities were $203,044 and $0, respectively. The cash used in investing activities for the six months ended June 30, 2021 consisted of the purchases of new testing equipment and engineering software.</w:t>
      </w:r>
    </w:p>
    <w:p>
      <w:pPr>
        <w:spacing w:after="0" w:line="114" w:lineRule="exact"/>
        <w:rPr>
          <w:sz w:val="20"/>
          <w:szCs w:val="20"/>
          <w:color w:val="auto"/>
        </w:rPr>
      </w:pPr>
    </w:p>
    <w:p>
      <w:pPr>
        <w:ind w:right="140"/>
        <w:spacing w:after="0" w:line="292" w:lineRule="auto"/>
        <w:rPr>
          <w:sz w:val="20"/>
          <w:szCs w:val="20"/>
          <w:color w:val="auto"/>
        </w:rPr>
      </w:pPr>
      <w:r>
        <w:rPr>
          <w:rFonts w:ascii="Arial" w:cs="Arial" w:eastAsia="Arial" w:hAnsi="Arial"/>
          <w:sz w:val="15"/>
          <w:szCs w:val="15"/>
          <w:color w:val="auto"/>
        </w:rPr>
        <w:t>During the six months ended June 30, 2021, cash flows provided by financing activities were $237,247, which consisted of entirely of proceeds from contributions to the ESPP. During the six months ended June 30, 2020, cash flows provided by financing activities were $14,940,695, which consisted of $14,723,491 in net proceeds from the sale of shares of our common stock to the public in an ATM offering and $217,204 in proceeds from contributions to the ESPP.</w:t>
      </w:r>
    </w:p>
    <w:p>
      <w:pPr>
        <w:spacing w:after="0" w:line="12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4" w:right="319" w:bottom="1440" w:gutter="0" w:footer="0" w:header="0"/>
        </w:sectPr>
      </w:pPr>
    </w:p>
    <w:bookmarkStart w:id="23" w:name="page24"/>
    <w:bookmarkEnd w:id="23"/>
    <w:p>
      <w:pPr>
        <w:ind w:right="680"/>
        <w:spacing w:after="0" w:line="281" w:lineRule="auto"/>
        <w:rPr>
          <w:sz w:val="20"/>
          <w:szCs w:val="20"/>
          <w:color w:val="auto"/>
        </w:rPr>
      </w:pPr>
      <w:r>
        <w:rPr>
          <w:rFonts w:ascii="Arial" w:cs="Arial" w:eastAsia="Arial" w:hAnsi="Arial"/>
          <w:sz w:val="16"/>
          <w:szCs w:val="16"/>
          <w:color w:val="auto"/>
        </w:rPr>
        <w:t>Furthermore, since we have no committed source of financing, there can be no assurance that we will be able to raise capital as and when we need it to continue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 Balance Sheet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did not have any off-balance sheet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171" w:lineRule="exact"/>
        <w:rPr>
          <w:sz w:val="20"/>
          <w:szCs w:val="20"/>
          <w:color w:val="auto"/>
        </w:rPr>
      </w:pPr>
    </w:p>
    <w:p>
      <w:pPr>
        <w:ind w:right="360"/>
        <w:spacing w:after="0" w:line="355" w:lineRule="auto"/>
        <w:rPr>
          <w:sz w:val="20"/>
          <w:szCs w:val="20"/>
          <w:color w:val="auto"/>
        </w:rPr>
      </w:pPr>
      <w:r>
        <w:rPr>
          <w:rFonts w:ascii="Arial" w:cs="Arial" w:eastAsia="Arial" w:hAnsi="Arial"/>
          <w:sz w:val="14"/>
          <w:szCs w:val="14"/>
          <w:color w:val="auto"/>
        </w:rPr>
        <w:t>There has been no material change in our exposure to market risk during the three months ended June 30, 2021. Please refer to "Quantitative and Qualitative Disclosures about Market Risk" contained in Part II, Item 7A of our Form 10-K for the year ended December 31, 2020 for a discussion of our exposure to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67"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We have established disclosure controls and procedures to ensure that material information relating to us is made known to the officers who certify our financial reports and the Board.</w:t>
      </w:r>
    </w:p>
    <w:p>
      <w:pPr>
        <w:spacing w:after="0" w:line="126"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Based on their evaluation as of June 30, 2021, our principal executive and principal financial officers have concluded that these disclosure controls and procedures (as defined in Rules 13a-15(e) and 15d-15(e) under the Exchange Act) were effective as of June 30, 2021 to provide reasonable assurance that information required to be disclosed by us in reports that we file under the Exchange Act is recorded, processed, summarized, and reported, within the time periods specified in Securities and Exchange Commission rules and forms and that information required to be disclosed by us in our reports filed or submitted under the Exchange Act is accumulated and communicated to management, including our principal executive officer and our principal financial officer, as appropriate to allow timely decisions regarding required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6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For the quarter ended June 30, 2021, there were no changes in our internal control over financial reporting that have materially affected, or are reasonably likely to materially affect, our internal control over financial reporting.</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4"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PART II –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3" w:lineRule="exact"/>
        <w:rPr>
          <w:sz w:val="20"/>
          <w:szCs w:val="20"/>
          <w:color w:val="auto"/>
        </w:rPr>
      </w:pPr>
    </w:p>
    <w:p>
      <w:pPr>
        <w:ind w:right="300" w:firstLine="590"/>
        <w:spacing w:after="0" w:line="281" w:lineRule="auto"/>
        <w:rPr>
          <w:sz w:val="20"/>
          <w:szCs w:val="20"/>
          <w:color w:val="auto"/>
        </w:rPr>
      </w:pPr>
      <w:r>
        <w:rPr>
          <w:rFonts w:ascii="Arial" w:cs="Arial" w:eastAsia="Arial" w:hAnsi="Arial"/>
          <w:sz w:val="16"/>
          <w:szCs w:val="16"/>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1" w:lineRule="exact"/>
        <w:rPr>
          <w:sz w:val="20"/>
          <w:szCs w:val="20"/>
          <w:color w:val="auto"/>
        </w:rPr>
      </w:pPr>
    </w:p>
    <w:p>
      <w:pPr>
        <w:ind w:right="40" w:firstLine="590"/>
        <w:spacing w:after="0" w:line="278" w:lineRule="auto"/>
        <w:rPr>
          <w:sz w:val="20"/>
          <w:szCs w:val="20"/>
          <w:color w:val="auto"/>
        </w:rPr>
      </w:pPr>
      <w:r>
        <w:rPr>
          <w:rFonts w:ascii="Arial" w:cs="Arial" w:eastAsia="Arial" w:hAnsi="Arial"/>
          <w:sz w:val="15"/>
          <w:szCs w:val="15"/>
          <w:i w:val="1"/>
          <w:iCs w:val="1"/>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our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history of generating meaningful product revenue, and we may never achieve or maintain profitability.</w:t>
      </w:r>
    </w:p>
    <w:p>
      <w:pPr>
        <w:spacing w:after="0" w:line="167" w:lineRule="exact"/>
        <w:rPr>
          <w:sz w:val="20"/>
          <w:szCs w:val="20"/>
          <w:color w:val="auto"/>
        </w:rPr>
      </w:pPr>
    </w:p>
    <w:p>
      <w:pPr>
        <w:ind w:right="20" w:firstLine="590"/>
        <w:spacing w:after="0" w:line="256" w:lineRule="auto"/>
        <w:rPr>
          <w:sz w:val="20"/>
          <w:szCs w:val="20"/>
          <w:color w:val="auto"/>
        </w:rPr>
      </w:pPr>
      <w:r>
        <w:rPr>
          <w:rFonts w:ascii="Arial" w:cs="Arial" w:eastAsia="Arial" w:hAnsi="Arial"/>
          <w:sz w:val="16"/>
          <w:szCs w:val="16"/>
          <w:color w:val="auto"/>
        </w:rPr>
        <w:t>We have a limited operating history upon which investors may rely in evaluating our business and prospects. We have generated limited revenues to date, and as of June 30, 2021, we had an accumulated deficit of approximately $315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significant scale to cover our costs of doing business, our losses will continue and we may not achieve profitability, which could negatively impact the value of your investment in our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additional financing to achieve our long-term business plans, and there is no guarantee that it will be available on acceptable terms, or at all.</w:t>
      </w:r>
    </w:p>
    <w:p>
      <w:pPr>
        <w:spacing w:after="0" w:line="179" w:lineRule="exact"/>
        <w:rPr>
          <w:sz w:val="20"/>
          <w:szCs w:val="20"/>
          <w:color w:val="auto"/>
        </w:rPr>
      </w:pPr>
    </w:p>
    <w:p>
      <w:pPr>
        <w:ind w:right="80" w:firstLine="590"/>
        <w:spacing w:after="0" w:line="274" w:lineRule="auto"/>
        <w:rPr>
          <w:sz w:val="20"/>
          <w:szCs w:val="20"/>
          <w:color w:val="auto"/>
        </w:rPr>
      </w:pPr>
      <w:r>
        <w:rPr>
          <w:rFonts w:ascii="Arial" w:cs="Arial" w:eastAsia="Arial" w:hAnsi="Arial"/>
          <w:sz w:val="15"/>
          <w:szCs w:val="15"/>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substantial revenue for such products. Such financings could include equity financing, which may be dilutive to stockholders, or debt financing, which could restrict our ability to borrow from other sources. In addition, such securities may contain rights, preferences or privileges senior to those of current stockholders. As a result of economic conditions, general global economic uncertainty (including as a result of actual or perceived disruption caused by COVID-19, including the “delta” variant, or other infectious diseases),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general economic uncertainty or other factors, we may be required to curtail development of our technology or reduce operations as a result, or to sell or dispose of assets. Any inability to raise adequate funds on commercially reasonable terms could have a material adverse effect on our business, results of operations and financial condition, including the possibility that a lack of funds could cause our business to fail and liquidate with little or no return to investors.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Risks Related to Our Technology and Products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develop all the features we seek to include in our technology.</w:t>
      </w:r>
    </w:p>
    <w:p>
      <w:pPr>
        <w:spacing w:after="0" w:line="167" w:lineRule="exact"/>
        <w:rPr>
          <w:sz w:val="20"/>
          <w:szCs w:val="20"/>
          <w:color w:val="auto"/>
        </w:rPr>
      </w:pPr>
    </w:p>
    <w:p>
      <w:pPr>
        <w:ind w:right="140" w:firstLine="590"/>
        <w:spacing w:after="0" w:line="259" w:lineRule="auto"/>
        <w:rPr>
          <w:sz w:val="20"/>
          <w:szCs w:val="20"/>
          <w:color w:val="auto"/>
        </w:rPr>
      </w:pPr>
      <w:r>
        <w:rPr>
          <w:rFonts w:ascii="Arial" w:cs="Arial" w:eastAsia="Arial" w:hAnsi="Arial"/>
          <w:sz w:val="16"/>
          <w:szCs w:val="16"/>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over time. However, there can be no assurance that we will be successful in achieving all the features we are targeting and our inability to do so may limit the appeal of our technology to consumers.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demonstrate the commercial feasibility of the full capability of our technology.</w:t>
      </w:r>
    </w:p>
    <w:p>
      <w:pPr>
        <w:spacing w:after="0" w:line="179" w:lineRule="exact"/>
        <w:rPr>
          <w:sz w:val="20"/>
          <w:szCs w:val="20"/>
          <w:color w:val="auto"/>
        </w:rPr>
      </w:pPr>
    </w:p>
    <w:p>
      <w:pPr>
        <w:ind w:right="40" w:firstLine="590"/>
        <w:spacing w:after="0" w:line="257" w:lineRule="auto"/>
        <w:rPr>
          <w:sz w:val="20"/>
          <w:szCs w:val="20"/>
          <w:color w:val="auto"/>
        </w:rPr>
      </w:pPr>
      <w:r>
        <w:rPr>
          <w:rFonts w:ascii="Arial" w:cs="Arial" w:eastAsia="Arial" w:hAnsi="Arial"/>
          <w:sz w:val="16"/>
          <w:szCs w:val="16"/>
          <w:color w:val="auto"/>
        </w:rPr>
        <w:t>We have developed both commercial products, as well as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35" w:lineRule="exact"/>
        <w:rPr>
          <w:sz w:val="20"/>
          <w:szCs w:val="20"/>
          <w:color w:val="auto"/>
        </w:rPr>
      </w:pPr>
    </w:p>
    <w:p>
      <w:pPr>
        <w:ind w:right="20" w:firstLine="590"/>
        <w:spacing w:after="0" w:line="258" w:lineRule="auto"/>
        <w:rPr>
          <w:sz w:val="20"/>
          <w:szCs w:val="20"/>
          <w:color w:val="auto"/>
        </w:rPr>
      </w:pPr>
      <w:r>
        <w:rPr>
          <w:rFonts w:ascii="Arial" w:cs="Arial" w:eastAsia="Arial" w:hAnsi="Arial"/>
          <w:sz w:val="16"/>
          <w:szCs w:val="16"/>
          <w:color w:val="auto"/>
        </w:rPr>
        <w:t>Our technology must satisfy customer expectations and be suitable for them to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the value of your investment in our company. If we fail to develop practical and economical commercial products based on our technology, our business may fail and you could lose the value of your investment in our stock.</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health epidemics, such as COVID-19, has and may further adversely affect our business, results of operations and financial condition.</w:t>
      </w:r>
    </w:p>
    <w:p>
      <w:pPr>
        <w:spacing w:after="0" w:line="239" w:lineRule="exact"/>
        <w:rPr>
          <w:sz w:val="20"/>
          <w:szCs w:val="20"/>
          <w:color w:val="auto"/>
        </w:rPr>
      </w:pPr>
    </w:p>
    <w:p>
      <w:pPr>
        <w:ind w:right="20" w:firstLine="590"/>
        <w:spacing w:after="0" w:line="272" w:lineRule="auto"/>
        <w:rPr>
          <w:sz w:val="20"/>
          <w:szCs w:val="20"/>
          <w:color w:val="auto"/>
        </w:rPr>
      </w:pPr>
      <w:r>
        <w:rPr>
          <w:rFonts w:ascii="Arial" w:cs="Arial" w:eastAsia="Arial" w:hAnsi="Arial"/>
          <w:sz w:val="15"/>
          <w:szCs w:val="15"/>
          <w:color w:val="auto"/>
        </w:rPr>
        <w:t>Any outbreaks of contagious diseases and other adverse public health developments in countries where we, our customers and suppliers operate could have a material and adverse effect on our business, results of operations and financial condition. For example, COVID-19 pandemic has resulted in significant governmental measures being implemented to control the spread of the virus, including quarantines, travel restrictions, manufacturing restrictions, declarations of states of emergency, business shutdown and restrictions on the movement of employees in China, the United States and many other countries. A majority of our potential customers have a significant dependence on the Chinese manufacturing and supply chain infrastructure. We believe the COVID-19 pandemic has delayed adoption of our technology by potential customers who temporarily shut down their workforce and supply chain based in China. In the United States, COVID-19 has resulted in travel and other restrictions in order to reduce the spread of the disease, including executive orders in California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of these developments, we have implemented work-from-home policies for our employees that will likely be in place until at least the second half of 2021.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Several vaccines have been approved for use since the fourth quarter of 2020, with vaccination rates increasing through early 2021. Several new variants of COVID-19 have emerged including the “delta” variant, which is now widespread, and may be more transmissible than other variants. Vaccines approved to date have lower efficacy in combating the transmission of some of these new variants, though vaccines appear to protect against severe illness. Due to the continuing developments and fluidity of this situation, the magnitude and duration of the pandemic and its impact on our operations and liquidity are still uncertain as of the date of this report.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0" w:right="319" w:bottom="1440" w:gutter="0" w:footer="0" w:header="0"/>
        </w:sectPr>
      </w:pPr>
    </w:p>
    <w:bookmarkStart w:id="26" w:name="page27"/>
    <w:bookmarkEnd w:id="26"/>
    <w:p>
      <w:pPr>
        <w:ind w:right="140" w:firstLine="590"/>
        <w:spacing w:after="0" w:line="262" w:lineRule="auto"/>
        <w:rPr>
          <w:sz w:val="20"/>
          <w:szCs w:val="20"/>
          <w:color w:val="auto"/>
        </w:rPr>
      </w:pPr>
      <w:r>
        <w:rPr>
          <w:rFonts w:ascii="Arial" w:cs="Arial" w:eastAsia="Arial" w:hAnsi="Arial"/>
          <w:sz w:val="16"/>
          <w:szCs w:val="16"/>
          <w:color w:val="auto"/>
        </w:rPr>
        <w:t>In addition, COVID-19, including in particular the “delta” variant,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Expanding our business operations as we intend will impose new demands on our financial, technical, operational and management resources.</w:t>
      </w:r>
    </w:p>
    <w:p>
      <w:pPr>
        <w:spacing w:after="0" w:line="167" w:lineRule="exact"/>
        <w:rPr>
          <w:sz w:val="20"/>
          <w:szCs w:val="20"/>
          <w:color w:val="auto"/>
        </w:rPr>
      </w:pPr>
    </w:p>
    <w:p>
      <w:pPr>
        <w:ind w:right="300" w:firstLine="590"/>
        <w:spacing w:after="0" w:line="311" w:lineRule="auto"/>
        <w:rPr>
          <w:sz w:val="20"/>
          <w:szCs w:val="20"/>
          <w:color w:val="auto"/>
        </w:rPr>
      </w:pPr>
      <w:r>
        <w:rPr>
          <w:rFonts w:ascii="Arial" w:cs="Arial" w:eastAsia="Arial" w:hAnsi="Arial"/>
          <w:sz w:val="14"/>
          <w:szCs w:val="14"/>
          <w:color w:val="auto"/>
        </w:rPr>
        <w:t>To date we have operated primarily in the research and development phase of our business. If we are successful,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10"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14" w:lineRule="exact"/>
        <w:rPr>
          <w:sz w:val="20"/>
          <w:szCs w:val="20"/>
          <w:color w:val="auto"/>
        </w:rPr>
      </w:pPr>
    </w:p>
    <w:p>
      <w:pPr>
        <w:ind w:right="40" w:firstLine="590"/>
        <w:spacing w:after="0" w:line="281" w:lineRule="auto"/>
        <w:rPr>
          <w:sz w:val="20"/>
          <w:szCs w:val="20"/>
          <w:color w:val="auto"/>
        </w:rPr>
      </w:pPr>
      <w:r>
        <w:rPr>
          <w:rFonts w:ascii="Arial" w:cs="Arial" w:eastAsia="Arial" w:hAnsi="Arial"/>
          <w:sz w:val="16"/>
          <w:szCs w:val="16"/>
          <w:color w:val="auto"/>
        </w:rPr>
        <w:t>Market acceptance of a RF-based charging system as a preferred method for charging electronic devices will be crucial to our success. The following factors, among others, may affect the level of market acceptance of products in our industry:</w:t>
      </w:r>
    </w:p>
    <w:p>
      <w:pPr>
        <w:spacing w:after="0" w:line="54" w:lineRule="exact"/>
        <w:rPr>
          <w:sz w:val="20"/>
          <w:szCs w:val="20"/>
          <w:color w:val="auto"/>
        </w:rPr>
      </w:pPr>
    </w:p>
    <w:p>
      <w:pPr>
        <w:ind w:left="860" w:hanging="42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price of products incorporating our technology relative to other products or competing technologies;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user perceptions of the convenience, safety, efficiency and benefits of our technology;</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effectiveness of sales and marketing efforts of our commercialization partners;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support and rate of acceptance of our technology and solutions with our development partners;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press and blog coverage, social media coverage, and other publicity factors that are not within our control; and</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developments.</w:t>
      </w:r>
    </w:p>
    <w:p>
      <w:pPr>
        <w:spacing w:after="0" w:line="167" w:lineRule="exact"/>
        <w:rPr>
          <w:sz w:val="20"/>
          <w:szCs w:val="20"/>
          <w:color w:val="auto"/>
        </w:rPr>
      </w:pPr>
    </w:p>
    <w:p>
      <w:pPr>
        <w:ind w:right="100" w:firstLine="590"/>
        <w:spacing w:after="0" w:line="281" w:lineRule="auto"/>
        <w:rPr>
          <w:sz w:val="20"/>
          <w:szCs w:val="20"/>
          <w:color w:val="auto"/>
        </w:rPr>
      </w:pPr>
      <w:r>
        <w:rPr>
          <w:rFonts w:ascii="Arial" w:cs="Arial" w:eastAsia="Arial" w:hAnsi="Arial"/>
          <w:sz w:val="16"/>
          <w:szCs w:val="16"/>
          <w:color w:val="auto"/>
        </w:rPr>
        <w:t>If we are unable to achieve or maintain market acceptance of our technology, and if related products do not win widespread market acceptance, our business will be significantly harmed.</w:t>
      </w:r>
    </w:p>
    <w:p>
      <w:pPr>
        <w:spacing w:after="0" w:line="126"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b w:val="1"/>
          <w:bCs w:val="1"/>
          <w:i w:val="1"/>
          <w:iCs w:val="1"/>
          <w:color w:val="auto"/>
        </w:rPr>
        <w:t>If products incorporating our technology are launched commercially, we may experience seasonality or other unevenness in our financial results in consumer markets or a long and variable sales cycle in enterprise markets.</w:t>
      </w:r>
    </w:p>
    <w:p>
      <w:pPr>
        <w:spacing w:after="0" w:line="114" w:lineRule="exact"/>
        <w:rPr>
          <w:sz w:val="20"/>
          <w:szCs w:val="20"/>
          <w:color w:val="auto"/>
        </w:rPr>
      </w:pPr>
    </w:p>
    <w:p>
      <w:pPr>
        <w:ind w:right="40" w:firstLine="590"/>
        <w:spacing w:after="0" w:line="258" w:lineRule="auto"/>
        <w:rPr>
          <w:sz w:val="20"/>
          <w:szCs w:val="20"/>
          <w:color w:val="auto"/>
        </w:rPr>
      </w:pPr>
      <w:r>
        <w:rPr>
          <w:rFonts w:ascii="Arial" w:cs="Arial" w:eastAsia="Arial" w:hAnsi="Arial"/>
          <w:sz w:val="16"/>
          <w:szCs w:val="16"/>
          <w:color w:val="auto"/>
        </w:rPr>
        <w:t>Our strategy depends on our customers developing successful commercial products using our technology and selling them into the consumer, enterprise and commercial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34" w:lineRule="exact"/>
        <w:rPr>
          <w:sz w:val="20"/>
          <w:szCs w:val="20"/>
          <w:color w:val="auto"/>
        </w:rPr>
      </w:pPr>
    </w:p>
    <w:p>
      <w:pPr>
        <w:ind w:right="120"/>
        <w:spacing w:after="0" w:line="316" w:lineRule="auto"/>
        <w:rPr>
          <w:sz w:val="20"/>
          <w:szCs w:val="20"/>
          <w:color w:val="auto"/>
        </w:rPr>
      </w:pPr>
      <w:r>
        <w:rPr>
          <w:rFonts w:ascii="Arial" w:cs="Arial" w:eastAsia="Arial" w:hAnsi="Arial"/>
          <w:sz w:val="15"/>
          <w:szCs w:val="15"/>
          <w:b w:val="1"/>
          <w:bCs w:val="1"/>
          <w:i w:val="1"/>
          <w:iCs w:val="1"/>
          <w:color w:val="auto"/>
        </w:rPr>
        <w:t>Future products based on our technology may require the user to purchase additional products to use with existing devices. To the extent these additional purchases are inconvenient, the adoption of our technology under development or other future products could be slowed, which would harm our business.</w:t>
      </w:r>
    </w:p>
    <w:p>
      <w:pPr>
        <w:spacing w:after="0" w:line="103" w:lineRule="exact"/>
        <w:rPr>
          <w:sz w:val="20"/>
          <w:szCs w:val="20"/>
          <w:color w:val="auto"/>
        </w:rPr>
      </w:pPr>
    </w:p>
    <w:p>
      <w:pPr>
        <w:ind w:right="40" w:firstLine="590"/>
        <w:spacing w:after="0" w:line="276" w:lineRule="auto"/>
        <w:rPr>
          <w:sz w:val="20"/>
          <w:szCs w:val="20"/>
          <w:color w:val="auto"/>
        </w:rPr>
      </w:pPr>
      <w:r>
        <w:rPr>
          <w:rFonts w:ascii="Arial" w:cs="Arial" w:eastAsia="Arial" w:hAnsi="Arial"/>
          <w:sz w:val="15"/>
          <w:szCs w:val="15"/>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27" w:name="page28"/>
    <w:bookmarkEnd w:id="27"/>
    <w:p>
      <w:pPr>
        <w:ind w:right="80"/>
        <w:spacing w:after="0" w:line="281" w:lineRule="auto"/>
        <w:rPr>
          <w:sz w:val="20"/>
          <w:szCs w:val="20"/>
          <w:color w:val="auto"/>
        </w:rPr>
      </w:pPr>
      <w:r>
        <w:rPr>
          <w:rFonts w:ascii="Arial" w:cs="Arial" w:eastAsia="Arial" w:hAnsi="Arial"/>
          <w:sz w:val="16"/>
          <w:szCs w:val="16"/>
          <w:b w:val="1"/>
          <w:bCs w:val="1"/>
          <w:i w:val="1"/>
          <w:iCs w:val="1"/>
          <w:color w:val="auto"/>
        </w:rPr>
        <w:t>Laboratory conditions differ from field conditions, which could reduce the effectiveness of our technology under development or other future products. Failures to move from laboratory to the field effectively would harm our business.</w:t>
      </w:r>
    </w:p>
    <w:p>
      <w:pPr>
        <w:spacing w:after="0" w:line="126" w:lineRule="exact"/>
        <w:rPr>
          <w:sz w:val="20"/>
          <w:szCs w:val="20"/>
          <w:color w:val="auto"/>
        </w:rPr>
      </w:pPr>
    </w:p>
    <w:p>
      <w:pPr>
        <w:ind w:right="80" w:firstLine="590"/>
        <w:spacing w:after="0" w:line="262" w:lineRule="auto"/>
        <w:rPr>
          <w:sz w:val="20"/>
          <w:szCs w:val="20"/>
          <w:color w:val="auto"/>
        </w:rPr>
      </w:pPr>
      <w:r>
        <w:rPr>
          <w:rFonts w:ascii="Arial" w:cs="Arial" w:eastAsia="Arial" w:hAnsi="Arial"/>
          <w:sz w:val="16"/>
          <w:szCs w:val="16"/>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the field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Safety concerns and legal action by private parties may affect our business.</w:t>
      </w:r>
    </w:p>
    <w:p>
      <w:pPr>
        <w:spacing w:after="0" w:line="228" w:lineRule="exact"/>
        <w:rPr>
          <w:sz w:val="20"/>
          <w:szCs w:val="20"/>
          <w:color w:val="auto"/>
        </w:rPr>
      </w:pPr>
    </w:p>
    <w:p>
      <w:pPr>
        <w:ind w:right="40" w:firstLine="590"/>
        <w:spacing w:after="0" w:line="277" w:lineRule="auto"/>
        <w:rPr>
          <w:sz w:val="20"/>
          <w:szCs w:val="20"/>
          <w:color w:val="auto"/>
        </w:rPr>
      </w:pPr>
      <w:r>
        <w:rPr>
          <w:rFonts w:ascii="Arial" w:cs="Arial" w:eastAsia="Arial" w:hAnsi="Arial"/>
          <w:sz w:val="15"/>
          <w:szCs w:val="15"/>
          <w:color w:val="auto"/>
        </w:rPr>
        <w:t>We believe that our technology is safe. However, it is possible that we could discover safety issues with our technology or that some people may be concerned with RF-based charging in a manner that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medical ailments may blame the use of products incorporating our technology, as occurred with a small number of users of cellular telephones. A discovery of safety issues relating to our technology could have a material adverse effect on our business and any legal action against us claiming our technology caused harm could be expensive, divert management and adversely affect us or cause our business to fail, whether or not such legal actions were ultimately successful.</w:t>
      </w:r>
    </w:p>
    <w:p>
      <w:pPr>
        <w:spacing w:after="0" w:line="181"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25" w:lineRule="exact"/>
        <w:rPr>
          <w:sz w:val="20"/>
          <w:szCs w:val="20"/>
          <w:color w:val="auto"/>
        </w:rPr>
      </w:pPr>
    </w:p>
    <w:p>
      <w:pPr>
        <w:ind w:right="20" w:firstLine="590"/>
        <w:spacing w:after="0" w:line="297" w:lineRule="auto"/>
        <w:rPr>
          <w:sz w:val="20"/>
          <w:szCs w:val="20"/>
          <w:color w:val="auto"/>
        </w:rPr>
      </w:pPr>
      <w:r>
        <w:rPr>
          <w:rFonts w:ascii="Arial" w:cs="Arial" w:eastAsia="Arial" w:hAnsi="Arial"/>
          <w:sz w:val="14"/>
          <w:szCs w:val="14"/>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21" w:lineRule="exact"/>
        <w:rPr>
          <w:sz w:val="20"/>
          <w:szCs w:val="20"/>
          <w:color w:val="auto"/>
        </w:rPr>
      </w:pPr>
    </w:p>
    <w:p>
      <w:pPr>
        <w:ind w:right="60" w:firstLine="590"/>
        <w:spacing w:after="0" w:line="258" w:lineRule="auto"/>
        <w:rPr>
          <w:sz w:val="20"/>
          <w:szCs w:val="20"/>
          <w:color w:val="auto"/>
        </w:rPr>
      </w:pPr>
      <w:r>
        <w:rPr>
          <w:rFonts w:ascii="Arial" w:cs="Arial" w:eastAsia="Arial" w:hAnsi="Arial"/>
          <w:sz w:val="16"/>
          <w:szCs w:val="16"/>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or the financial resources, technical expertise, marketing, distribution or support capabilities to compete successfully in the future. Our success will depend in large part on our ability to maintain a competitive position with our technologies.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Our competitive position also depends on our ability to:</w:t>
      </w:r>
    </w:p>
    <w:p>
      <w:pPr>
        <w:spacing w:after="0" w:line="107" w:lineRule="exact"/>
        <w:rPr>
          <w:sz w:val="20"/>
          <w:szCs w:val="20"/>
          <w:color w:val="auto"/>
        </w:rPr>
      </w:pPr>
    </w:p>
    <w:p>
      <w:pPr>
        <w:ind w:left="860" w:hanging="427"/>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generate widespread awareness, acceptance and adoption by the consumer and enterprise markets of our technology under development and future products;</w:t>
      </w:r>
    </w:p>
    <w:p>
      <w:pPr>
        <w:spacing w:after="0" w:line="129" w:lineRule="exact"/>
        <w:rPr>
          <w:rFonts w:ascii="Arial" w:cs="Arial" w:eastAsia="Arial" w:hAnsi="Arial"/>
          <w:sz w:val="14"/>
          <w:szCs w:val="14"/>
          <w:color w:val="auto"/>
        </w:rPr>
      </w:pPr>
    </w:p>
    <w:p>
      <w:pPr>
        <w:ind w:left="860" w:hanging="427"/>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design a product that may be sold at an acceptable price point;</w:t>
      </w:r>
    </w:p>
    <w:p>
      <w:pPr>
        <w:spacing w:after="0" w:line="106" w:lineRule="exact"/>
        <w:rPr>
          <w:rFonts w:ascii="Arial" w:cs="Arial" w:eastAsia="Arial" w:hAnsi="Arial"/>
          <w:sz w:val="16"/>
          <w:szCs w:val="16"/>
          <w:color w:val="auto"/>
        </w:rPr>
      </w:pPr>
    </w:p>
    <w:p>
      <w:pPr>
        <w:ind w:left="860" w:right="40" w:hanging="427"/>
        <w:spacing w:after="0" w:line="281"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 new or enhanced technologies or features that improve the convenience, efficiency, safety or perceived safety, and productivity of our technology under development and future products;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4" w:right="319" w:bottom="1440" w:gutter="0" w:footer="0" w:header="0"/>
        </w:sectPr>
      </w:pPr>
    </w:p>
    <w:bookmarkStart w:id="28" w:name="page29"/>
    <w:bookmarkEnd w:id="28"/>
    <w:p>
      <w:pPr>
        <w:ind w:left="860" w:hanging="427"/>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properly identify customer needs and deliver new products or product enhancements to address those needs;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 the time required from proof of feasibility to routine production;</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 the timing and cost of regulatory approvals;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attract and retain qualified personnel;</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protect our inventions with patents or otherwise develop proprietary products and processes; and</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secure sufficient capital resources to expand both our continued research and development, and sales and marketing efforts.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If our technology does not compete well based on these or other factors, our business could be harmed.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data security risks, including security breaches.</w:t>
      </w:r>
    </w:p>
    <w:p>
      <w:pPr>
        <w:spacing w:after="0" w:line="179" w:lineRule="exact"/>
        <w:rPr>
          <w:sz w:val="20"/>
          <w:szCs w:val="20"/>
          <w:color w:val="auto"/>
        </w:rPr>
      </w:pPr>
    </w:p>
    <w:p>
      <w:pPr>
        <w:ind w:right="40" w:firstLine="590"/>
        <w:spacing w:after="0" w:line="274" w:lineRule="auto"/>
        <w:rPr>
          <w:sz w:val="20"/>
          <w:szCs w:val="20"/>
          <w:color w:val="auto"/>
        </w:rPr>
      </w:pPr>
      <w:r>
        <w:rPr>
          <w:rFonts w:ascii="Arial" w:cs="Arial" w:eastAsia="Arial" w:hAnsi="Arial"/>
          <w:sz w:val="15"/>
          <w:szCs w:val="15"/>
          <w:color w:val="auto"/>
        </w:rPr>
        <w:t>We collect, process, store and transmit substantial amounts of information, including information about our customers. We take steps to protect the security and integrity of the information we collect, process, store or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who is able to illicitly obtain a customer’s identification and password credentials may be able to access the customer’s account and certain account data.</w:t>
      </w:r>
    </w:p>
    <w:p>
      <w:pPr>
        <w:spacing w:after="0" w:line="123" w:lineRule="exact"/>
        <w:rPr>
          <w:sz w:val="20"/>
          <w:szCs w:val="20"/>
          <w:color w:val="auto"/>
        </w:rPr>
      </w:pPr>
    </w:p>
    <w:p>
      <w:pPr>
        <w:ind w:right="20" w:firstLine="590"/>
        <w:spacing w:after="0" w:line="259" w:lineRule="auto"/>
        <w:rPr>
          <w:sz w:val="20"/>
          <w:szCs w:val="20"/>
          <w:color w:val="auto"/>
        </w:rPr>
      </w:pPr>
      <w:r>
        <w:rPr>
          <w:rFonts w:ascii="Arial" w:cs="Arial" w:eastAsia="Arial" w:hAnsi="Arial"/>
          <w:sz w:val="16"/>
          <w:szCs w:val="16"/>
          <w:color w:val="auto"/>
        </w:rPr>
        <w:t>Any actual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Our insurance policies may not be adequate to reimburse us for direct losses caused by any such security breach or indirect losses due to resulting customer attrition.</w:t>
      </w:r>
    </w:p>
    <w:p>
      <w:pPr>
        <w:spacing w:after="0" w:line="134" w:lineRule="exact"/>
        <w:rPr>
          <w:sz w:val="20"/>
          <w:szCs w:val="20"/>
          <w:color w:val="auto"/>
        </w:rPr>
      </w:pPr>
    </w:p>
    <w:p>
      <w:pPr>
        <w:ind w:right="120" w:firstLine="590"/>
        <w:spacing w:after="0" w:line="259" w:lineRule="auto"/>
        <w:rPr>
          <w:sz w:val="20"/>
          <w:szCs w:val="20"/>
          <w:color w:val="auto"/>
        </w:rPr>
      </w:pPr>
      <w:r>
        <w:rPr>
          <w:rFonts w:ascii="Arial" w:cs="Arial" w:eastAsia="Arial" w:hAnsi="Arial"/>
          <w:sz w:val="16"/>
          <w:szCs w:val="16"/>
          <w:color w:val="auto"/>
        </w:rPr>
        <w:t>We rely on email and other messaging services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Any of these events or circumstances could materially adversely affect our business, financial condition and operating results.</w:t>
      </w:r>
    </w:p>
    <w:p>
      <w:pPr>
        <w:spacing w:after="0" w:line="194" w:lineRule="exact"/>
        <w:rPr>
          <w:sz w:val="20"/>
          <w:szCs w:val="20"/>
          <w:color w:val="auto"/>
        </w:rPr>
      </w:pPr>
    </w:p>
    <w:p>
      <w:pPr>
        <w:ind w:right="240" w:firstLine="590"/>
        <w:spacing w:after="0" w:line="281" w:lineRule="auto"/>
        <w:rPr>
          <w:sz w:val="20"/>
          <w:szCs w:val="20"/>
          <w:color w:val="auto"/>
        </w:rPr>
      </w:pPr>
      <w:r>
        <w:rPr>
          <w:rFonts w:ascii="Arial" w:cs="Arial" w:eastAsia="Arial" w:hAnsi="Arial"/>
          <w:sz w:val="16"/>
          <w:szCs w:val="16"/>
          <w:b w:val="1"/>
          <w:bCs w:val="1"/>
          <w:i w:val="1"/>
          <w:iCs w:val="1"/>
          <w:color w:val="auto"/>
        </w:rPr>
        <w:t>We depend upon our strategic relationship with Dialog Semiconductor, a provider of electronics products, and there can be no assurance that we will achieve the expected benefits of this relationship.</w:t>
      </w:r>
    </w:p>
    <w:p>
      <w:pPr>
        <w:spacing w:after="0" w:line="126" w:lineRule="exact"/>
        <w:rPr>
          <w:sz w:val="20"/>
          <w:szCs w:val="20"/>
          <w:color w:val="auto"/>
        </w:rPr>
      </w:pPr>
    </w:p>
    <w:p>
      <w:pPr>
        <w:ind w:right="40" w:firstLine="590"/>
        <w:spacing w:after="0" w:line="257" w:lineRule="auto"/>
        <w:rPr>
          <w:sz w:val="20"/>
          <w:szCs w:val="20"/>
          <w:color w:val="auto"/>
        </w:rPr>
      </w:pPr>
      <w:r>
        <w:rPr>
          <w:rFonts w:ascii="Arial" w:cs="Arial" w:eastAsia="Arial" w:hAnsi="Arial"/>
          <w:sz w:val="16"/>
          <w:szCs w:val="16"/>
          <w:color w:val="auto"/>
        </w:rPr>
        <w:t>We have entered into a strategic alliance agreement with Dialog Semiconductor, a provider of electronics products, pursuant to which we licensed our WattUp technology to Dialog and it became the exclusive provider of our technology. We intend to leverage Dialog’s sales and distribution channels and its operational capabilities to accelerate market adoption of our technology, while we focus our resources on research and development of our technology. We were informed that Dialog Semiconductor might be acquired by the Japanese chipmaker, Renesas Electronics. There can be no assurance that Dialog will promote our technology successfully, or that it will be successful in producing and distributing related products to our customers’ specifications. Dialog, under the control of Renesas Electronics, may have other priorities or strategic plans or may encounter difficulties in its own business that interfere with the success of our relationship. If this strategic relationship does not work as we intend, then we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9" w:name="page30"/>
    <w:bookmarkEnd w:id="29"/>
    <w:p>
      <w:pPr>
        <w:ind w:right="240"/>
        <w:spacing w:after="0" w:line="322" w:lineRule="auto"/>
        <w:rPr>
          <w:sz w:val="20"/>
          <w:szCs w:val="20"/>
          <w:color w:val="auto"/>
        </w:rPr>
      </w:pPr>
      <w:r>
        <w:rPr>
          <w:rFonts w:ascii="Arial" w:cs="Arial" w:eastAsia="Arial" w:hAnsi="Arial"/>
          <w:sz w:val="14"/>
          <w:szCs w:val="14"/>
          <w:color w:val="auto"/>
        </w:rPr>
        <w:t>may be required to seek an arrangement with another strategic partner, or to develop internal capabilities, which will require a commitment of management time and our financial resources to identify a replacement strategic partner, or to develop our own production and distribution capabilities. As a result, we may be unable without undue expense to replace this agreement with one or more new strategic relationships to promote and provide our technology which could increase our costs and delay revenues.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 and Other Legal Risks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167" w:lineRule="exact"/>
        <w:rPr>
          <w:sz w:val="20"/>
          <w:szCs w:val="20"/>
          <w:color w:val="auto"/>
        </w:rPr>
      </w:pPr>
    </w:p>
    <w:p>
      <w:pPr>
        <w:ind w:right="80" w:firstLine="590"/>
        <w:spacing w:after="0" w:line="258" w:lineRule="auto"/>
        <w:rPr>
          <w:sz w:val="20"/>
          <w:szCs w:val="20"/>
          <w:color w:val="auto"/>
        </w:rPr>
      </w:pPr>
      <w:r>
        <w:rPr>
          <w:rFonts w:ascii="Arial" w:cs="Arial" w:eastAsia="Arial" w:hAnsi="Arial"/>
          <w:sz w:val="16"/>
          <w:szCs w:val="16"/>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a combination of patent, trade secrets, copyright and trademark laws to protect our intellectual property and technology.</w:t>
      </w:r>
    </w:p>
    <w:p>
      <w:pPr>
        <w:spacing w:after="0" w:line="167" w:lineRule="exact"/>
        <w:rPr>
          <w:sz w:val="20"/>
          <w:szCs w:val="20"/>
          <w:color w:val="auto"/>
        </w:rPr>
      </w:pPr>
    </w:p>
    <w:p>
      <w:pPr>
        <w:ind w:firstLine="590"/>
        <w:spacing w:after="0" w:line="276" w:lineRule="auto"/>
        <w:rPr>
          <w:sz w:val="20"/>
          <w:szCs w:val="20"/>
          <w:color w:val="auto"/>
        </w:rPr>
      </w:pPr>
      <w:r>
        <w:rPr>
          <w:rFonts w:ascii="Arial" w:cs="Arial" w:eastAsia="Arial" w:hAnsi="Arial"/>
          <w:sz w:val="15"/>
          <w:szCs w:val="15"/>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33" w:lineRule="exact"/>
        <w:rPr>
          <w:sz w:val="20"/>
          <w:szCs w:val="20"/>
          <w:color w:val="auto"/>
        </w:rPr>
      </w:pPr>
    </w:p>
    <w:p>
      <w:pPr>
        <w:ind w:right="120" w:firstLine="590"/>
        <w:spacing w:after="0" w:line="256" w:lineRule="auto"/>
        <w:rPr>
          <w:sz w:val="20"/>
          <w:szCs w:val="20"/>
          <w:color w:val="auto"/>
        </w:rPr>
      </w:pPr>
      <w:r>
        <w:rPr>
          <w:rFonts w:ascii="Arial" w:cs="Arial" w:eastAsia="Arial" w:hAnsi="Arial"/>
          <w:sz w:val="16"/>
          <w:szCs w:val="16"/>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38" w:lineRule="exact"/>
        <w:rPr>
          <w:sz w:val="20"/>
          <w:szCs w:val="20"/>
          <w:color w:val="auto"/>
        </w:rPr>
      </w:pPr>
    </w:p>
    <w:p>
      <w:pPr>
        <w:ind w:right="20" w:firstLine="590"/>
        <w:spacing w:after="0" w:line="267" w:lineRule="auto"/>
        <w:rPr>
          <w:sz w:val="20"/>
          <w:szCs w:val="20"/>
          <w:color w:val="auto"/>
        </w:rPr>
      </w:pPr>
      <w:r>
        <w:rPr>
          <w:rFonts w:ascii="Arial" w:cs="Arial" w:eastAsia="Arial" w:hAnsi="Arial"/>
          <w:sz w:val="16"/>
          <w:szCs w:val="16"/>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25" w:lineRule="exact"/>
        <w:rPr>
          <w:sz w:val="20"/>
          <w:szCs w:val="20"/>
          <w:color w:val="auto"/>
        </w:rPr>
      </w:pPr>
    </w:p>
    <w:p>
      <w:pPr>
        <w:ind w:right="320" w:firstLine="590"/>
        <w:spacing w:after="0" w:line="305" w:lineRule="auto"/>
        <w:rPr>
          <w:sz w:val="20"/>
          <w:szCs w:val="20"/>
          <w:color w:val="auto"/>
        </w:rPr>
      </w:pPr>
      <w:r>
        <w:rPr>
          <w:rFonts w:ascii="Arial" w:cs="Arial" w:eastAsia="Arial" w:hAnsi="Arial"/>
          <w:sz w:val="14"/>
          <w:szCs w:val="14"/>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4"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We may be subject to patent infringement or other intellectual property lawsuits that could be costly to defend.</w:t>
      </w:r>
    </w:p>
    <w:p>
      <w:pPr>
        <w:spacing w:after="0" w:line="167" w:lineRule="exact"/>
        <w:rPr>
          <w:sz w:val="20"/>
          <w:szCs w:val="20"/>
          <w:color w:val="auto"/>
        </w:rPr>
      </w:pPr>
    </w:p>
    <w:p>
      <w:pPr>
        <w:ind w:right="40" w:firstLine="590"/>
        <w:spacing w:after="0" w:line="294" w:lineRule="auto"/>
        <w:rPr>
          <w:sz w:val="20"/>
          <w:szCs w:val="20"/>
          <w:color w:val="auto"/>
        </w:rPr>
      </w:pPr>
      <w:r>
        <w:rPr>
          <w:rFonts w:ascii="Arial" w:cs="Arial" w:eastAsia="Arial" w:hAnsi="Arial"/>
          <w:sz w:val="14"/>
          <w:szCs w:val="14"/>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26" w:lineRule="exact"/>
        <w:rPr>
          <w:sz w:val="20"/>
          <w:szCs w:val="20"/>
          <w:color w:val="auto"/>
        </w:rPr>
      </w:pPr>
    </w:p>
    <w:p>
      <w:pPr>
        <w:ind w:right="20" w:firstLine="590"/>
        <w:spacing w:after="0" w:line="278" w:lineRule="auto"/>
        <w:rPr>
          <w:sz w:val="20"/>
          <w:szCs w:val="20"/>
          <w:color w:val="auto"/>
        </w:rPr>
      </w:pPr>
      <w:r>
        <w:rPr>
          <w:rFonts w:ascii="Arial" w:cs="Arial" w:eastAsia="Arial" w:hAnsi="Arial"/>
          <w:sz w:val="15"/>
          <w:szCs w:val="15"/>
          <w:color w:val="auto"/>
        </w:rPr>
        <w:t>If we become subject to a patent infringement or other intellectual property lawsuit and if the relevant patents or other intellectual property were upheld as valid and enforceable and we were found to infringe or violate the terms of a license to which we are a party, we could be prevented from selling any infringing products of ours unless we could obtain a license or were able to redesign the product to avoid infringement. If we were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could become subject to product liability claims, product recalls, and warranty claims that could be expensive, divert management’s attention and harm our business.</w:t>
      </w:r>
    </w:p>
    <w:p>
      <w:pPr>
        <w:spacing w:after="0" w:line="262" w:lineRule="exact"/>
        <w:rPr>
          <w:sz w:val="20"/>
          <w:szCs w:val="20"/>
          <w:color w:val="auto"/>
        </w:rPr>
      </w:pPr>
    </w:p>
    <w:p>
      <w:pPr>
        <w:ind w:right="40" w:firstLine="590"/>
        <w:spacing w:after="0" w:line="256" w:lineRule="auto"/>
        <w:rPr>
          <w:sz w:val="20"/>
          <w:szCs w:val="20"/>
          <w:color w:val="auto"/>
        </w:rPr>
      </w:pPr>
      <w:r>
        <w:rPr>
          <w:rFonts w:ascii="Arial" w:cs="Arial" w:eastAsia="Arial" w:hAnsi="Arial"/>
          <w:sz w:val="16"/>
          <w:szCs w:val="16"/>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or possibly prove defects (some of which could be alleged or proved to cause harm to users or others) because we design our technology to perform complex functions involving RF energy, possibly in close proximity to users. A product liability claim, regardless of its merit or eventual outcome, could result in significant legal defense costs. The coverage limits of our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and business, harm our relationship with licensors of our products, result in a decline in revenue and harm our business.</w:t>
      </w:r>
    </w:p>
    <w:p>
      <w:pPr>
        <w:spacing w:after="0" w:line="196" w:lineRule="exact"/>
        <w:rPr>
          <w:sz w:val="20"/>
          <w:szCs w:val="20"/>
          <w:color w:val="auto"/>
        </w:rPr>
      </w:pPr>
    </w:p>
    <w:p>
      <w:pPr>
        <w:ind w:right="300" w:firstLine="590"/>
        <w:spacing w:after="0" w:line="258" w:lineRule="auto"/>
        <w:rPr>
          <w:sz w:val="20"/>
          <w:szCs w:val="20"/>
          <w:color w:val="auto"/>
        </w:rPr>
      </w:pPr>
      <w:r>
        <w:rPr>
          <w:rFonts w:ascii="Arial" w:cs="Arial" w:eastAsia="Arial" w:hAnsi="Arial"/>
          <w:sz w:val="16"/>
          <w:szCs w:val="16"/>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of products incorporating our technology, which could in turn result in required recalls, restrictions on the sale of such products or other penalties. The adverse publicity resulting from any of these actions could adversely affect the perception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If we are not able to secure advantageous license agreements for our technology, our business and results of operations will be adversely affected.</w:t>
      </w:r>
    </w:p>
    <w:p>
      <w:pPr>
        <w:spacing w:after="0" w:line="167" w:lineRule="exact"/>
        <w:rPr>
          <w:sz w:val="20"/>
          <w:szCs w:val="20"/>
          <w:color w:val="auto"/>
        </w:rPr>
      </w:pPr>
    </w:p>
    <w:p>
      <w:pPr>
        <w:ind w:right="20" w:firstLine="590"/>
        <w:spacing w:after="0" w:line="258" w:lineRule="auto"/>
        <w:rPr>
          <w:sz w:val="20"/>
          <w:szCs w:val="20"/>
          <w:color w:val="auto"/>
        </w:rPr>
      </w:pPr>
      <w:r>
        <w:rPr>
          <w:rFonts w:ascii="Arial" w:cs="Arial" w:eastAsia="Arial" w:hAnsi="Arial"/>
          <w:sz w:val="16"/>
          <w:szCs w:val="16"/>
          <w:color w:val="auto"/>
        </w:rPr>
        <w:t>We pursue the licensing of our technology as a primary means of revenue generation. Creating a licensing business relationship often takes a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Regulation of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Domestic and international regulators may deny approval for our technology, and future legislative or regulatory changes may impair our business.</w:t>
      </w:r>
    </w:p>
    <w:p>
      <w:pPr>
        <w:spacing w:after="0" w:line="167" w:lineRule="exact"/>
        <w:rPr>
          <w:sz w:val="20"/>
          <w:szCs w:val="20"/>
          <w:color w:val="auto"/>
        </w:rPr>
      </w:pPr>
    </w:p>
    <w:p>
      <w:pPr>
        <w:ind w:right="60" w:firstLine="590"/>
        <w:spacing w:after="0" w:line="274" w:lineRule="auto"/>
        <w:rPr>
          <w:sz w:val="20"/>
          <w:szCs w:val="20"/>
          <w:color w:val="auto"/>
        </w:rPr>
      </w:pPr>
      <w:r>
        <w:rPr>
          <w:rFonts w:ascii="Arial" w:cs="Arial" w:eastAsia="Arial" w:hAnsi="Arial"/>
          <w:sz w:val="15"/>
          <w:szCs w:val="15"/>
          <w:color w:val="auto"/>
        </w:rPr>
        <w:t>Our charging technology involves power transmission using radio frequency (RF) energy, which is subject to regulation by the Federal Communications Commission in the United States and by comparable regulatory agencies worldwide. It may also be subject to regulation by other agencies. Regulatory concerns include whether human exposure to radio frequency emissions are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is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Personnel</w:t>
      </w:r>
    </w:p>
    <w:p>
      <w:pPr>
        <w:spacing w:after="0" w:line="232"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75" w:lineRule="exact"/>
        <w:rPr>
          <w:sz w:val="20"/>
          <w:szCs w:val="20"/>
          <w:color w:val="auto"/>
        </w:rPr>
      </w:pPr>
    </w:p>
    <w:p>
      <w:pPr>
        <w:ind w:right="40" w:firstLine="590"/>
        <w:spacing w:after="0" w:line="257" w:lineRule="auto"/>
        <w:rPr>
          <w:sz w:val="20"/>
          <w:szCs w:val="20"/>
          <w:color w:val="auto"/>
        </w:rPr>
      </w:pPr>
      <w:r>
        <w:rPr>
          <w:rFonts w:ascii="Arial" w:cs="Arial" w:eastAsia="Arial" w:hAnsi="Arial"/>
          <w:sz w:val="16"/>
          <w:szCs w:val="16"/>
          <w:color w:val="auto"/>
        </w:rPr>
        <w:t>Our ability to implement our business plan depends, to a critical extent, on the continued efforts and services of a very small number of key executives. If we lose the services of any of these persons, we could be required to expend significant time and money in the pursuit of replacements, which may result in a delay in the implementation of our business plan and plan of operations, including in particular the result of the appointments of Cesar Johnson and William Mannina as acting chief executive officer and acting chief financial officer, respectively, following the retirement of our former chief executive officer and president, Stephen Rizzone, and the resignation of our chief financial officer, Brian Sereda in July 2021,. We can give no assurance that we could find satisfactory permanent replacements for these individuals on terms that would not be unduly expensive or burdensome to us. We do not currently carry any key-person life insurance that would help us recoup our costs in the event of the death or disability of any of these executives.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associated with our utilization of engineering consultants.</w:t>
      </w:r>
    </w:p>
    <w:p>
      <w:pPr>
        <w:spacing w:after="0" w:line="167" w:lineRule="exact"/>
        <w:rPr>
          <w:sz w:val="20"/>
          <w:szCs w:val="20"/>
          <w:color w:val="auto"/>
        </w:rPr>
      </w:pPr>
    </w:p>
    <w:p>
      <w:pPr>
        <w:ind w:right="40" w:firstLine="590"/>
        <w:spacing w:after="0" w:line="257" w:lineRule="auto"/>
        <w:rPr>
          <w:sz w:val="20"/>
          <w:szCs w:val="20"/>
          <w:color w:val="auto"/>
        </w:rPr>
      </w:pPr>
      <w:r>
        <w:rPr>
          <w:rFonts w:ascii="Arial" w:cs="Arial" w:eastAsia="Arial" w:hAnsi="Arial"/>
          <w:sz w:val="16"/>
          <w:szCs w:val="16"/>
          <w:color w:val="auto"/>
        </w:rPr>
        <w:t>To improve productivity and accelerate our development efforts while we build out our own engineering team, we may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345" w:right="31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Our success and growth depend on our ability to attract, integrate and retain high-level engineering talent.</w:t>
      </w:r>
    </w:p>
    <w:p>
      <w:pPr>
        <w:spacing w:after="0" w:line="179" w:lineRule="exact"/>
        <w:rPr>
          <w:sz w:val="20"/>
          <w:szCs w:val="20"/>
          <w:color w:val="auto"/>
        </w:rPr>
      </w:pPr>
    </w:p>
    <w:p>
      <w:pPr>
        <w:ind w:right="100" w:firstLine="590"/>
        <w:spacing w:after="0" w:line="278" w:lineRule="auto"/>
        <w:rPr>
          <w:sz w:val="20"/>
          <w:szCs w:val="20"/>
          <w:color w:val="auto"/>
        </w:rPr>
      </w:pPr>
      <w:r>
        <w:rPr>
          <w:rFonts w:ascii="Arial" w:cs="Arial" w:eastAsia="Arial" w:hAnsi="Arial"/>
          <w:sz w:val="15"/>
          <w:szCs w:val="15"/>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17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b w:val="1"/>
          <w:bCs w:val="1"/>
          <w:i w:val="1"/>
          <w:iCs w:val="1"/>
          <w:color w:val="auto"/>
        </w:rPr>
        <w:t>We are a “smaller reporting company,” and the reduced disclosure requirements applicable to smaller reporting companies could make our common stock less attractive to investors.</w:t>
      </w:r>
    </w:p>
    <w:p>
      <w:pPr>
        <w:spacing w:after="0" w:line="114" w:lineRule="exact"/>
        <w:rPr>
          <w:sz w:val="20"/>
          <w:szCs w:val="20"/>
          <w:color w:val="auto"/>
        </w:rPr>
      </w:pPr>
    </w:p>
    <w:p>
      <w:pPr>
        <w:ind w:right="20" w:firstLine="590"/>
        <w:spacing w:after="0" w:line="258"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46" w:lineRule="exact"/>
        <w:rPr>
          <w:sz w:val="20"/>
          <w:szCs w:val="20"/>
          <w:color w:val="auto"/>
        </w:rPr>
      </w:pPr>
    </w:p>
    <w:p>
      <w:pPr>
        <w:ind w:right="20" w:firstLine="590"/>
        <w:spacing w:after="0" w:line="281" w:lineRule="auto"/>
        <w:rPr>
          <w:sz w:val="20"/>
          <w:szCs w:val="20"/>
          <w:color w:val="auto"/>
        </w:rPr>
      </w:pPr>
      <w:r>
        <w:rPr>
          <w:rFonts w:ascii="Arial" w:cs="Arial" w:eastAsia="Arial" w:hAnsi="Arial"/>
          <w:sz w:val="16"/>
          <w:szCs w:val="16"/>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effective internal control over financial reporting, investors may lose confidence in the accuracy of our financial reports.</w:t>
      </w:r>
    </w:p>
    <w:p>
      <w:pPr>
        <w:spacing w:after="0" w:line="179" w:lineRule="exact"/>
        <w:rPr>
          <w:sz w:val="20"/>
          <w:szCs w:val="20"/>
          <w:color w:val="auto"/>
        </w:rPr>
      </w:pPr>
    </w:p>
    <w:p>
      <w:pPr>
        <w:ind w:right="80" w:firstLine="590"/>
        <w:spacing w:after="0" w:line="267"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June 30, 2021, we cannot assure you that we will not identify any material weakness in our internal control in the future.</w:t>
      </w:r>
    </w:p>
    <w:p>
      <w:pPr>
        <w:spacing w:after="0" w:line="137" w:lineRule="exact"/>
        <w:rPr>
          <w:sz w:val="20"/>
          <w:szCs w:val="20"/>
          <w:color w:val="auto"/>
        </w:rPr>
      </w:pPr>
    </w:p>
    <w:p>
      <w:pPr>
        <w:ind w:right="100" w:firstLine="590"/>
        <w:spacing w:after="0" w:line="277" w:lineRule="auto"/>
        <w:rPr>
          <w:sz w:val="20"/>
          <w:szCs w:val="20"/>
          <w:color w:val="auto"/>
        </w:rPr>
      </w:pPr>
      <w:r>
        <w:rPr>
          <w:rFonts w:ascii="Arial" w:cs="Arial" w:eastAsia="Arial" w:hAnsi="Arial"/>
          <w:sz w:val="15"/>
          <w:szCs w:val="15"/>
          <w:color w:val="auto"/>
        </w:rPr>
        <w:t>We qualify as a “smaller reporting company” under new SEC rules such that we are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Nasdaq listing requirements,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21" w:lineRule="exact"/>
        <w:rPr>
          <w:sz w:val="20"/>
          <w:szCs w:val="20"/>
          <w:color w:val="auto"/>
        </w:rPr>
      </w:pPr>
    </w:p>
    <w:p>
      <w:pPr>
        <w:jc w:val="both"/>
        <w:ind w:right="140" w:firstLine="590"/>
        <w:spacing w:after="0" w:line="355" w:lineRule="auto"/>
        <w:rPr>
          <w:sz w:val="20"/>
          <w:szCs w:val="20"/>
          <w:color w:val="auto"/>
        </w:rPr>
      </w:pPr>
      <w:r>
        <w:rPr>
          <w:rFonts w:ascii="Arial" w:cs="Arial" w:eastAsia="Arial" w:hAnsi="Arial"/>
          <w:sz w:val="14"/>
          <w:szCs w:val="14"/>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might lose all of your investment.</w:t>
      </w:r>
    </w:p>
    <w:p>
      <w:pPr>
        <w:spacing w:after="0" w:line="167" w:lineRule="exact"/>
        <w:rPr>
          <w:sz w:val="20"/>
          <w:szCs w:val="20"/>
          <w:color w:val="auto"/>
        </w:rPr>
      </w:pPr>
    </w:p>
    <w:p>
      <w:pPr>
        <w:ind w:right="460" w:firstLine="590"/>
        <w:spacing w:after="0" w:line="281" w:lineRule="auto"/>
        <w:rPr>
          <w:sz w:val="20"/>
          <w:szCs w:val="20"/>
          <w:color w:val="auto"/>
        </w:rPr>
      </w:pPr>
      <w:r>
        <w:rPr>
          <w:rFonts w:ascii="Arial" w:cs="Arial" w:eastAsia="Arial" w:hAnsi="Arial"/>
          <w:sz w:val="16"/>
          <w:szCs w:val="16"/>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4"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Our stock price is likely to continue to be volatile.</w:t>
      </w:r>
    </w:p>
    <w:p>
      <w:pPr>
        <w:spacing w:after="0" w:line="179" w:lineRule="exact"/>
        <w:rPr>
          <w:sz w:val="20"/>
          <w:szCs w:val="20"/>
          <w:color w:val="auto"/>
        </w:rPr>
      </w:pPr>
    </w:p>
    <w:p>
      <w:pPr>
        <w:ind w:right="200" w:firstLine="590"/>
        <w:spacing w:after="0" w:line="281" w:lineRule="auto"/>
        <w:rPr>
          <w:sz w:val="20"/>
          <w:szCs w:val="20"/>
          <w:color w:val="auto"/>
        </w:rPr>
      </w:pPr>
      <w:r>
        <w:rPr>
          <w:rFonts w:ascii="Arial" w:cs="Arial" w:eastAsia="Arial" w:hAnsi="Arial"/>
          <w:sz w:val="16"/>
          <w:szCs w:val="16"/>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54" w:lineRule="exact"/>
        <w:rPr>
          <w:sz w:val="20"/>
          <w:szCs w:val="20"/>
          <w:color w:val="auto"/>
        </w:rPr>
      </w:pPr>
    </w:p>
    <w:p>
      <w:pPr>
        <w:ind w:left="860" w:hanging="427"/>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announcements;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actual or anticipated variations in operating results;</w:t>
      </w:r>
    </w:p>
    <w:p>
      <w:pPr>
        <w:spacing w:after="0" w:line="106" w:lineRule="exact"/>
        <w:rPr>
          <w:rFonts w:ascii="Arial" w:cs="Arial" w:eastAsia="Arial" w:hAnsi="Arial"/>
          <w:sz w:val="16"/>
          <w:szCs w:val="16"/>
          <w:color w:val="auto"/>
        </w:rPr>
      </w:pPr>
    </w:p>
    <w:p>
      <w:pPr>
        <w:ind w:left="860" w:right="160" w:hanging="427"/>
        <w:spacing w:after="0" w:line="281" w:lineRule="auto"/>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economic conditions and perceptions of future economic growth prospectus in the economy at large, including as a result of the impact of the COVID-19 pandemic, including in particular the “delta” variant;</w:t>
      </w:r>
    </w:p>
    <w:p>
      <w:pPr>
        <w:spacing w:after="0" w:line="53" w:lineRule="exact"/>
        <w:rPr>
          <w:rFonts w:ascii="Arial" w:cs="Arial" w:eastAsia="Arial" w:hAnsi="Arial"/>
          <w:sz w:val="16"/>
          <w:szCs w:val="16"/>
          <w:color w:val="auto"/>
        </w:rPr>
      </w:pPr>
    </w:p>
    <w:p>
      <w:pPr>
        <w:ind w:left="860" w:hanging="427"/>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limited number of holders of our common stock;</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economic performance and/or market valuations of other technology companies;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announcements of significant strategic partnerships, regulatory developments and other events;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announcements by other companies in our industry;</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articles published or rumors circulated by third parties regarding our business, technology or development partners;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additions or departures of key personnel; and</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or other transactions involving our capital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paid dividends in the past and have no immediate plans to pay dividends.</w:t>
      </w:r>
    </w:p>
    <w:p>
      <w:pPr>
        <w:spacing w:after="0" w:line="167" w:lineRule="exact"/>
        <w:rPr>
          <w:sz w:val="20"/>
          <w:szCs w:val="20"/>
          <w:color w:val="auto"/>
        </w:rPr>
      </w:pPr>
    </w:p>
    <w:p>
      <w:pPr>
        <w:jc w:val="both"/>
        <w:ind w:right="20" w:firstLine="590"/>
        <w:spacing w:after="0" w:line="292" w:lineRule="auto"/>
        <w:rPr>
          <w:sz w:val="20"/>
          <w:szCs w:val="20"/>
          <w:color w:val="auto"/>
        </w:rPr>
      </w:pPr>
      <w:r>
        <w:rPr>
          <w:rFonts w:ascii="Arial" w:cs="Arial" w:eastAsia="Arial" w:hAnsi="Arial"/>
          <w:sz w:val="15"/>
          <w:szCs w:val="15"/>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170"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26" w:lineRule="exact"/>
        <w:rPr>
          <w:sz w:val="20"/>
          <w:szCs w:val="20"/>
          <w:color w:val="auto"/>
        </w:rPr>
      </w:pPr>
    </w:p>
    <w:p>
      <w:pPr>
        <w:ind w:right="100" w:firstLine="590"/>
        <w:spacing w:after="0" w:line="281" w:lineRule="auto"/>
        <w:rPr>
          <w:sz w:val="20"/>
          <w:szCs w:val="20"/>
          <w:color w:val="auto"/>
        </w:rPr>
      </w:pPr>
      <w:r>
        <w:rPr>
          <w:rFonts w:ascii="Arial" w:cs="Arial" w:eastAsia="Arial" w:hAnsi="Arial"/>
          <w:sz w:val="15"/>
          <w:szCs w:val="15"/>
          <w:color w:val="auto"/>
        </w:rPr>
        <w:t>As a public reporting company, we incur significant legal, accounting and other expenses. We are subject to reporting requirements of the Securities Exchange Act of 1934, as amended, and rules subsequently implemented by the Securities and Exchange Commission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can be expected to increase as we emerged from emerging growth company status and will increase significantly if we no longer qualify as a smaller reporting company.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67" w:lineRule="exact"/>
        <w:rPr>
          <w:sz w:val="20"/>
          <w:szCs w:val="20"/>
          <w:color w:val="auto"/>
        </w:rPr>
      </w:pPr>
    </w:p>
    <w:p>
      <w:pPr>
        <w:ind w:right="180" w:firstLine="590"/>
        <w:spacing w:after="0" w:line="262" w:lineRule="auto"/>
        <w:rPr>
          <w:sz w:val="20"/>
          <w:szCs w:val="20"/>
          <w:color w:val="auto"/>
        </w:rPr>
      </w:pPr>
      <w:r>
        <w:rPr>
          <w:rFonts w:ascii="Arial" w:cs="Arial" w:eastAsia="Arial" w:hAnsi="Arial"/>
          <w:sz w:val="16"/>
          <w:szCs w:val="16"/>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Federal net operating loss carry forwards to reduce future tax payments may be limited if our taxable income does not reach sufficient levels.</w:t>
      </w:r>
    </w:p>
    <w:p>
      <w:pPr>
        <w:spacing w:after="0" w:line="190" w:lineRule="exact"/>
        <w:rPr>
          <w:sz w:val="20"/>
          <w:szCs w:val="20"/>
          <w:color w:val="auto"/>
        </w:rPr>
      </w:pPr>
    </w:p>
    <w:p>
      <w:pPr>
        <w:ind w:right="180" w:firstLine="590"/>
        <w:spacing w:after="0" w:line="281" w:lineRule="auto"/>
        <w:rPr>
          <w:sz w:val="20"/>
          <w:szCs w:val="20"/>
          <w:color w:val="auto"/>
        </w:rPr>
      </w:pPr>
      <w:r>
        <w:rPr>
          <w:rFonts w:ascii="Arial" w:cs="Arial" w:eastAsia="Arial" w:hAnsi="Arial"/>
          <w:sz w:val="15"/>
          <w:szCs w:val="15"/>
          <w:color w:val="auto"/>
        </w:rPr>
        <w:t>As of December 31, 2020, we had a Federal net operating loss (“NOL”) carryforward of approximately $205,474,000. Under the U.S. Tax Code,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2020, based on our history of operating losses it is possible that a portion of our NOLs will not be fully realizable.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4"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Our charter documents and Delaware law may inhibit a takeover that stockholders consider favorable.</w:t>
      </w:r>
    </w:p>
    <w:p>
      <w:pPr>
        <w:spacing w:after="0" w:line="179" w:lineRule="exact"/>
        <w:rPr>
          <w:sz w:val="20"/>
          <w:szCs w:val="20"/>
          <w:color w:val="auto"/>
        </w:rPr>
      </w:pPr>
    </w:p>
    <w:p>
      <w:pPr>
        <w:ind w:right="40" w:firstLine="590"/>
        <w:spacing w:after="0" w:line="267" w:lineRule="auto"/>
        <w:rPr>
          <w:sz w:val="20"/>
          <w:szCs w:val="20"/>
          <w:color w:val="auto"/>
        </w:rPr>
      </w:pPr>
      <w:r>
        <w:rPr>
          <w:rFonts w:ascii="Arial" w:cs="Arial" w:eastAsia="Arial" w:hAnsi="Arial"/>
          <w:sz w:val="16"/>
          <w:szCs w:val="16"/>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w:t>
      </w:r>
    </w:p>
    <w:p>
      <w:pPr>
        <w:spacing w:after="0" w:line="64" w:lineRule="exact"/>
        <w:rPr>
          <w:sz w:val="20"/>
          <w:szCs w:val="20"/>
          <w:color w:val="auto"/>
        </w:rPr>
      </w:pPr>
    </w:p>
    <w:p>
      <w:pPr>
        <w:ind w:left="860" w:right="100" w:hanging="427"/>
        <w:spacing w:after="0" w:line="355" w:lineRule="auto"/>
        <w:tabs>
          <w:tab w:leader="none" w:pos="8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authorize our board of directors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8" w:lineRule="exact"/>
        <w:rPr>
          <w:rFonts w:ascii="Arial" w:cs="Arial" w:eastAsia="Arial" w:hAnsi="Arial"/>
          <w:sz w:val="14"/>
          <w:szCs w:val="14"/>
          <w:color w:val="auto"/>
        </w:rPr>
      </w:pPr>
    </w:p>
    <w:p>
      <w:pPr>
        <w:ind w:left="860" w:hanging="427"/>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 not permit stockholders to act by written consent;</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 not provide for cumulative voting rights; and</w:t>
      </w:r>
    </w:p>
    <w:p>
      <w:pPr>
        <w:spacing w:after="0" w:line="106" w:lineRule="exact"/>
        <w:rPr>
          <w:rFonts w:ascii="Arial" w:cs="Arial" w:eastAsia="Arial" w:hAnsi="Arial"/>
          <w:sz w:val="16"/>
          <w:szCs w:val="16"/>
          <w:color w:val="auto"/>
        </w:rPr>
      </w:pPr>
    </w:p>
    <w:p>
      <w:pPr>
        <w:ind w:left="860" w:hanging="427"/>
        <w:spacing w:after="0"/>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that all vacancies may be filled by the affirmative vote of a majority of directors then in office, even if less than a quorum.</w:t>
      </w:r>
    </w:p>
    <w:p>
      <w:pPr>
        <w:spacing w:after="0" w:line="22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maintained.</w:t>
      </w:r>
    </w:p>
    <w:p>
      <w:pPr>
        <w:spacing w:after="0" w:line="167" w:lineRule="exact"/>
        <w:rPr>
          <w:sz w:val="20"/>
          <w:szCs w:val="20"/>
          <w:color w:val="auto"/>
        </w:rPr>
      </w:pPr>
    </w:p>
    <w:p>
      <w:pPr>
        <w:ind w:right="20" w:firstLine="590"/>
        <w:spacing w:after="0" w:line="259" w:lineRule="auto"/>
        <w:rPr>
          <w:sz w:val="20"/>
          <w:szCs w:val="20"/>
          <w:color w:val="auto"/>
        </w:rPr>
      </w:pPr>
      <w:r>
        <w:rPr>
          <w:rFonts w:ascii="Arial" w:cs="Arial" w:eastAsia="Arial" w:hAnsi="Arial"/>
          <w:sz w:val="16"/>
          <w:szCs w:val="16"/>
          <w:color w:val="auto"/>
        </w:rPr>
        <w:t>Our stock is currently traded on The Nasdaq Stock Market, but we can provide no assurance that we will be able to maintain an active trading market on The Nasdaq Stock Market or any other exchange in the future, including if we no longer meet the applicable listing standards of Nasdaq. If an active market for our common stock is not maintained, or if we no longer qualify to be listed on Nasdaq, it may be difficult for our stockholders to sell or purchase shares on such a national securities exchange, or otherwise. An inactive market may also impair our ability to raise capital to continue to fund operations by selling shares and impair our ability to acquire other companies or technologies by using our shares as consideration.</w:t>
      </w:r>
    </w:p>
    <w:p>
      <w:pPr>
        <w:spacing w:after="0" w:line="146"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14" w:lineRule="exact"/>
        <w:rPr>
          <w:sz w:val="20"/>
          <w:szCs w:val="20"/>
          <w:color w:val="auto"/>
        </w:rPr>
      </w:pPr>
    </w:p>
    <w:p>
      <w:pPr>
        <w:ind w:right="80" w:firstLine="590"/>
        <w:spacing w:after="0" w:line="285" w:lineRule="auto"/>
        <w:rPr>
          <w:sz w:val="20"/>
          <w:szCs w:val="20"/>
          <w:color w:val="auto"/>
        </w:rPr>
      </w:pPr>
      <w:r>
        <w:rPr>
          <w:rFonts w:ascii="Arial" w:cs="Arial" w:eastAsia="Arial" w:hAnsi="Arial"/>
          <w:sz w:val="15"/>
          <w:szCs w:val="15"/>
          <w:color w:val="auto"/>
        </w:rPr>
        <w:t>The trading market for our common stock will depend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Sales of Unregistered Securities; Use of Proceeds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4" w:right="31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Item 5. 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exhibits required to be filed as a part of this report are listed in the Exhibit Index.</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7169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80" w:right="319" w:bottom="1440" w:gutter="0" w:footer="0" w:header="0"/>
        </w:sectPr>
      </w:pPr>
    </w:p>
    <w:bookmarkStart w:id="36" w:name="page37"/>
    <w:bookmarkEnd w:id="36"/>
    <w:tbl>
      <w:tblPr>
        <w:tblLayout w:type="fixed"/>
        <w:tblInd w:w="3"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760" w:type="dxa"/>
            <w:vAlign w:val="bottom"/>
            <w:gridSpan w:val="7"/>
          </w:tcPr>
          <w:p>
            <w:pPr>
              <w:ind w:left="50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332"/>
        </w:trPr>
        <w:tc>
          <w:tcPr>
            <w:tcW w:w="92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60" w:type="dxa"/>
            <w:vAlign w:val="bottom"/>
            <w:gridSpan w:val="7"/>
            <w:vMerge w:val="restart"/>
          </w:tcPr>
          <w:p>
            <w:pPr>
              <w:ind w:left="13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3"/>
        </w:trPr>
        <w:tc>
          <w:tcPr>
            <w:tcW w:w="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760" w:type="dxa"/>
            <w:vAlign w:val="bottom"/>
            <w:tcBorders>
              <w:bottom w:val="single" w:sz="8" w:color="auto"/>
            </w:tcBorders>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920" w:type="dxa"/>
            <w:vAlign w:val="bottom"/>
          </w:tcPr>
          <w:p>
            <w:pPr>
              <w:ind w:left="80"/>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22"/>
                <w:szCs w:val="22"/>
                <w:color w:val="auto"/>
              </w:rPr>
            </w:pPr>
          </w:p>
        </w:tc>
        <w:tc>
          <w:tcPr>
            <w:tcW w:w="3100" w:type="dxa"/>
            <w:vAlign w:val="bottom"/>
            <w:tcBorders>
              <w:bottom w:val="single" w:sz="8" w:color="0000EE"/>
            </w:tcBorders>
          </w:tcPr>
          <w:p>
            <w:pPr>
              <w:spacing w:after="0"/>
              <w:rPr>
                <w:rFonts w:ascii="Arial" w:cs="Arial" w:eastAsia="Arial" w:hAnsi="Arial"/>
                <w:sz w:val="16"/>
                <w:szCs w:val="16"/>
                <w:color w:val="0000EE"/>
                <w:w w:val="92"/>
              </w:rPr>
            </w:pPr>
            <w:hyperlink w:anchor="page39">
              <w:r>
                <w:rPr>
                  <w:rFonts w:ascii="Arial" w:cs="Arial" w:eastAsia="Arial" w:hAnsi="Arial"/>
                  <w:sz w:val="16"/>
                  <w:szCs w:val="16"/>
                  <w:color w:val="0000EE"/>
                  <w:w w:val="92"/>
                </w:rPr>
                <w:t>Form of Indemnity Agreement of the Registrant</w:t>
              </w:r>
            </w:hyperlink>
          </w:p>
        </w:tc>
        <w:tc>
          <w:tcPr>
            <w:tcW w:w="710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920" w:type="dxa"/>
            <w:vAlign w:val="bottom"/>
          </w:tcPr>
          <w:p>
            <w:pPr>
              <w:ind w:left="80"/>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Amended and Restated 2013 Equity Incentive Plan of the Registrant, as amended on June 16,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920" w:type="dxa"/>
            <w:vAlign w:val="bottom"/>
          </w:tcPr>
          <w:p>
            <w:pPr>
              <w:ind w:left="80"/>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Amended and Restated Employee Stock Purchase Plan of the Registrant, as amended on June 16, 2021</w:t>
              </w:r>
            </w:hyperlink>
          </w:p>
        </w:tc>
        <w:tc>
          <w:tcPr>
            <w:tcW w:w="0" w:type="dxa"/>
            <w:vAlign w:val="bottom"/>
          </w:tcPr>
          <w:p>
            <w:pPr>
              <w:spacing w:after="0"/>
              <w:rPr>
                <w:sz w:val="1"/>
                <w:szCs w:val="1"/>
                <w:color w:val="auto"/>
              </w:rPr>
            </w:pPr>
          </w:p>
        </w:tc>
      </w:tr>
      <w:tr>
        <w:trPr>
          <w:trHeight w:val="307"/>
        </w:trPr>
        <w:tc>
          <w:tcPr>
            <w:tcW w:w="920" w:type="dxa"/>
            <w:vAlign w:val="bottom"/>
          </w:tcPr>
          <w:p>
            <w:pPr>
              <w:ind w:left="8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24"/>
                <w:szCs w:val="24"/>
                <w:color w:val="auto"/>
              </w:rPr>
            </w:pPr>
          </w:p>
        </w:tc>
        <w:tc>
          <w:tcPr>
            <w:tcW w:w="652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9"/>
              </w:rPr>
            </w:pPr>
            <w:hyperlink w:anchor="page78">
              <w:r>
                <w:rPr>
                  <w:rFonts w:ascii="Arial" w:cs="Arial" w:eastAsia="Arial" w:hAnsi="Arial"/>
                  <w:sz w:val="16"/>
                  <w:szCs w:val="16"/>
                  <w:color w:val="0000EE"/>
                  <w:w w:val="89"/>
                </w:rPr>
                <w:t>Amended and Restated Performance Share Unit Plan of the Registrant, as amended on June 16, 2021</w:t>
              </w:r>
            </w:hyperlink>
          </w:p>
        </w:tc>
        <w:tc>
          <w:tcPr>
            <w:tcW w:w="120" w:type="dxa"/>
            <w:vAlign w:val="bottom"/>
            <w:tcBorders>
              <w:top w:val="single" w:sz="8" w:color="0000EE"/>
            </w:tcBorders>
          </w:tcPr>
          <w:p>
            <w:pPr>
              <w:spacing w:after="0"/>
              <w:rPr>
                <w:sz w:val="24"/>
                <w:szCs w:val="24"/>
                <w:color w:val="auto"/>
              </w:rPr>
            </w:pPr>
          </w:p>
        </w:tc>
        <w:tc>
          <w:tcPr>
            <w:tcW w:w="3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20" w:type="dxa"/>
            <w:vAlign w:val="bottom"/>
          </w:tcPr>
          <w:p>
            <w:pPr>
              <w:ind w:left="8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6"/>
                <w:szCs w:val="16"/>
                <w:color w:val="0000EE"/>
                <w:w w:val="93"/>
              </w:rPr>
            </w:pPr>
            <w:hyperlink w:anchor="page90">
              <w:r>
                <w:rPr>
                  <w:rFonts w:ascii="Arial" w:cs="Arial" w:eastAsia="Arial" w:hAnsi="Arial"/>
                  <w:sz w:val="16"/>
                  <w:szCs w:val="16"/>
                  <w:color w:val="0000EE"/>
                  <w:w w:val="93"/>
                </w:rPr>
                <w:t>Certification of Periodic Report by Acting Chief Executive Officer (principal executive officer) pursuant to Rule 13a-14(a)/15d-14a (filed herewith)</w:t>
              </w:r>
            </w:hyperlink>
          </w:p>
        </w:tc>
        <w:tc>
          <w:tcPr>
            <w:tcW w:w="6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920" w:type="dxa"/>
            <w:vAlign w:val="bottom"/>
          </w:tcPr>
          <w:p>
            <w:pPr>
              <w:ind w:left="80"/>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4"/>
                <w:szCs w:val="24"/>
                <w:color w:val="auto"/>
              </w:rPr>
            </w:pPr>
          </w:p>
        </w:tc>
        <w:tc>
          <w:tcPr>
            <w:tcW w:w="9220" w:type="dxa"/>
            <w:vAlign w:val="bottom"/>
            <w:tcBorders>
              <w:bottom w:val="single" w:sz="8" w:color="0000EE"/>
            </w:tcBorders>
            <w:gridSpan w:val="6"/>
          </w:tcPr>
          <w:p>
            <w:pPr>
              <w:spacing w:after="0"/>
              <w:rPr>
                <w:rFonts w:ascii="Arial" w:cs="Arial" w:eastAsia="Arial" w:hAnsi="Arial"/>
                <w:sz w:val="16"/>
                <w:szCs w:val="16"/>
                <w:color w:val="0000EE"/>
                <w:w w:val="93"/>
              </w:rPr>
            </w:pPr>
            <w:hyperlink w:anchor="page91">
              <w:r>
                <w:rPr>
                  <w:rFonts w:ascii="Arial" w:cs="Arial" w:eastAsia="Arial" w:hAnsi="Arial"/>
                  <w:sz w:val="16"/>
                  <w:szCs w:val="16"/>
                  <w:color w:val="0000EE"/>
                  <w:w w:val="93"/>
                </w:rPr>
                <w:t>Certification of Periodic Report by the Chief Financial Officer (principal financial officer) pursuant to Rule 13a-14(a)/15d-14a (filed herewith)</w:t>
              </w:r>
            </w:hyperlink>
          </w:p>
        </w:tc>
        <w:tc>
          <w:tcPr>
            <w:tcW w:w="9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920" w:type="dxa"/>
            <w:vAlign w:val="bottom"/>
          </w:tcPr>
          <w:p>
            <w:pPr>
              <w:ind w:left="80"/>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24"/>
                <w:szCs w:val="24"/>
                <w:color w:val="auto"/>
              </w:rPr>
            </w:pPr>
          </w:p>
        </w:tc>
        <w:tc>
          <w:tcPr>
            <w:tcW w:w="10200" w:type="dxa"/>
            <w:vAlign w:val="bottom"/>
            <w:gridSpan w:val="9"/>
          </w:tcPr>
          <w:p>
            <w:pPr>
              <w:spacing w:after="0"/>
              <w:rPr>
                <w:rFonts w:ascii="Arial" w:cs="Arial" w:eastAsia="Arial" w:hAnsi="Arial"/>
                <w:sz w:val="16"/>
                <w:szCs w:val="16"/>
                <w:color w:val="0000EE"/>
                <w:w w:val="96"/>
              </w:rPr>
            </w:pPr>
            <w:hyperlink w:anchor="page92">
              <w:r>
                <w:rPr>
                  <w:rFonts w:ascii="Arial" w:cs="Arial" w:eastAsia="Arial" w:hAnsi="Arial"/>
                  <w:sz w:val="16"/>
                  <w:szCs w:val="16"/>
                  <w:color w:val="0000EE"/>
                  <w:w w:val="96"/>
                </w:rPr>
                <w:t>Certification of Periodic Report by Acting Chief Executive Officer (principal executive officer) and the Chief Financial Officer (principal financial officer)</w:t>
              </w:r>
            </w:hyperlink>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2"/>
          </w:tcPr>
          <w:p>
            <w:pPr>
              <w:spacing w:after="0" w:line="174" w:lineRule="exact"/>
              <w:rPr>
                <w:rFonts w:ascii="Arial" w:cs="Arial" w:eastAsia="Arial" w:hAnsi="Arial"/>
                <w:sz w:val="16"/>
                <w:szCs w:val="16"/>
                <w:color w:val="0000EE"/>
                <w:w w:val="91"/>
              </w:rPr>
            </w:pPr>
            <w:hyperlink w:anchor="page92">
              <w:r>
                <w:rPr>
                  <w:rFonts w:ascii="Arial" w:cs="Arial" w:eastAsia="Arial" w:hAnsi="Arial"/>
                  <w:sz w:val="16"/>
                  <w:szCs w:val="16"/>
                  <w:color w:val="0000EE"/>
                  <w:w w:val="91"/>
                </w:rPr>
                <w:t>pursuant to U.S.C. Section 1350 (furnished herewith)</w:t>
              </w:r>
            </w:hyperlink>
          </w:p>
        </w:tc>
        <w:tc>
          <w:tcPr>
            <w:tcW w:w="6560" w:type="dxa"/>
            <w:vAlign w:val="bottom"/>
            <w:tcBorders>
              <w:top w:val="single" w:sz="8" w:color="0000EE"/>
            </w:tcBorders>
            <w:gridSpan w:val="6"/>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920" w:type="dxa"/>
            <w:vAlign w:val="bottom"/>
          </w:tcPr>
          <w:p>
            <w:pPr>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6"/>
                <w:szCs w:val="16"/>
                <w:color w:val="auto"/>
              </w:rPr>
              <w:t>Inline XBRL Instance Document (filed herewith)</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 (filed herewith)</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 Document (filed herewith)</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 Document (filed herewith)</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 (filed herewith)</w:t>
            </w:r>
          </w:p>
        </w:tc>
        <w:tc>
          <w:tcPr>
            <w:tcW w:w="0" w:type="dxa"/>
            <w:vAlign w:val="bottom"/>
          </w:tcPr>
          <w:p>
            <w:pPr>
              <w:spacing w:after="0"/>
              <w:rPr>
                <w:sz w:val="1"/>
                <w:szCs w:val="1"/>
                <w:color w:val="auto"/>
              </w:rPr>
            </w:pPr>
          </w:p>
        </w:tc>
      </w:tr>
      <w:tr>
        <w:trPr>
          <w:trHeight w:val="315"/>
        </w:trPr>
        <w:tc>
          <w:tcPr>
            <w:tcW w:w="920" w:type="dxa"/>
            <w:vAlign w:val="bottom"/>
          </w:tcPr>
          <w:p>
            <w:pPr>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 Document (filed herewith)</w:t>
            </w:r>
          </w:p>
        </w:tc>
        <w:tc>
          <w:tcPr>
            <w:tcW w:w="0" w:type="dxa"/>
            <w:vAlign w:val="bottom"/>
          </w:tcPr>
          <w:p>
            <w:pPr>
              <w:spacing w:after="0"/>
              <w:rPr>
                <w:sz w:val="1"/>
                <w:szCs w:val="1"/>
                <w:color w:val="auto"/>
              </w:rPr>
            </w:pPr>
          </w:p>
        </w:tc>
      </w:tr>
      <w:tr>
        <w:trPr>
          <w:trHeight w:val="327"/>
        </w:trPr>
        <w:tc>
          <w:tcPr>
            <w:tcW w:w="920" w:type="dxa"/>
            <w:vAlign w:val="bottom"/>
          </w:tcPr>
          <w:p>
            <w:pPr>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24"/>
                <w:szCs w:val="24"/>
                <w:color w:val="auto"/>
              </w:rPr>
            </w:pPr>
          </w:p>
        </w:tc>
        <w:tc>
          <w:tcPr>
            <w:tcW w:w="1020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15074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07490" cy="7620"/>
                    </a:xfrm>
                    <a:prstGeom prst="rect">
                      <a:avLst/>
                    </a:prstGeom>
                    <a:noFill/>
                  </pic:spPr>
                </pic:pic>
              </a:graphicData>
            </a:graphic>
          </wp:anchor>
        </w:drawing>
      </w:r>
    </w:p>
    <w:p>
      <w:pPr>
        <w:spacing w:after="0" w:line="150" w:lineRule="exact"/>
        <w:rPr>
          <w:sz w:val="20"/>
          <w:szCs w:val="20"/>
          <w:color w:val="auto"/>
        </w:rPr>
      </w:pPr>
    </w:p>
    <w:p>
      <w:pPr>
        <w:ind w:left="443" w:right="220" w:hanging="443"/>
        <w:spacing w:after="0" w:line="267" w:lineRule="auto"/>
        <w:tabs>
          <w:tab w:leader="none" w:pos="4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certification shall not be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pacing w:after="0" w:line="379" w:lineRule="exact"/>
        <w:rPr>
          <w:sz w:val="20"/>
          <w:szCs w:val="20"/>
          <w:color w:val="auto"/>
        </w:rPr>
      </w:pPr>
    </w:p>
    <w:p>
      <w:pPr>
        <w:ind w:left="11083"/>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169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6"/>
          <w:szCs w:val="16"/>
          <w:b w:val="1"/>
          <w:bCs w:val="1"/>
          <w:color w:val="auto"/>
        </w:rPr>
        <w:t>SIGNATURE</w:t>
      </w:r>
    </w:p>
    <w:p>
      <w:pPr>
        <w:spacing w:after="0" w:line="232"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260"/>
          </w:cols>
          <w:pgMar w:left="320" w:top="32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Date: August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Date: August 10, 2021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ENERGOUS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(Registrant)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100" w:type="dxa"/>
            <w:vAlign w:val="bottom"/>
          </w:tcPr>
          <w:p>
            <w:pPr>
              <w:spacing w:after="0"/>
              <w:rPr>
                <w:sz w:val="20"/>
                <w:szCs w:val="20"/>
                <w:color w:val="auto"/>
              </w:rPr>
            </w:pPr>
          </w:p>
        </w:tc>
        <w:tc>
          <w:tcPr>
            <w:tcW w:w="55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/s/ Cesar Johnston</w:t>
            </w:r>
          </w:p>
        </w:tc>
      </w:tr>
      <w:tr>
        <w:trPr>
          <w:trHeight w:val="210"/>
        </w:trPr>
        <w:tc>
          <w:tcPr>
            <w:tcW w:w="32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6"/>
                <w:szCs w:val="16"/>
                <w:color w:val="auto"/>
              </w:rPr>
              <w:t>Name:</w:t>
            </w:r>
          </w:p>
        </w:tc>
        <w:tc>
          <w:tcPr>
            <w:tcW w:w="5000" w:type="dxa"/>
            <w:vAlign w:val="bottom"/>
          </w:tcPr>
          <w:p>
            <w:pPr>
              <w:ind w:left="100"/>
              <w:spacing w:after="0"/>
              <w:rPr>
                <w:sz w:val="20"/>
                <w:szCs w:val="20"/>
                <w:color w:val="auto"/>
              </w:rPr>
            </w:pPr>
            <w:r>
              <w:rPr>
                <w:rFonts w:ascii="Arial" w:cs="Arial" w:eastAsia="Arial" w:hAnsi="Arial"/>
                <w:sz w:val="16"/>
                <w:szCs w:val="16"/>
                <w:color w:val="auto"/>
              </w:rPr>
              <w:t>Cesar Johnston</w:t>
            </w:r>
          </w:p>
        </w:tc>
      </w:tr>
      <w:tr>
        <w:trPr>
          <w:trHeight w:val="218"/>
        </w:trPr>
        <w:tc>
          <w:tcPr>
            <w:tcW w:w="32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6"/>
                <w:szCs w:val="16"/>
                <w:color w:val="auto"/>
              </w:rPr>
              <w:t>Title:</w:t>
            </w:r>
          </w:p>
        </w:tc>
        <w:tc>
          <w:tcPr>
            <w:tcW w:w="5000" w:type="dxa"/>
            <w:vAlign w:val="bottom"/>
          </w:tcPr>
          <w:p>
            <w:pPr>
              <w:ind w:left="100"/>
              <w:spacing w:after="0"/>
              <w:rPr>
                <w:sz w:val="20"/>
                <w:szCs w:val="20"/>
                <w:color w:val="auto"/>
              </w:rPr>
            </w:pPr>
            <w:r>
              <w:rPr>
                <w:rFonts w:ascii="Arial" w:cs="Arial" w:eastAsia="Arial" w:hAnsi="Arial"/>
                <w:sz w:val="16"/>
                <w:szCs w:val="16"/>
                <w:color w:val="auto"/>
              </w:rPr>
              <w:t>Acting Chief Executive Officer</w:t>
            </w:r>
          </w:p>
        </w:tc>
      </w:tr>
      <w:tr>
        <w:trPr>
          <w:trHeight w:val="218"/>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6"/>
                <w:szCs w:val="16"/>
                <w:color w:val="auto"/>
              </w:rPr>
              <w:t>(Principal Executive Officer)</w:t>
            </w:r>
          </w:p>
        </w:tc>
      </w:tr>
      <w:tr>
        <w:trPr>
          <w:trHeight w:val="436"/>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100" w:type="dxa"/>
            <w:vAlign w:val="bottom"/>
          </w:tcPr>
          <w:p>
            <w:pPr>
              <w:spacing w:after="0"/>
              <w:rPr>
                <w:sz w:val="24"/>
                <w:szCs w:val="24"/>
                <w:color w:val="auto"/>
              </w:rPr>
            </w:pPr>
          </w:p>
        </w:tc>
        <w:tc>
          <w:tcPr>
            <w:tcW w:w="55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/s/ Brian Sereda</w:t>
            </w:r>
          </w:p>
        </w:tc>
      </w:tr>
      <w:tr>
        <w:trPr>
          <w:trHeight w:val="210"/>
        </w:trPr>
        <w:tc>
          <w:tcPr>
            <w:tcW w:w="32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6"/>
                <w:szCs w:val="16"/>
                <w:color w:val="auto"/>
              </w:rPr>
              <w:t>Name:</w:t>
            </w:r>
          </w:p>
        </w:tc>
        <w:tc>
          <w:tcPr>
            <w:tcW w:w="5000" w:type="dxa"/>
            <w:vAlign w:val="bottom"/>
          </w:tcPr>
          <w:p>
            <w:pPr>
              <w:ind w:left="100"/>
              <w:spacing w:after="0"/>
              <w:rPr>
                <w:sz w:val="20"/>
                <w:szCs w:val="20"/>
                <w:color w:val="auto"/>
              </w:rPr>
            </w:pPr>
            <w:r>
              <w:rPr>
                <w:rFonts w:ascii="Arial" w:cs="Arial" w:eastAsia="Arial" w:hAnsi="Arial"/>
                <w:sz w:val="16"/>
                <w:szCs w:val="16"/>
                <w:color w:val="auto"/>
              </w:rPr>
              <w:t>Brian Sereda</w:t>
            </w:r>
          </w:p>
        </w:tc>
      </w:tr>
      <w:tr>
        <w:trPr>
          <w:trHeight w:val="218"/>
        </w:trPr>
        <w:tc>
          <w:tcPr>
            <w:tcW w:w="32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6"/>
                <w:szCs w:val="16"/>
                <w:color w:val="auto"/>
              </w:rPr>
              <w:t>Title:</w:t>
            </w:r>
          </w:p>
        </w:tc>
        <w:tc>
          <w:tcPr>
            <w:tcW w:w="5000" w:type="dxa"/>
            <w:vAlign w:val="bottom"/>
          </w:tcPr>
          <w:p>
            <w:pPr>
              <w:ind w:left="100"/>
              <w:spacing w:after="0"/>
              <w:rPr>
                <w:sz w:val="20"/>
                <w:szCs w:val="20"/>
                <w:color w:val="auto"/>
              </w:rPr>
            </w:pPr>
            <w:r>
              <w:rPr>
                <w:rFonts w:ascii="Arial" w:cs="Arial" w:eastAsia="Arial" w:hAnsi="Arial"/>
                <w:sz w:val="16"/>
                <w:szCs w:val="16"/>
                <w:color w:val="auto"/>
              </w:rPr>
              <w:t>Senior Vice President and Chief Financial Officer</w:t>
            </w:r>
          </w:p>
        </w:tc>
      </w:tr>
      <w:tr>
        <w:trPr>
          <w:trHeight w:val="218"/>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ectPr>
          <w:pgSz w:w="11900" w:h="16838" w:orient="portrait"/>
          <w:cols w:equalWidth="0" w:num="2">
            <w:col w:w="4600" w:space="720"/>
            <w:col w:w="5940"/>
          </w:cols>
          <w:pgMar w:left="320" w:top="329" w:right="319" w:bottom="1440" w:gutter="0" w:footer="0" w:header="0"/>
          <w:type w:val="continuous"/>
        </w:sectPr>
      </w:pPr>
    </w:p>
    <w:p>
      <w:pPr>
        <w:spacing w:after="0" w:line="200" w:lineRule="exact"/>
        <w:rPr>
          <w:sz w:val="20"/>
          <w:szCs w:val="20"/>
          <w:color w:val="auto"/>
        </w:rPr>
      </w:pPr>
    </w:p>
    <w:p>
      <w:pPr>
        <w:ind w:left="1108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320" w:top="329" w:right="319" w:bottom="1440" w:gutter="0" w:footer="0" w:header="0"/>
          <w:type w:val="continuous"/>
        </w:sectPr>
      </w:pPr>
    </w:p>
    <w:bookmarkStart w:id="38" w:name="page39"/>
    <w:bookmarkEnd w:id="38"/>
    <w:p>
      <w:pPr>
        <w:ind w:left="10040"/>
        <w:spacing w:after="0"/>
        <w:rPr>
          <w:sz w:val="20"/>
          <w:szCs w:val="20"/>
          <w:color w:val="auto"/>
        </w:rPr>
      </w:pPr>
      <w:r>
        <w:rPr>
          <w:rFonts w:ascii="Arial" w:cs="Arial" w:eastAsia="Arial" w:hAnsi="Arial"/>
          <w:sz w:val="19"/>
          <w:szCs w:val="19"/>
          <w:b w:val="1"/>
          <w:bCs w:val="1"/>
          <w:u w:val="single" w:color="auto"/>
          <w:color w:val="auto"/>
        </w:rPr>
        <w:t>EXHIBIT 10.1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INDEMNITY AGREEMENT</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This Indemnity Agreement, dated as of ___________, 20__ is made by and between Energous Corporation, a Delaware corporation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and _________________, a director, officer or key employee of the Company or one of the Company’s subsidiaries or other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service provider who satisfies the definition of Indemnifiable Person set forth below (“</w:t>
      </w:r>
      <w:r>
        <w:rPr>
          <w:rFonts w:ascii="Arial" w:cs="Arial" w:eastAsia="Arial" w:hAnsi="Arial"/>
          <w:sz w:val="19"/>
          <w:szCs w:val="19"/>
          <w:u w:val="single" w:color="auto"/>
          <w:color w:val="auto"/>
        </w:rPr>
        <w:t>Indemnitee</w:t>
      </w:r>
      <w:r>
        <w:rPr>
          <w:rFonts w:ascii="Arial" w:cs="Arial" w:eastAsia="Arial" w:hAnsi="Arial"/>
          <w:sz w:val="19"/>
          <w:szCs w:val="19"/>
          <w:color w:val="auto"/>
        </w:rPr>
        <w:t>”).</w:t>
      </w:r>
    </w:p>
    <w:p>
      <w:pPr>
        <w:spacing w:after="0" w:line="177"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RECITALS</w:t>
      </w:r>
    </w:p>
    <w:p>
      <w:pPr>
        <w:spacing w:after="0" w:line="193" w:lineRule="exact"/>
        <w:rPr>
          <w:sz w:val="20"/>
          <w:szCs w:val="20"/>
          <w:color w:val="auto"/>
        </w:rPr>
      </w:pPr>
    </w:p>
    <w:p>
      <w:pPr>
        <w:ind w:left="860"/>
        <w:spacing w:after="0"/>
        <w:tabs>
          <w:tab w:leader="none" w:pos="33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The Company is aware that competent and experienced persons are increasingly reluctant to serve as</w:t>
      </w:r>
    </w:p>
    <w:p>
      <w:pPr>
        <w:spacing w:after="0" w:line="39"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representatives of corporations unless they are protected by comprehensive liability insurance and indemnification, due to increased exposure to litigation costs and risks resulting from their service to such corporations, and due to the fact that the exposure frequently bears no relationship to the compensation of such representatives;</w:t>
      </w:r>
    </w:p>
    <w:p>
      <w:pPr>
        <w:spacing w:after="0" w:line="160" w:lineRule="exact"/>
        <w:rPr>
          <w:sz w:val="20"/>
          <w:szCs w:val="20"/>
          <w:color w:val="auto"/>
        </w:rPr>
      </w:pPr>
    </w:p>
    <w:p>
      <w:pPr>
        <w:jc w:val="both"/>
        <w:ind w:firstLine="865"/>
        <w:spacing w:after="0" w:line="245" w:lineRule="auto"/>
        <w:rPr>
          <w:sz w:val="20"/>
          <w:szCs w:val="20"/>
          <w:color w:val="auto"/>
        </w:rPr>
      </w:pPr>
      <w:r>
        <w:rPr>
          <w:rFonts w:ascii="Arial" w:cs="Arial" w:eastAsia="Arial" w:hAnsi="Arial"/>
          <w:sz w:val="19"/>
          <w:szCs w:val="19"/>
          <w:color w:val="auto"/>
        </w:rPr>
        <w:t>B. The members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have concluded that to retain and attract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maximum liability for Expenses and Other Liabilities in connection with claims against such representatives in connection with their service to the Company and its Subsidiaries and Affiliates;</w:t>
      </w:r>
    </w:p>
    <w:p>
      <w:pPr>
        <w:spacing w:after="0" w:line="164" w:lineRule="exact"/>
        <w:rPr>
          <w:sz w:val="20"/>
          <w:szCs w:val="20"/>
          <w:color w:val="auto"/>
        </w:rPr>
      </w:pPr>
    </w:p>
    <w:p>
      <w:pPr>
        <w:jc w:val="both"/>
        <w:ind w:right="20" w:firstLine="865"/>
        <w:spacing w:after="0" w:line="249" w:lineRule="auto"/>
        <w:rPr>
          <w:sz w:val="20"/>
          <w:szCs w:val="20"/>
          <w:color w:val="auto"/>
        </w:rPr>
      </w:pPr>
      <w:r>
        <w:rPr>
          <w:rFonts w:ascii="Arial" w:cs="Arial" w:eastAsia="Arial" w:hAnsi="Arial"/>
          <w:sz w:val="19"/>
          <w:szCs w:val="19"/>
          <w:color w:val="auto"/>
        </w:rPr>
        <w:t>C. Section 145 of the Delaware General Corporation Law (“</w:t>
      </w:r>
      <w:r>
        <w:rPr>
          <w:rFonts w:ascii="Arial" w:cs="Arial" w:eastAsia="Arial" w:hAnsi="Arial"/>
          <w:sz w:val="19"/>
          <w:szCs w:val="19"/>
          <w:u w:val="single" w:color="auto"/>
          <w:color w:val="auto"/>
        </w:rPr>
        <w:t>Section 145</w:t>
      </w:r>
      <w:r>
        <w:rPr>
          <w:rFonts w:ascii="Arial" w:cs="Arial" w:eastAsia="Arial" w:hAnsi="Arial"/>
          <w:sz w:val="19"/>
          <w:szCs w:val="19"/>
          <w:color w:val="auto"/>
        </w:rPr>
        <w:t>”), empowers the Company to indemnify by agreement its officers, directors, employees and agents, and persons who serve, at the request of the Company, as directors, officers, employees or agents of other corporations, partnerships, joint ventures, trusts or other enterprises, and expressly provides that the indemnification provided thereby is not exclusive; and</w:t>
      </w:r>
    </w:p>
    <w:p>
      <w:pPr>
        <w:spacing w:after="0" w:line="159" w:lineRule="exact"/>
        <w:rPr>
          <w:sz w:val="20"/>
          <w:szCs w:val="20"/>
          <w:color w:val="auto"/>
        </w:rPr>
      </w:pPr>
    </w:p>
    <w:p>
      <w:pPr>
        <w:jc w:val="both"/>
        <w:ind w:right="20" w:firstLine="865"/>
        <w:spacing w:after="0" w:line="255" w:lineRule="auto"/>
        <w:rPr>
          <w:sz w:val="20"/>
          <w:szCs w:val="20"/>
          <w:color w:val="auto"/>
        </w:rPr>
      </w:pPr>
      <w:r>
        <w:rPr>
          <w:rFonts w:ascii="Arial" w:cs="Arial" w:eastAsia="Arial" w:hAnsi="Arial"/>
          <w:sz w:val="19"/>
          <w:szCs w:val="19"/>
          <w:color w:val="auto"/>
        </w:rPr>
        <w:t>D. The Company desires and has requested Indemnitee to serve or continue to serve as a representative of the Company and/or the Subsidiaries or Affiliates of the Company free from undue concern about inappropriate claims for damages arising out of or related to such services to the Company and/or the Subsidiaries or Affiliates of the Company.</w:t>
      </w:r>
    </w:p>
    <w:p>
      <w:pPr>
        <w:spacing w:after="0" w:line="152"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AGREEMENT</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NOW, THEREFORE, the parties hereto, intending to be legally bound, hereby agree as follows:</w:t>
      </w:r>
    </w:p>
    <w:p>
      <w:pPr>
        <w:spacing w:after="0" w:line="193" w:lineRule="exact"/>
        <w:rPr>
          <w:sz w:val="20"/>
          <w:szCs w:val="20"/>
          <w:color w:val="auto"/>
        </w:rPr>
      </w:pPr>
    </w:p>
    <w:p>
      <w:pPr>
        <w:ind w:left="1580" w:hanging="718"/>
        <w:spacing w:after="0"/>
        <w:tabs>
          <w:tab w:leader="none" w:pos="1580"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193" w:lineRule="exact"/>
        <w:rPr>
          <w:rFonts w:ascii="Arial" w:cs="Arial" w:eastAsia="Arial" w:hAnsi="Arial"/>
          <w:sz w:val="19"/>
          <w:szCs w:val="19"/>
          <w:color w:val="auto"/>
        </w:rPr>
      </w:pPr>
    </w:p>
    <w:p>
      <w:pPr>
        <w:ind w:right="20" w:firstLine="1728"/>
        <w:spacing w:after="0" w:line="330" w:lineRule="auto"/>
        <w:tabs>
          <w:tab w:leader="none" w:pos="2527"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For purposes of this Agreement, “Affiliate” of the Company means any corporation, partnership, limited liability company, joint venture, trust or other enterprise in respect of which Indemnitee is or was or will be serving as a director,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242570</wp:posOffset>
            </wp:positionV>
            <wp:extent cx="718693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39" w:name="page40"/>
    <w:bookmarkEnd w:id="39"/>
    <w:p>
      <w:pPr>
        <w:jc w:val="both"/>
        <w:ind w:right="20"/>
        <w:spacing w:after="0" w:line="299" w:lineRule="auto"/>
        <w:rPr>
          <w:sz w:val="20"/>
          <w:szCs w:val="20"/>
          <w:color w:val="auto"/>
        </w:rPr>
      </w:pPr>
      <w:r>
        <w:rPr>
          <w:rFonts w:ascii="Arial" w:cs="Arial" w:eastAsia="Arial" w:hAnsi="Arial"/>
          <w:sz w:val="17"/>
          <w:szCs w:val="17"/>
          <w:color w:val="auto"/>
        </w:rPr>
        <w:t>trustee, manager, member, partner, employee, agent, attorney, consultant, member of the entity’s governing body (whether constituted as a board of directors, board of managers, general partner or otherwise), fiduciary, or in any other similar capacity at the request, election or direction of the Company, and including, but not limited to, any employee benefit plan of the Company or a Subsidiary or Affiliate of the Company.</w:t>
      </w:r>
    </w:p>
    <w:p>
      <w:pPr>
        <w:spacing w:after="0" w:line="117" w:lineRule="exact"/>
        <w:rPr>
          <w:sz w:val="20"/>
          <w:szCs w:val="20"/>
          <w:color w:val="auto"/>
        </w:rPr>
      </w:pPr>
    </w:p>
    <w:p>
      <w:pPr>
        <w:jc w:val="both"/>
        <w:ind w:firstLine="1728"/>
        <w:spacing w:after="0" w:line="256" w:lineRule="auto"/>
        <w:tabs>
          <w:tab w:leader="none" w:pos="253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purposes of this Agreement, “Change in Control” means (i) any “person” (as such term is used in Sections 13(d) and 14(d) of the Securities Exchange Act of 1934, as amended), other than a Subsidiary or a trustee or other fiduciary holding securities under an employee benefit plan of the Company or Subsidiary, is or becomes the “Beneficial Owner” (as defined in Rule 13d-3 under said Act), directly or indirectly, of securities of the Company representing 20% or more of the total voting power represented by the Company’s then outstanding capital stock, or (ii) during any period of two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at least 80% of the total voting power represented by the capital stock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55" w:lineRule="exact"/>
        <w:rPr>
          <w:rFonts w:ascii="Arial" w:cs="Arial" w:eastAsia="Arial" w:hAnsi="Arial"/>
          <w:sz w:val="18"/>
          <w:szCs w:val="18"/>
          <w:color w:val="auto"/>
        </w:rPr>
      </w:pPr>
    </w:p>
    <w:p>
      <w:pPr>
        <w:jc w:val="both"/>
        <w:ind w:right="20" w:firstLine="1728"/>
        <w:spacing w:after="0" w:line="264" w:lineRule="auto"/>
        <w:tabs>
          <w:tab w:leader="none" w:pos="252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For purposes of this Agreement, “Expenses” means all direct and indirect costs of any type or nature whatsoever (including, without limitation, all attorneys’ fees and related disbursements, and other out-of-pocket costs), paid or incurred by Indemnitee in connection with either the investigation, defense or appeal of, or being a witness in, a Proceeding (as defined below), or establishing or enforcing a right to indemnification under this Agreement, Section 145 or otherwise; provided, however, that Expenses shall not include any judgments, fines, ERISA excise taxes or penalties or amounts paid in settlement of a Proceeding.</w:t>
      </w:r>
    </w:p>
    <w:p>
      <w:pPr>
        <w:spacing w:after="0" w:line="145" w:lineRule="exact"/>
        <w:rPr>
          <w:rFonts w:ascii="Arial" w:cs="Arial" w:eastAsia="Arial" w:hAnsi="Arial"/>
          <w:sz w:val="18"/>
          <w:szCs w:val="18"/>
          <w:color w:val="auto"/>
        </w:rPr>
      </w:pPr>
    </w:p>
    <w:p>
      <w:pPr>
        <w:jc w:val="both"/>
        <w:ind w:right="20" w:firstLine="1728"/>
        <w:spacing w:after="0" w:line="255" w:lineRule="auto"/>
        <w:tabs>
          <w:tab w:leader="none" w:pos="2538"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Indemnifiable Event</w:t>
      </w:r>
      <w:r>
        <w:rPr>
          <w:rFonts w:ascii="Arial" w:cs="Arial" w:eastAsia="Arial" w:hAnsi="Arial"/>
          <w:sz w:val="19"/>
          <w:szCs w:val="19"/>
          <w:color w:val="auto"/>
        </w:rPr>
        <w:t>. For purposes of this Agreement, “Indemnifiable Event” means any event or occurrence related to Indemnitee’s service for the Company or any Subsidiary or Affiliate as an Indemnifiable Person (as defined below), or by reason of anything done or not done, or any act or omission, by Indemnitee in any such capacity.</w:t>
      </w:r>
    </w:p>
    <w:p>
      <w:pPr>
        <w:spacing w:after="0" w:line="151" w:lineRule="exact"/>
        <w:rPr>
          <w:rFonts w:ascii="Arial" w:cs="Arial" w:eastAsia="Arial" w:hAnsi="Arial"/>
          <w:sz w:val="19"/>
          <w:szCs w:val="19"/>
          <w:color w:val="auto"/>
        </w:rPr>
      </w:pPr>
    </w:p>
    <w:p>
      <w:pPr>
        <w:jc w:val="both"/>
        <w:ind w:right="20" w:firstLine="1728"/>
        <w:spacing w:after="0" w:line="249" w:lineRule="auto"/>
        <w:tabs>
          <w:tab w:leader="none" w:pos="2527"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Indemnifiable Person</w:t>
      </w:r>
      <w:r>
        <w:rPr>
          <w:rFonts w:ascii="Arial" w:cs="Arial" w:eastAsia="Arial" w:hAnsi="Arial"/>
          <w:sz w:val="19"/>
          <w:szCs w:val="19"/>
          <w:color w:val="auto"/>
        </w:rPr>
        <w:t>. For the purposes of this Agreement, “Indemnifiable Person” means any person who is or was a director, officer, trustee, manager, member, partner, employee, attorney, consultant, member of an entity’s governing body (whether constituted as a board of directors, board of managers, general partner or otherwise) or other agent or fiduciary of the Company or a Subsidiary or Affiliate of the Company.</w:t>
      </w:r>
    </w:p>
    <w:p>
      <w:pPr>
        <w:spacing w:after="0" w:line="159" w:lineRule="exact"/>
        <w:rPr>
          <w:rFonts w:ascii="Arial" w:cs="Arial" w:eastAsia="Arial" w:hAnsi="Arial"/>
          <w:sz w:val="19"/>
          <w:szCs w:val="19"/>
          <w:color w:val="auto"/>
        </w:rPr>
      </w:pPr>
    </w:p>
    <w:p>
      <w:pPr>
        <w:ind w:right="20" w:firstLine="1728"/>
        <w:spacing w:after="0" w:line="270" w:lineRule="auto"/>
        <w:tabs>
          <w:tab w:leader="none" w:pos="250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Independent Counsel</w:t>
      </w:r>
      <w:r>
        <w:rPr>
          <w:rFonts w:ascii="Arial" w:cs="Arial" w:eastAsia="Arial" w:hAnsi="Arial"/>
          <w:sz w:val="19"/>
          <w:szCs w:val="19"/>
          <w:color w:val="auto"/>
        </w:rPr>
        <w:t>. For purposes of this Agreement, “Independent Counsel” means legal counsel that has not performed services for the Company or Indemnitee in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18693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0" w:name="page41"/>
    <w:bookmarkEnd w:id="40"/>
    <w:p>
      <w:pPr>
        <w:ind w:right="20"/>
        <w:spacing w:after="0" w:line="270" w:lineRule="auto"/>
        <w:rPr>
          <w:sz w:val="20"/>
          <w:szCs w:val="20"/>
          <w:color w:val="auto"/>
        </w:rPr>
      </w:pPr>
      <w:r>
        <w:rPr>
          <w:rFonts w:ascii="Arial" w:cs="Arial" w:eastAsia="Arial" w:hAnsi="Arial"/>
          <w:sz w:val="19"/>
          <w:szCs w:val="19"/>
          <w:color w:val="auto"/>
        </w:rPr>
        <w:t>the five years preceding the time in question and that would not, under applicable standards of professional conduct, have a conflict of interest in representing either the Company or Indemnitee.</w:t>
      </w:r>
    </w:p>
    <w:p>
      <w:pPr>
        <w:spacing w:after="0" w:line="138" w:lineRule="exact"/>
        <w:rPr>
          <w:sz w:val="20"/>
          <w:szCs w:val="20"/>
          <w:color w:val="auto"/>
        </w:rPr>
      </w:pPr>
    </w:p>
    <w:p>
      <w:pPr>
        <w:jc w:val="both"/>
        <w:ind w:right="20" w:firstLine="1728"/>
        <w:spacing w:after="0" w:line="268" w:lineRule="auto"/>
        <w:tabs>
          <w:tab w:leader="none" w:pos="253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Other Liabilities</w:t>
      </w:r>
      <w:r>
        <w:rPr>
          <w:rFonts w:ascii="Arial" w:cs="Arial" w:eastAsia="Arial" w:hAnsi="Arial"/>
          <w:sz w:val="18"/>
          <w:szCs w:val="18"/>
          <w:color w:val="auto"/>
        </w:rPr>
        <w:t>. For purposes of this Agreement, “Other Liabilities” means any and all liabilities of any type whatsoever (including, but not limited to, judgments, fines, penalties, ERISA (or other benefit plan related) excise taxes or penalties, and amounts paid in settlement and all interest, taxes, assessments and other charges paid or payable in connection with or in respect of any such judgments, fines, ERISA (or other benefit plan related) excise taxes or penalties, or amounts paid in settlement).</w:t>
      </w:r>
    </w:p>
    <w:p>
      <w:pPr>
        <w:spacing w:after="0" w:line="141" w:lineRule="exact"/>
        <w:rPr>
          <w:rFonts w:ascii="Arial" w:cs="Arial" w:eastAsia="Arial" w:hAnsi="Arial"/>
          <w:sz w:val="18"/>
          <w:szCs w:val="18"/>
          <w:color w:val="auto"/>
        </w:rPr>
      </w:pPr>
    </w:p>
    <w:p>
      <w:pPr>
        <w:jc w:val="both"/>
        <w:ind w:firstLine="1728"/>
        <w:spacing w:after="0" w:line="275" w:lineRule="auto"/>
        <w:tabs>
          <w:tab w:leader="none" w:pos="253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For the purposes of this Agreement, “Proceeding” means any threatened, pending, or completed action, suit or other proceeding, whether civil, criminal, administrative, investigative, legislative or any other type whatsoever, preliminary, informal or formal, including any arbitration or other alternative dispute resolution and including any appeal of any of the foregoing.</w:t>
      </w:r>
    </w:p>
    <w:p>
      <w:pPr>
        <w:spacing w:after="0" w:line="136" w:lineRule="exact"/>
        <w:rPr>
          <w:rFonts w:ascii="Arial" w:cs="Arial" w:eastAsia="Arial" w:hAnsi="Arial"/>
          <w:sz w:val="18"/>
          <w:szCs w:val="18"/>
          <w:color w:val="auto"/>
        </w:rPr>
      </w:pPr>
    </w:p>
    <w:p>
      <w:pPr>
        <w:ind w:right="20" w:firstLine="1728"/>
        <w:spacing w:after="0" w:line="270" w:lineRule="auto"/>
        <w:tabs>
          <w:tab w:leader="none" w:pos="2495"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Subsidiary</w:t>
      </w:r>
      <w:r>
        <w:rPr>
          <w:rFonts w:ascii="Arial" w:cs="Arial" w:eastAsia="Arial" w:hAnsi="Arial"/>
          <w:sz w:val="19"/>
          <w:szCs w:val="19"/>
          <w:color w:val="auto"/>
        </w:rPr>
        <w:t>. For purposes of this Agreement, “Subsidiary” means any entity of which more than 50% of the outstanding voting securities is owned directly or indirectly by the Company.</w:t>
      </w:r>
    </w:p>
    <w:p>
      <w:pPr>
        <w:spacing w:after="0" w:line="138" w:lineRule="exact"/>
        <w:rPr>
          <w:rFonts w:ascii="Arial" w:cs="Arial" w:eastAsia="Arial" w:hAnsi="Arial"/>
          <w:sz w:val="19"/>
          <w:szCs w:val="19"/>
          <w:color w:val="auto"/>
        </w:rPr>
      </w:pPr>
    </w:p>
    <w:p>
      <w:pPr>
        <w:jc w:val="both"/>
        <w:ind w:firstLine="862"/>
        <w:spacing w:after="0" w:line="264" w:lineRule="auto"/>
        <w:tabs>
          <w:tab w:leader="none" w:pos="159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Agreement to Serve</w:t>
      </w:r>
      <w:r>
        <w:rPr>
          <w:rFonts w:ascii="Arial" w:cs="Arial" w:eastAsia="Arial" w:hAnsi="Arial"/>
          <w:sz w:val="18"/>
          <w:szCs w:val="18"/>
          <w:color w:val="auto"/>
        </w:rPr>
        <w:t>. Indemnitee agrees to serve and/or continue to serve as an Indemnifiable Person in the capacity or capacities in which Indemnitee currently serves the Company as an Indemnifiable Person, and any additional capacity in which Indemnitee may agree to serve, until such time as Indemnitee’s service in a particular capacity shall end according to the terms of an agreement, the Company’s Certificate of Incorporation or Bylaws, governing law, or otherwise. Nothing contained in this Agreement is intended to create any right to continued employment or other form of service for the Company or a Subsidiary or Affiliate of the Company by Indemnitee.</w:t>
      </w:r>
    </w:p>
    <w:p>
      <w:pPr>
        <w:spacing w:after="0" w:line="145" w:lineRule="exact"/>
        <w:rPr>
          <w:rFonts w:ascii="Arial" w:cs="Arial" w:eastAsia="Arial" w:hAnsi="Arial"/>
          <w:sz w:val="18"/>
          <w:szCs w:val="18"/>
          <w:color w:val="auto"/>
        </w:rPr>
      </w:pPr>
    </w:p>
    <w:p>
      <w:pPr>
        <w:ind w:left="1580" w:hanging="718"/>
        <w:spacing w:after="0"/>
        <w:tabs>
          <w:tab w:leader="none" w:pos="158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Mandatory Indemnification</w:t>
      </w:r>
      <w:r>
        <w:rPr>
          <w:rFonts w:ascii="Arial" w:cs="Arial" w:eastAsia="Arial" w:hAnsi="Arial"/>
          <w:sz w:val="19"/>
          <w:szCs w:val="19"/>
          <w:color w:val="auto"/>
        </w:rPr>
        <w:t>.</w:t>
      </w:r>
    </w:p>
    <w:p>
      <w:pPr>
        <w:spacing w:after="0" w:line="193" w:lineRule="exact"/>
        <w:rPr>
          <w:rFonts w:ascii="Arial" w:cs="Arial" w:eastAsia="Arial" w:hAnsi="Arial"/>
          <w:sz w:val="19"/>
          <w:szCs w:val="19"/>
          <w:color w:val="auto"/>
        </w:rPr>
      </w:pPr>
    </w:p>
    <w:p>
      <w:pPr>
        <w:jc w:val="both"/>
        <w:ind w:right="20" w:firstLine="1728"/>
        <w:spacing w:after="0" w:line="245" w:lineRule="auto"/>
        <w:tabs>
          <w:tab w:leader="none" w:pos="2527"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Agreement to Indemnify</w:t>
      </w:r>
      <w:r>
        <w:rPr>
          <w:rFonts w:ascii="Arial" w:cs="Arial" w:eastAsia="Arial" w:hAnsi="Arial"/>
          <w:sz w:val="19"/>
          <w:szCs w:val="19"/>
          <w:color w:val="auto"/>
        </w:rPr>
        <w:t>. In the event Indemnitee is a person who was or is a party to or witness in or is threatened to be made a party to or witness in any Proceeding by reason of an Indemnifiable Event, the Company shall indemnify Indemnitee from and against any and all Expenses and Other Liabilities incurred by Indemnitee in connection with (including in preparation for) such Proceeding to the fullest extent not prohibited by the provisions of the Delaware General Corporation Law (“</w:t>
      </w:r>
      <w:r>
        <w:rPr>
          <w:rFonts w:ascii="Arial" w:cs="Arial" w:eastAsia="Arial" w:hAnsi="Arial"/>
          <w:sz w:val="19"/>
          <w:szCs w:val="19"/>
          <w:u w:val="single" w:color="auto"/>
          <w:color w:val="auto"/>
        </w:rPr>
        <w:t>GCL</w:t>
      </w:r>
      <w:r>
        <w:rPr>
          <w:rFonts w:ascii="Arial" w:cs="Arial" w:eastAsia="Arial" w:hAnsi="Arial"/>
          <w:sz w:val="19"/>
          <w:szCs w:val="19"/>
          <w:color w:val="auto"/>
        </w:rPr>
        <w:t>”), as the same may be amended from time to time (but only to the extent that such amendment permits the Company to provide broader indemnification rights than the GCL permitted prior to the adoption of such amendment).</w:t>
      </w:r>
    </w:p>
    <w:p>
      <w:pPr>
        <w:spacing w:after="0" w:line="163" w:lineRule="exact"/>
        <w:rPr>
          <w:rFonts w:ascii="Arial" w:cs="Arial" w:eastAsia="Arial" w:hAnsi="Arial"/>
          <w:sz w:val="19"/>
          <w:szCs w:val="19"/>
          <w:color w:val="auto"/>
        </w:rPr>
      </w:pPr>
    </w:p>
    <w:p>
      <w:pPr>
        <w:jc w:val="both"/>
        <w:ind w:firstLine="1728"/>
        <w:spacing w:after="0" w:line="247" w:lineRule="auto"/>
        <w:tabs>
          <w:tab w:leader="none" w:pos="2538"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Exception for Amounts Covered by Insurance and Other Sources</w:t>
      </w:r>
      <w:r>
        <w:rPr>
          <w:rFonts w:ascii="Arial" w:cs="Arial" w:eastAsia="Arial" w:hAnsi="Arial"/>
          <w:sz w:val="19"/>
          <w:szCs w:val="19"/>
          <w:color w:val="auto"/>
        </w:rPr>
        <w:t>. Notwithstanding the foregoing, the Company shall not be obligated to indemnify Indemnitee for Expenses or Other Liabilities of any type whatsoever (including, but not limited to judgments, fines, penalties, ERISA excise taxes or penalties and amounts paid in settlement) to the extent such have been paid directly to Indemnitee (or paid directly to a third party on Indemnitee’s behalf) by any directors and officers liability insurance, or other type of insurance, maintained by the Company or pursuant to other indemnity arrangements with third parties.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18693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1" w:name="page42"/>
    <w:bookmarkEnd w:id="41"/>
    <w:p>
      <w:pPr>
        <w:jc w:val="both"/>
        <w:ind w:firstLine="862"/>
        <w:spacing w:after="0" w:line="262" w:lineRule="auto"/>
        <w:tabs>
          <w:tab w:leader="none" w:pos="159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for which indemnification is prohibited by the provisions of the GCL. In any review or Proceeding to determine the extent of indemnification, the Company shall bear the burden to establish, by clear and convincing evidence, the lack of a successful resolution of a particular claim, issue or matter and which amounts sought in indemnity are allocable to claims, issues or matters which were not successfully resolved.</w:t>
      </w:r>
    </w:p>
    <w:p>
      <w:pPr>
        <w:spacing w:after="0" w:line="146" w:lineRule="exact"/>
        <w:rPr>
          <w:rFonts w:ascii="Arial" w:cs="Arial" w:eastAsia="Arial" w:hAnsi="Arial"/>
          <w:sz w:val="18"/>
          <w:szCs w:val="18"/>
          <w:color w:val="auto"/>
        </w:rPr>
      </w:pPr>
    </w:p>
    <w:p>
      <w:pPr>
        <w:jc w:val="both"/>
        <w:ind w:firstLine="862"/>
        <w:spacing w:after="0" w:line="274" w:lineRule="auto"/>
        <w:tabs>
          <w:tab w:leader="none" w:pos="159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So long as Indemnitee shall continue to serve the Company or a Subsidiary or Affiliate of the Company as an Indemnifiable Person and thereafter so long as Indemnitee shall be subject to any possible claim or threatened, pending or completed Proceeding as a result of an Indemnifiable Event, the Company shall use reasonable efforts to maintain in full force and effect for the benefit of Indemnitee as an insured (i) liability insurance issued by one or more reputable insurers and having the policy amount and deductible deemed appropriate by the Board and providing in all respects coverage at least comparable to and in the same amount as that provided to the Chairman of the Board or the Chief Executive Officer of the Company and (ii) any replacement or substitute policies issued by one or more reputable insurers providing in all respects coverage at least comparable to and in the same amount as that being provided to the Chairman of the Board or the Chief Executive Officer of the Company.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insurance or other arrangement.</w:t>
      </w:r>
    </w:p>
    <w:p>
      <w:pPr>
        <w:spacing w:after="0" w:line="137" w:lineRule="exact"/>
        <w:rPr>
          <w:rFonts w:ascii="Arial" w:cs="Arial" w:eastAsia="Arial" w:hAnsi="Arial"/>
          <w:sz w:val="17"/>
          <w:szCs w:val="17"/>
          <w:color w:val="auto"/>
        </w:rPr>
      </w:pPr>
    </w:p>
    <w:p>
      <w:pPr>
        <w:ind w:firstLine="862"/>
        <w:spacing w:after="0" w:line="260" w:lineRule="auto"/>
        <w:tabs>
          <w:tab w:leader="none" w:pos="159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Mandatory Advancement of Expenses</w:t>
      </w:r>
      <w:r>
        <w:rPr>
          <w:rFonts w:ascii="Arial" w:cs="Arial" w:eastAsia="Arial" w:hAnsi="Arial"/>
          <w:sz w:val="18"/>
          <w:szCs w:val="18"/>
          <w:color w:val="auto"/>
        </w:rPr>
        <w:t>. If requested by Indemnitee, the Company shall advance prior to the final disposition of the Proceeding all Expenses incurred by Indemnitee in connection with (including in preparation for) a Proceeding related to an Indemnifiable Event. Indemnitee hereby undertakes to repay such amounts advanced if, and only if and to the extent that, it shall ultimately be determined that Indemnitee is not entitled to be indemnified by the Company under the provisions of this Agreement or the GCL. The advances to be made hereunder shall be paid by the Company to Indemnitee or directly to a third party designated by Indemnitee within thirty (30) days following delivery of a written request therefor by Indemnitee to the Company. Indemnitee’s undertaking to repay any Expenses advanced to Indemnitee hereunder shall be unsecured and shall not be subject to the accrual or payment of any interest thereon.</w:t>
      </w:r>
    </w:p>
    <w:p>
      <w:pPr>
        <w:spacing w:after="0" w:line="150" w:lineRule="exact"/>
        <w:rPr>
          <w:rFonts w:ascii="Arial" w:cs="Arial" w:eastAsia="Arial" w:hAnsi="Arial"/>
          <w:sz w:val="18"/>
          <w:szCs w:val="18"/>
          <w:color w:val="auto"/>
        </w:rPr>
      </w:pPr>
    </w:p>
    <w:p>
      <w:pPr>
        <w:ind w:left="1580" w:hanging="718"/>
        <w:spacing w:after="0"/>
        <w:tabs>
          <w:tab w:leader="none" w:pos="158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Notice and Other Indemnification Procedures</w:t>
      </w:r>
      <w:r>
        <w:rPr>
          <w:rFonts w:ascii="Arial" w:cs="Arial" w:eastAsia="Arial" w:hAnsi="Arial"/>
          <w:sz w:val="19"/>
          <w:szCs w:val="19"/>
          <w:color w:val="auto"/>
        </w:rPr>
        <w:t>.</w:t>
      </w:r>
    </w:p>
    <w:p>
      <w:pPr>
        <w:spacing w:after="0" w:line="193" w:lineRule="exact"/>
        <w:rPr>
          <w:rFonts w:ascii="Arial" w:cs="Arial" w:eastAsia="Arial" w:hAnsi="Arial"/>
          <w:sz w:val="19"/>
          <w:szCs w:val="19"/>
          <w:color w:val="auto"/>
        </w:rPr>
      </w:pPr>
    </w:p>
    <w:p>
      <w:pPr>
        <w:jc w:val="both"/>
        <w:ind w:firstLine="1728"/>
        <w:spacing w:after="0" w:line="247" w:lineRule="auto"/>
        <w:tabs>
          <w:tab w:leader="none" w:pos="2527"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Notification</w:t>
      </w:r>
      <w:r>
        <w:rPr>
          <w:rFonts w:ascii="Arial" w:cs="Arial" w:eastAsia="Arial" w:hAnsi="Arial"/>
          <w:sz w:val="19"/>
          <w:szCs w:val="19"/>
          <w:color w:val="auto"/>
        </w:rPr>
        <w:t>. Promptly after receipt by Indemnitee of notice of the commencement of or the threat of commencement of any Proceeding, Indemnitee shall, if Indemnitee believes that indemnification or advancement of Expenses with respect thereto may be sought from the Company under this Agreement, notify the Company of the commencement or threat of commencement thereof. However, a failure so to notify the Company promptly following Indemnitee’s receipt of such notice shall not relieve the Company from any liability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18693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2" w:name="page43"/>
    <w:bookmarkEnd w:id="42"/>
    <w:p>
      <w:pPr>
        <w:ind w:right="20"/>
        <w:spacing w:after="0" w:line="270" w:lineRule="auto"/>
        <w:rPr>
          <w:sz w:val="20"/>
          <w:szCs w:val="20"/>
          <w:color w:val="auto"/>
        </w:rPr>
      </w:pPr>
      <w:r>
        <w:rPr>
          <w:rFonts w:ascii="Arial" w:cs="Arial" w:eastAsia="Arial" w:hAnsi="Arial"/>
          <w:sz w:val="19"/>
          <w:szCs w:val="19"/>
          <w:color w:val="auto"/>
        </w:rPr>
        <w:t>that it may have to Indemnitee except to the extent that the Company is materially prejudiced in its defense of such Proceeding as a result of such failure.</w:t>
      </w:r>
    </w:p>
    <w:p>
      <w:pPr>
        <w:spacing w:after="0" w:line="138" w:lineRule="exact"/>
        <w:rPr>
          <w:sz w:val="20"/>
          <w:szCs w:val="20"/>
          <w:color w:val="auto"/>
        </w:rPr>
      </w:pPr>
    </w:p>
    <w:p>
      <w:pPr>
        <w:jc w:val="both"/>
        <w:ind w:right="20" w:firstLine="1728"/>
        <w:spacing w:after="0" w:line="247" w:lineRule="auto"/>
        <w:tabs>
          <w:tab w:leader="none" w:pos="2538"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Insurance and Other Matters</w:t>
      </w:r>
      <w:r>
        <w:rPr>
          <w:rFonts w:ascii="Arial" w:cs="Arial" w:eastAsia="Arial" w:hAnsi="Arial"/>
          <w:sz w:val="19"/>
          <w:szCs w:val="19"/>
          <w:color w:val="auto"/>
        </w:rPr>
        <w:t>. If, at the time of the receipt of a notice of the commencement of a Proceeding pursuant to Section 7(a) above, the Company has director and officer liability insurance in effect, the Company shall give prompt notice of the commencement of such Proceeding to the issuers in accordance with the procedures set forth in the respective policies. The Company shall thereafter take all reasonable action to cause such insurers to pay, on behalf of Indemnitee, all amounts payable as a result of such Proceeding in accordance with the terms of such insurance policies.</w:t>
      </w:r>
    </w:p>
    <w:p>
      <w:pPr>
        <w:spacing w:after="0" w:line="159" w:lineRule="exact"/>
        <w:rPr>
          <w:rFonts w:ascii="Arial" w:cs="Arial" w:eastAsia="Arial" w:hAnsi="Arial"/>
          <w:sz w:val="19"/>
          <w:szCs w:val="19"/>
          <w:color w:val="auto"/>
        </w:rPr>
      </w:pPr>
    </w:p>
    <w:p>
      <w:pPr>
        <w:jc w:val="both"/>
        <w:ind w:firstLine="1728"/>
        <w:spacing w:after="0" w:line="257" w:lineRule="auto"/>
        <w:tabs>
          <w:tab w:leader="none" w:pos="2527"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Assumption of Defense</w:t>
      </w:r>
      <w:r>
        <w:rPr>
          <w:rFonts w:ascii="Arial" w:cs="Arial" w:eastAsia="Arial" w:hAnsi="Arial"/>
          <w:sz w:val="18"/>
          <w:szCs w:val="18"/>
          <w:color w:val="auto"/>
        </w:rPr>
        <w:t>. In the event the Company shall be obligated to advance the Expenses for any Proceeding against Indemnitee, the Company, if deemed appropriate by the Company, shall be entitled to assume the defense of such Proceeding as provided herein. Such defense by the Company may include the representation of two or more parties by one attorney or law firm as permitted under the ethical rules and legal requirements related to joint representations. Following delivery of written notice to Indemnitee of the Company’s election to assume the defense of such Proceeding, the approval by Indemnitee (which approval shall not be unreasonably withheld) of counsel designated by the Company and the retention of such counsel by the Company, the Company will not be liable to Indemnitee under this Agreement for any fees and expenses of counsel subsequently incurred by Indemnitee with respect to the same Proceeding. If (A) the employment of counsel by Indemnitee has been previously authorized by the Company, (B) Indemnitee shall have notified the Board in writing that Indemnitee has reasonably concluded that there is likely to be a conflict of interest between the Company and Indemnitee in the conduct of any such defense, or (C) the Company fails to employ counsel to assume the defense of such Proceeding, the fees and expenses of Indemnitee’s counsel shall be subject to indemnification and/or advancement pursuant to the terms of this Agreement. Nothing herein shall prevent Indemnitee from employing counsel for any such Proceeding at Indemnitee’s expense.</w:t>
      </w:r>
    </w:p>
    <w:p>
      <w:pPr>
        <w:spacing w:after="0" w:line="150" w:lineRule="exact"/>
        <w:rPr>
          <w:rFonts w:ascii="Arial" w:cs="Arial" w:eastAsia="Arial" w:hAnsi="Arial"/>
          <w:sz w:val="18"/>
          <w:szCs w:val="18"/>
          <w:color w:val="auto"/>
        </w:rPr>
      </w:pPr>
    </w:p>
    <w:p>
      <w:pPr>
        <w:jc w:val="both"/>
        <w:ind w:firstLine="1728"/>
        <w:spacing w:after="0" w:line="244" w:lineRule="auto"/>
        <w:tabs>
          <w:tab w:leader="none" w:pos="2538"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The Company shall not be liable to indemnify Indemnitee under this Agreement or otherwise for any amounts paid in settlement of any Proceeding effected without the Company’s written consent; provided, however, that if a Change in Control has occurred, the Company shall be liable for indemnification of Indemnitee for amounts paid in settlement if the Independent Counsel has approved the settlement. Neither the Company nor any Subsidiary or Affiliate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consent from any settlement of any Proceeding.</w:t>
      </w:r>
    </w:p>
    <w:p>
      <w:pPr>
        <w:spacing w:after="0" w:line="165" w:lineRule="exact"/>
        <w:rPr>
          <w:rFonts w:ascii="Arial" w:cs="Arial" w:eastAsia="Arial" w:hAnsi="Arial"/>
          <w:sz w:val="19"/>
          <w:szCs w:val="19"/>
          <w:color w:val="auto"/>
        </w:rPr>
      </w:pPr>
    </w:p>
    <w:p>
      <w:pPr>
        <w:ind w:left="1580" w:hanging="718"/>
        <w:spacing w:after="0"/>
        <w:tabs>
          <w:tab w:leader="none" w:pos="158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Determination of Right to Indemnification</w:t>
      </w:r>
      <w:r>
        <w:rPr>
          <w:rFonts w:ascii="Arial" w:cs="Arial" w:eastAsia="Arial" w:hAnsi="Arial"/>
          <w:sz w:val="19"/>
          <w:szCs w:val="19"/>
          <w:color w:val="auto"/>
        </w:rPr>
        <w:t>.</w:t>
      </w:r>
    </w:p>
    <w:p>
      <w:pPr>
        <w:spacing w:after="0" w:line="193" w:lineRule="exact"/>
        <w:rPr>
          <w:rFonts w:ascii="Arial" w:cs="Arial" w:eastAsia="Arial" w:hAnsi="Arial"/>
          <w:sz w:val="19"/>
          <w:szCs w:val="19"/>
          <w:color w:val="auto"/>
        </w:rPr>
      </w:pPr>
    </w:p>
    <w:p>
      <w:pPr>
        <w:jc w:val="both"/>
        <w:ind w:firstLine="1728"/>
        <w:spacing w:after="0" w:line="255" w:lineRule="auto"/>
        <w:tabs>
          <w:tab w:leader="none" w:pos="2527"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Success on the Merits or Otherwise</w:t>
      </w:r>
      <w:r>
        <w:rPr>
          <w:rFonts w:ascii="Arial" w:cs="Arial" w:eastAsia="Arial" w:hAnsi="Arial"/>
          <w:sz w:val="19"/>
          <w:szCs w:val="19"/>
          <w:color w:val="auto"/>
        </w:rPr>
        <w:t>. To the extent that Indemnitee has been successful on the merits or otherwise in defense of any Proceeding referred to in Section 3(a) above or in the defense of any claim, issue or matter described therein, the Company shall indemnify Indemnitee against Expenses actually incurred in connection therewith.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18693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3" w:name="page44"/>
    <w:bookmarkEnd w:id="43"/>
    <w:p>
      <w:pPr>
        <w:ind w:right="20" w:firstLine="1728"/>
        <w:spacing w:after="0" w:line="270" w:lineRule="auto"/>
        <w:tabs>
          <w:tab w:leader="none" w:pos="253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Indemnification in Other Situations</w:t>
      </w:r>
      <w:r>
        <w:rPr>
          <w:rFonts w:ascii="Arial" w:cs="Arial" w:eastAsia="Arial" w:hAnsi="Arial"/>
          <w:sz w:val="19"/>
          <w:szCs w:val="19"/>
          <w:color w:val="auto"/>
        </w:rPr>
        <w:t>. In the event that Section 8(a) above is inapplicable, the Company shall also indemnify Indemnitee if Indemnitee has not failed to meet the applicable standard of conduct for indemnification.</w:t>
      </w:r>
    </w:p>
    <w:p>
      <w:pPr>
        <w:spacing w:after="0" w:line="138" w:lineRule="exact"/>
        <w:rPr>
          <w:rFonts w:ascii="Arial" w:cs="Arial" w:eastAsia="Arial" w:hAnsi="Arial"/>
          <w:sz w:val="19"/>
          <w:szCs w:val="19"/>
          <w:color w:val="auto"/>
        </w:rPr>
      </w:pPr>
    </w:p>
    <w:p>
      <w:pPr>
        <w:ind w:right="20" w:firstLine="1728"/>
        <w:spacing w:after="0" w:line="270" w:lineRule="auto"/>
        <w:tabs>
          <w:tab w:leader="none" w:pos="2527"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Forum</w:t>
      </w:r>
      <w:r>
        <w:rPr>
          <w:rFonts w:ascii="Arial" w:cs="Arial" w:eastAsia="Arial" w:hAnsi="Arial"/>
          <w:sz w:val="19"/>
          <w:szCs w:val="19"/>
          <w:color w:val="auto"/>
        </w:rPr>
        <w:t>. Indemnitee shall be entitled to select the forum in which determination of whether or not Indemnitee has met the applicable standard of conduct shall be decided, and such election will be made from among the following:</w:t>
      </w:r>
    </w:p>
    <w:p>
      <w:pPr>
        <w:spacing w:after="0" w:line="138" w:lineRule="exact"/>
        <w:rPr>
          <w:rFonts w:ascii="Arial" w:cs="Arial" w:eastAsia="Arial" w:hAnsi="Arial"/>
          <w:sz w:val="19"/>
          <w:szCs w:val="19"/>
          <w:color w:val="auto"/>
        </w:rPr>
      </w:pPr>
    </w:p>
    <w:p>
      <w:pPr>
        <w:ind w:left="3400" w:hanging="806"/>
        <w:spacing w:after="0"/>
        <w:tabs>
          <w:tab w:leader="none" w:pos="3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Those members of the Board who are Independent Directors even though less than a quorum;</w:t>
      </w:r>
    </w:p>
    <w:p>
      <w:pPr>
        <w:spacing w:after="0" w:line="204" w:lineRule="exact"/>
        <w:rPr>
          <w:rFonts w:ascii="Arial" w:cs="Arial" w:eastAsia="Arial" w:hAnsi="Arial"/>
          <w:sz w:val="18"/>
          <w:szCs w:val="18"/>
          <w:color w:val="auto"/>
        </w:rPr>
      </w:pPr>
    </w:p>
    <w:p>
      <w:pPr>
        <w:ind w:left="3400" w:hanging="806"/>
        <w:spacing w:after="0"/>
        <w:tabs>
          <w:tab w:leader="none" w:pos="34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 committee of Independent Directors designated by a majority vote of Independent Directors, even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though less than a quorum; or</w:t>
      </w:r>
    </w:p>
    <w:p>
      <w:pPr>
        <w:spacing w:after="0" w:line="177" w:lineRule="exact"/>
        <w:rPr>
          <w:rFonts w:ascii="Arial" w:cs="Arial" w:eastAsia="Arial" w:hAnsi="Arial"/>
          <w:sz w:val="17"/>
          <w:szCs w:val="17"/>
          <w:color w:val="auto"/>
        </w:rPr>
      </w:pPr>
    </w:p>
    <w:p>
      <w:pPr>
        <w:ind w:right="20" w:firstLine="2594"/>
        <w:spacing w:after="0" w:line="270" w:lineRule="auto"/>
        <w:tabs>
          <w:tab w:leader="none" w:pos="3405" w:val="left"/>
        </w:tabs>
        <w:numPr>
          <w:ilvl w:val="1"/>
          <w:numId w:val="18"/>
        </w:numPr>
        <w:rPr>
          <w:rFonts w:ascii="Arial" w:cs="Arial" w:eastAsia="Arial" w:hAnsi="Arial"/>
          <w:sz w:val="19"/>
          <w:szCs w:val="19"/>
          <w:color w:val="auto"/>
        </w:rPr>
      </w:pPr>
      <w:r>
        <w:rPr>
          <w:rFonts w:ascii="Arial" w:cs="Arial" w:eastAsia="Arial" w:hAnsi="Arial"/>
          <w:sz w:val="19"/>
          <w:szCs w:val="19"/>
          <w:color w:val="auto"/>
        </w:rPr>
        <w:t>Independent Counsel selected by Indemnitee and approved by the Board, which approval may not be unreasonably withheld, which counsel shall make such determination in a written opinion.</w:t>
      </w:r>
    </w:p>
    <w:p>
      <w:pPr>
        <w:spacing w:after="0" w:line="138" w:lineRule="exact"/>
        <w:rPr>
          <w:sz w:val="20"/>
          <w:szCs w:val="20"/>
          <w:color w:val="auto"/>
        </w:rPr>
      </w:pPr>
    </w:p>
    <w:p>
      <w:pPr>
        <w:jc w:val="both"/>
        <w:ind w:right="20" w:firstLine="1731"/>
        <w:spacing w:after="0" w:line="288" w:lineRule="auto"/>
        <w:rPr>
          <w:sz w:val="20"/>
          <w:szCs w:val="20"/>
          <w:color w:val="auto"/>
        </w:rPr>
      </w:pPr>
      <w:r>
        <w:rPr>
          <w:rFonts w:ascii="Arial" w:cs="Arial" w:eastAsia="Arial" w:hAnsi="Arial"/>
          <w:sz w:val="17"/>
          <w:szCs w:val="17"/>
          <w:color w:val="auto"/>
        </w:rPr>
        <w:t>If Indemnitee is an officer or a director of the Company at the time that Indemnitee is selecting the forum, then Indemnitee shall not select Independent Counsel as such forum unless there are no Independent Directors or unless the Independent Directors agree to the selection of independent counsel as the forum. The selected forum shall be referred to herein as the “Reviewing Party.” Notwithstanding the foregoing, following any Change in Control, the Reviewing Party shall be Independent Counsel selected in the manner provided in (3) above.</w:t>
      </w:r>
    </w:p>
    <w:p>
      <w:pPr>
        <w:spacing w:after="0" w:line="128" w:lineRule="exact"/>
        <w:rPr>
          <w:sz w:val="20"/>
          <w:szCs w:val="20"/>
          <w:color w:val="auto"/>
        </w:rPr>
      </w:pPr>
    </w:p>
    <w:p>
      <w:pPr>
        <w:jc w:val="both"/>
        <w:ind w:firstLine="1728"/>
        <w:spacing w:after="0" w:line="244" w:lineRule="auto"/>
        <w:tabs>
          <w:tab w:leader="none" w:pos="2538"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 soon as practicable, and in no event later than thirty (30) days after receipt by the Company of written notice of Indemnitee’s choice of forum pursuant to Section 8(c) above,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 (30) days following the receipt of all such information, provided that the time by which the Reviewing Party must reach a decision may be extended by mutual agreement of the Company and Indemnitee. All Expenses associated with the process set forth in this Section 8(d), including but not limited to the Expenses of the Reviewing Party, shall be paid by the Company.</w:t>
      </w:r>
    </w:p>
    <w:p>
      <w:pPr>
        <w:spacing w:after="0" w:line="165" w:lineRule="exact"/>
        <w:rPr>
          <w:rFonts w:ascii="Arial" w:cs="Arial" w:eastAsia="Arial" w:hAnsi="Arial"/>
          <w:sz w:val="19"/>
          <w:szCs w:val="19"/>
          <w:color w:val="auto"/>
        </w:rPr>
      </w:pPr>
    </w:p>
    <w:p>
      <w:pPr>
        <w:jc w:val="both"/>
        <w:ind w:left="100" w:right="20" w:firstLine="1719"/>
        <w:spacing w:after="0" w:line="255" w:lineRule="auto"/>
        <w:tabs>
          <w:tab w:leader="none" w:pos="2611"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Delaware Court of Chancery</w:t>
      </w:r>
      <w:r>
        <w:rPr>
          <w:rFonts w:ascii="Arial" w:cs="Arial" w:eastAsia="Arial" w:hAnsi="Arial"/>
          <w:sz w:val="19"/>
          <w:szCs w:val="19"/>
          <w:color w:val="auto"/>
        </w:rPr>
        <w:t>. Notwithstanding a final determination by any Reviewing Party that Indemnitee is not entitled to indemnification with respect to a specific Proceeding, Indemnitee shall have the right to apply to the Court of Chancery, for the purpose of enforcing Indemnitee’s right to indemnification pursuant to this Agreement.</w:t>
      </w:r>
    </w:p>
    <w:p>
      <w:pPr>
        <w:spacing w:after="0" w:line="152" w:lineRule="exact"/>
        <w:rPr>
          <w:sz w:val="20"/>
          <w:szCs w:val="20"/>
          <w:color w:val="auto"/>
        </w:rPr>
      </w:pPr>
    </w:p>
    <w:p>
      <w:pPr>
        <w:jc w:val="both"/>
        <w:ind w:firstLine="1728"/>
        <w:spacing w:after="0" w:line="247" w:lineRule="auto"/>
        <w:tabs>
          <w:tab w:leader="none" w:pos="2506"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indemnify Indemnitee against all Expenses incurred by Indemnitee in connection with any hearing or Proceeding under this Section 8 involving Indemnitee and against all Expenses and Other Liabilities incurred by Indemnitee in connection with any other Proceeding between the Company and Indemnitee involving the interpretation or enforcement of the rights of Indemnitee under this Agreement unless a court of competent jurisdiction finds that each of the material claims of Indemnitee in any such Proceeding was frivolous or made in bad faith.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18693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4" w:name="page45"/>
    <w:bookmarkEnd w:id="44"/>
    <w:p>
      <w:pPr>
        <w:jc w:val="both"/>
        <w:ind w:left="100" w:firstLine="1719"/>
        <w:spacing w:after="0" w:line="255" w:lineRule="auto"/>
        <w:tabs>
          <w:tab w:leader="none" w:pos="2622"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Determination of “Good Faith”</w:t>
      </w:r>
      <w:r>
        <w:rPr>
          <w:rFonts w:ascii="Arial" w:cs="Arial" w:eastAsia="Arial" w:hAnsi="Arial"/>
          <w:sz w:val="18"/>
          <w:szCs w:val="18"/>
          <w:color w:val="auto"/>
        </w:rPr>
        <w:t>. For purposes of any determination of whether Indemnitee acted in “good faith” or acted in “bad faith,” Indemnitee shall be deemed to have acted in good faith or not acted in bad faith if in taking or failing to take the action in question Indemnitee relied on the records or books of account of the Company or a Subsidiary or Affiliate, including financial statements, or on information, opinions, reports or statements provided to Indemnitee by the officers or other employees of the Company or a Subsidiary or Affiliate in the course of their duties, or on the advice of legal counsel for the Company or a Subsidiary or Affiliate, or on information or records given or reports made to the Company or a Subsidiary or Affiliate by an independent certified public accountant or by an appraiser or other expert selected by the Company or a Subsidiary or Affiliate, or by any other person (including legal counsel, accountants and financial advisors) as to matters Indemnitee reasonably believes are within such other person’s professional or expert competence and who has been selected with reasonable care by or on behalf of the Company or a Subsidiary or Affiliate. In connection with any determination as to whether Indemnitee is entitled to be indemnified hereunder, or to advancement of expenses, the Reviewing Party or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Section 8(g) shall not be deemed to be exclusive or to limit in any way the other circumstances in which Indemnitee may be deemed to have met the applicable standard of conduct set forth in this Agreement. In addition, the knowledge and/or actions, or failures to act, of any other person serving the Company or a Subsidiary or Affiliate as an Indemnifiable Person shall not be imputed to Indemnitee for purposes of determining the right to indemnification hereunder.</w:t>
      </w:r>
    </w:p>
    <w:p>
      <w:pPr>
        <w:spacing w:after="0" w:line="164" w:lineRule="exact"/>
        <w:rPr>
          <w:rFonts w:ascii="Arial" w:cs="Arial" w:eastAsia="Arial" w:hAnsi="Arial"/>
          <w:sz w:val="18"/>
          <w:szCs w:val="18"/>
          <w:color w:val="auto"/>
        </w:rPr>
      </w:pPr>
    </w:p>
    <w:p>
      <w:pPr>
        <w:ind w:left="1580" w:hanging="718"/>
        <w:spacing w:after="0"/>
        <w:tabs>
          <w:tab w:leader="none" w:pos="158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Any other provision herein to the contrary notwithstanding,</w:t>
      </w:r>
    </w:p>
    <w:p>
      <w:pPr>
        <w:spacing w:after="0" w:line="193" w:lineRule="exact"/>
        <w:rPr>
          <w:rFonts w:ascii="Arial" w:cs="Arial" w:eastAsia="Arial" w:hAnsi="Arial"/>
          <w:sz w:val="19"/>
          <w:szCs w:val="19"/>
          <w:color w:val="auto"/>
        </w:rPr>
      </w:pPr>
    </w:p>
    <w:p>
      <w:pPr>
        <w:jc w:val="both"/>
        <w:ind w:firstLine="1728"/>
        <w:spacing w:after="0" w:line="262" w:lineRule="auto"/>
        <w:tabs>
          <w:tab w:leader="none" w:pos="2527"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Claims Initiated by Indemnitee</w:t>
      </w:r>
      <w:r>
        <w:rPr>
          <w:rFonts w:ascii="Arial" w:cs="Arial" w:eastAsia="Arial" w:hAnsi="Arial"/>
          <w:sz w:val="18"/>
          <w:szCs w:val="18"/>
          <w:color w:val="auto"/>
        </w:rPr>
        <w:t>. The Company shall not be obligated pursuant to the terms of this Agreement to indemnify or advance Expenses to Indemnitee with respect to Proceedings or claims initiated or brought voluntarily by Indemnitee and not by way of defense, except (1) with respect to Proceedings brought to establish or enforce a right to indemnification under this Agreement, any other statute or law, as permitted under Section 145, or otherwise, (2) where the Board has consented to the initiation of such Proceeding, or (3) with respect to Proceedings brought to discharge Indemnitee’s fiduciary responsibilities, whether under ERISA or otherwise, but such indemnification or advancement of Expenses may be provided by the Company in specific cases if the Board finds it to be appropriate; or</w:t>
      </w:r>
    </w:p>
    <w:p>
      <w:pPr>
        <w:spacing w:after="0" w:line="146" w:lineRule="exact"/>
        <w:rPr>
          <w:rFonts w:ascii="Arial" w:cs="Arial" w:eastAsia="Arial" w:hAnsi="Arial"/>
          <w:sz w:val="18"/>
          <w:szCs w:val="18"/>
          <w:color w:val="auto"/>
        </w:rPr>
      </w:pPr>
    </w:p>
    <w:p>
      <w:pPr>
        <w:jc w:val="both"/>
        <w:ind w:firstLine="1728"/>
        <w:spacing w:after="0" w:line="243" w:lineRule="auto"/>
        <w:tabs>
          <w:tab w:leader="none" w:pos="2538"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Actions Based on Federal Statutes Regarding Profit Recovery and Return of Bonus Payments</w:t>
      </w:r>
      <w:r>
        <w:rPr>
          <w:rFonts w:ascii="Arial" w:cs="Arial" w:eastAsia="Arial" w:hAnsi="Arial"/>
          <w:sz w:val="19"/>
          <w:szCs w:val="19"/>
          <w:color w:val="auto"/>
        </w:rPr>
        <w:t>. The Company shall not be obligated pursuant to the terms of this Agreement to indemnify Indemnitee on account of (i) any suit in which judgment is rendered against Indemnitee for an accounting of profits made from the purchase or sale by Indemnitee of securities of the Company pursuant to the provisions of Section 16(b) of the Securities Exchange Act of l934 and amendments thereto or similar provisions of any federal, state or local statutory law,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18693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5" w:name="page46"/>
    <w:bookmarkEnd w:id="45"/>
    <w:p>
      <w:pPr>
        <w:ind w:firstLine="1728"/>
        <w:spacing w:after="0" w:line="270" w:lineRule="auto"/>
        <w:tabs>
          <w:tab w:leader="none" w:pos="2527"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Unlawful Indemnification</w:t>
      </w:r>
      <w:r>
        <w:rPr>
          <w:rFonts w:ascii="Arial" w:cs="Arial" w:eastAsia="Arial" w:hAnsi="Arial"/>
          <w:sz w:val="19"/>
          <w:szCs w:val="19"/>
          <w:color w:val="auto"/>
        </w:rPr>
        <w:t>. The Company shall not be obligated pursuant to the terms of this Agreement to indemnify Indemnitee for Other Liabilities if such indemnification is prohibited by law.</w:t>
      </w:r>
    </w:p>
    <w:p>
      <w:pPr>
        <w:spacing w:after="0" w:line="138" w:lineRule="exact"/>
        <w:rPr>
          <w:rFonts w:ascii="Arial" w:cs="Arial" w:eastAsia="Arial" w:hAnsi="Arial"/>
          <w:sz w:val="19"/>
          <w:szCs w:val="19"/>
          <w:color w:val="auto"/>
        </w:rPr>
      </w:pPr>
    </w:p>
    <w:p>
      <w:pPr>
        <w:jc w:val="both"/>
        <w:ind w:right="20" w:firstLine="862"/>
        <w:spacing w:after="0" w:line="262" w:lineRule="auto"/>
        <w:tabs>
          <w:tab w:leader="none" w:pos="168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Non-exclusivity</w:t>
      </w:r>
      <w:r>
        <w:rPr>
          <w:rFonts w:ascii="Arial" w:cs="Arial" w:eastAsia="Arial" w:hAnsi="Arial"/>
          <w:sz w:val="18"/>
          <w:szCs w:val="18"/>
          <w:color w:val="auto"/>
        </w:rPr>
        <w:t>. The provisions for indemnification and advancement of Expenses set forth in this Agreement shall not be deemed exclusive of any other rights which Indemnitee may have under any provision of law, the Company’s Certificate of Incorporation or Bylaws, the vote of the Company’s stockholders or disinterested directors, other agreements, or otherwise, both as to acts or omissions in his or her official capacity and to acts or omissions in another capacity while serving the Company or a Subsidiary or Affiliate as an Indemnifiable Person and Indemnitee’s rights hereunder shall continue after Indemnitee has ceased serving the Company or a Subsidiary or Affiliate as an Indemnifiable Person and shall inure to the benefit of the heirs, executors and administrators of Indemnitee.</w:t>
      </w:r>
    </w:p>
    <w:p>
      <w:pPr>
        <w:spacing w:after="0" w:line="146" w:lineRule="exact"/>
        <w:rPr>
          <w:rFonts w:ascii="Arial" w:cs="Arial" w:eastAsia="Arial" w:hAnsi="Arial"/>
          <w:sz w:val="18"/>
          <w:szCs w:val="18"/>
          <w:color w:val="auto"/>
        </w:rPr>
      </w:pPr>
    </w:p>
    <w:p>
      <w:pPr>
        <w:jc w:val="both"/>
        <w:ind w:right="20" w:firstLine="862"/>
        <w:spacing w:after="0" w:line="244" w:lineRule="auto"/>
        <w:tabs>
          <w:tab w:leader="none" w:pos="168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or provisions of this Agreement shall be held to be invalid, illegal or unenforceable for any reason whatsoever, (i)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(ii)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65" w:lineRule="exact"/>
        <w:rPr>
          <w:rFonts w:ascii="Arial" w:cs="Arial" w:eastAsia="Arial" w:hAnsi="Arial"/>
          <w:sz w:val="19"/>
          <w:szCs w:val="19"/>
          <w:color w:val="auto"/>
        </w:rPr>
      </w:pPr>
    </w:p>
    <w:p>
      <w:pPr>
        <w:jc w:val="both"/>
        <w:ind w:firstLine="862"/>
        <w:spacing w:after="0" w:line="299" w:lineRule="auto"/>
        <w:tabs>
          <w:tab w:leader="none" w:pos="1689"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supplement, modification or amendment of this Agreement shall be binding unless executed in writing by both of the parties hereto. No waiver of any of the provisions of this Agreement shall be deemed or shall constitute a waiver of any other provision hereof (whether or not similar) and except as expressly provided herein, no such waiver shall constitute a continuing waiver.</w:t>
      </w:r>
    </w:p>
    <w:p>
      <w:pPr>
        <w:spacing w:after="0" w:line="117" w:lineRule="exact"/>
        <w:rPr>
          <w:rFonts w:ascii="Arial" w:cs="Arial" w:eastAsia="Arial" w:hAnsi="Arial"/>
          <w:sz w:val="17"/>
          <w:szCs w:val="17"/>
          <w:color w:val="auto"/>
        </w:rPr>
      </w:pPr>
    </w:p>
    <w:p>
      <w:pPr>
        <w:ind w:right="20" w:firstLine="862"/>
        <w:spacing w:after="0" w:line="270" w:lineRule="auto"/>
        <w:tabs>
          <w:tab w:leader="none" w:pos="1689"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terms of this Agreement shall bind, and shall inure to the benefit of, the successors and assigns of the parties hereto.</w:t>
      </w:r>
    </w:p>
    <w:p>
      <w:pPr>
        <w:spacing w:after="0" w:line="138" w:lineRule="exact"/>
        <w:rPr>
          <w:rFonts w:ascii="Arial" w:cs="Arial" w:eastAsia="Arial" w:hAnsi="Arial"/>
          <w:sz w:val="19"/>
          <w:szCs w:val="19"/>
          <w:color w:val="auto"/>
        </w:rPr>
      </w:pPr>
    </w:p>
    <w:p>
      <w:pPr>
        <w:jc w:val="both"/>
        <w:ind w:firstLine="862"/>
        <w:spacing w:after="0" w:line="260" w:lineRule="auto"/>
        <w:tabs>
          <w:tab w:leader="none" w:pos="168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requests, demands and other communications under this Agreement shall be in writing and shall be deemed duly given (i) if delivered by hand and a receipt is provided by the party to whom such communication is delivered, (ii) if mailed by certified or registered mail with postage prepaid, return receipt requested, on the signing by the recipient of an acknowledgement of receipt form accompanying delivery through the U.S. mail, (iii) personal service by a process server, or (iv) delivery to the recipient’s address by overnight delivery (e.g., FedEx, UPS or DHL) or other commercial delivery service. Addresses for notice to either party are as shown on the signature page of this Agreement, or as subsequently modified by written notice complying with the provisions of this Section 14. Delivery of communications to the Company with respect to this Agreement shall be sent to the attention of the Company’s Chief Financial Officer.</w:t>
      </w:r>
    </w:p>
    <w:p>
      <w:pPr>
        <w:spacing w:after="0" w:line="150" w:lineRule="exact"/>
        <w:rPr>
          <w:rFonts w:ascii="Arial" w:cs="Arial" w:eastAsia="Arial" w:hAnsi="Arial"/>
          <w:sz w:val="18"/>
          <w:szCs w:val="18"/>
          <w:color w:val="auto"/>
        </w:rPr>
      </w:pPr>
    </w:p>
    <w:p>
      <w:pPr>
        <w:ind w:right="20" w:firstLine="862"/>
        <w:spacing w:after="0" w:line="298" w:lineRule="auto"/>
        <w:tabs>
          <w:tab w:leader="none" w:pos="1689"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Presumptions</w:t>
      </w:r>
      <w:r>
        <w:rPr>
          <w:rFonts w:ascii="Arial" w:cs="Arial" w:eastAsia="Arial" w:hAnsi="Arial"/>
          <w:sz w:val="18"/>
          <w:szCs w:val="18"/>
          <w:color w:val="auto"/>
        </w:rPr>
        <w:t>. For purposes of this Agreement, the termination of any Proceeding, by judgment, order, settlement (whether with or without court approval) or conviction, or upon a plea of nolo contendere or its equivalent, shall not, of itself, create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18693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6" w:name="page47"/>
    <w:bookmarkEnd w:id="46"/>
    <w:p>
      <w:pPr>
        <w:jc w:val="both"/>
        <w:ind w:right="20"/>
        <w:spacing w:after="0" w:line="260" w:lineRule="auto"/>
        <w:rPr>
          <w:sz w:val="20"/>
          <w:szCs w:val="20"/>
          <w:color w:val="auto"/>
        </w:rPr>
      </w:pPr>
      <w:r>
        <w:rPr>
          <w:rFonts w:ascii="Arial" w:cs="Arial" w:eastAsia="Arial" w:hAnsi="Arial"/>
          <w:sz w:val="18"/>
          <w:szCs w:val="18"/>
          <w:color w:val="auto"/>
        </w:rPr>
        <w:t>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Proceedings by Indemnitee to secure a judicial determination by exercising Indemnitee’s rights under Section 8(e) of this Agreement shall be a defense to Indemnitee’s claim or create a presumption that Indemnitee has failed to meet any particular standard of conduct or did not have any particular belief or is not entitled to indemnification under applicable law or otherwise.</w:t>
      </w:r>
    </w:p>
    <w:p>
      <w:pPr>
        <w:spacing w:after="0" w:line="151" w:lineRule="exact"/>
        <w:rPr>
          <w:sz w:val="20"/>
          <w:szCs w:val="20"/>
          <w:color w:val="auto"/>
        </w:rPr>
      </w:pPr>
    </w:p>
    <w:p>
      <w:pPr>
        <w:jc w:val="both"/>
        <w:ind w:right="20" w:firstLine="862"/>
        <w:spacing w:after="0" w:line="255" w:lineRule="auto"/>
        <w:tabs>
          <w:tab w:leader="none" w:pos="168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Survival of Rights</w:t>
      </w:r>
      <w:r>
        <w:rPr>
          <w:rFonts w:ascii="Arial" w:cs="Arial" w:eastAsia="Arial" w:hAnsi="Arial"/>
          <w:sz w:val="19"/>
          <w:szCs w:val="19"/>
          <w:color w:val="auto"/>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spacing w:after="0" w:line="151" w:lineRule="exact"/>
        <w:rPr>
          <w:rFonts w:ascii="Arial" w:cs="Arial" w:eastAsia="Arial" w:hAnsi="Arial"/>
          <w:sz w:val="19"/>
          <w:szCs w:val="19"/>
          <w:color w:val="auto"/>
        </w:rPr>
      </w:pPr>
    </w:p>
    <w:p>
      <w:pPr>
        <w:jc w:val="both"/>
        <w:ind w:right="20" w:firstLine="862"/>
        <w:spacing w:after="0" w:line="275" w:lineRule="auto"/>
        <w:tabs>
          <w:tab w:leader="none" w:pos="168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Subrogation and Contribution</w:t>
      </w:r>
      <w:r>
        <w:rPr>
          <w:rFonts w:ascii="Arial" w:cs="Arial" w:eastAsia="Arial" w:hAnsi="Arial"/>
          <w:sz w:val="18"/>
          <w:szCs w:val="18"/>
          <w:color w:val="auto"/>
        </w:rPr>
        <w:t>. (a)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36" w:lineRule="exact"/>
        <w:rPr>
          <w:rFonts w:ascii="Arial" w:cs="Arial" w:eastAsia="Arial" w:hAnsi="Arial"/>
          <w:sz w:val="18"/>
          <w:szCs w:val="18"/>
          <w:color w:val="auto"/>
        </w:rPr>
      </w:pPr>
    </w:p>
    <w:p>
      <w:pPr>
        <w:jc w:val="both"/>
        <w:ind w:firstLine="1728"/>
        <w:spacing w:after="0" w:line="260" w:lineRule="auto"/>
        <w:tabs>
          <w:tab w:leader="none" w:pos="25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or on behalf of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50" w:lineRule="exact"/>
        <w:rPr>
          <w:rFonts w:ascii="Arial" w:cs="Arial" w:eastAsia="Arial" w:hAnsi="Arial"/>
          <w:sz w:val="18"/>
          <w:szCs w:val="18"/>
          <w:color w:val="auto"/>
        </w:rPr>
      </w:pPr>
    </w:p>
    <w:p>
      <w:pPr>
        <w:jc w:val="both"/>
        <w:ind w:right="20" w:firstLine="862"/>
        <w:spacing w:after="0" w:line="249" w:lineRule="auto"/>
        <w:tabs>
          <w:tab w:leader="none" w:pos="168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Specific Performance, Etc.</w:t>
      </w:r>
      <w:r>
        <w:rPr>
          <w:rFonts w:ascii="Arial" w:cs="Arial" w:eastAsia="Arial" w:hAnsi="Arial"/>
          <w:sz w:val="19"/>
          <w:szCs w:val="19"/>
          <w:color w:val="auto"/>
        </w:rPr>
        <w:t xml:space="preserve">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w:t>
      </w:r>
    </w:p>
    <w:p>
      <w:pPr>
        <w:spacing w:after="0" w:line="159" w:lineRule="exact"/>
        <w:rPr>
          <w:rFonts w:ascii="Arial" w:cs="Arial" w:eastAsia="Arial" w:hAnsi="Arial"/>
          <w:sz w:val="19"/>
          <w:szCs w:val="19"/>
          <w:color w:val="auto"/>
        </w:rPr>
      </w:pPr>
    </w:p>
    <w:p>
      <w:pPr>
        <w:jc w:val="both"/>
        <w:ind w:right="20" w:firstLine="862"/>
        <w:spacing w:after="0" w:line="255" w:lineRule="auto"/>
        <w:tabs>
          <w:tab w:leader="none" w:pos="168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51" w:lineRule="exact"/>
        <w:rPr>
          <w:rFonts w:ascii="Arial" w:cs="Arial" w:eastAsia="Arial" w:hAnsi="Arial"/>
          <w:sz w:val="19"/>
          <w:szCs w:val="19"/>
          <w:color w:val="auto"/>
        </w:rPr>
      </w:pPr>
    </w:p>
    <w:p>
      <w:pPr>
        <w:ind w:right="20" w:firstLine="862"/>
        <w:spacing w:after="0" w:line="270" w:lineRule="auto"/>
        <w:tabs>
          <w:tab w:leader="none" w:pos="168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and paragraphs of this Agreement are inserted for convenience only and shall not be deemed to constitute part of this Agreement or to affect the construction or interpretation thereof.</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18693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47" w:name="page48"/>
    <w:bookmarkEnd w:id="47"/>
    <w:p>
      <w:pPr>
        <w:ind w:firstLine="862"/>
        <w:spacing w:after="0" w:line="270" w:lineRule="auto"/>
        <w:tabs>
          <w:tab w:leader="none" w:pos="1689"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exclusively by and construed according to the laws of the State of Delaware, as applied to contracts between Delaware residents entered into and to be performed entirely with Delaware.</w:t>
      </w:r>
    </w:p>
    <w:p>
      <w:pPr>
        <w:spacing w:after="0" w:line="138" w:lineRule="exact"/>
        <w:rPr>
          <w:rFonts w:ascii="Arial" w:cs="Arial" w:eastAsia="Arial" w:hAnsi="Arial"/>
          <w:sz w:val="19"/>
          <w:szCs w:val="19"/>
          <w:color w:val="auto"/>
        </w:rPr>
      </w:pPr>
    </w:p>
    <w:p>
      <w:pPr>
        <w:ind w:firstLine="862"/>
        <w:spacing w:after="0" w:line="270" w:lineRule="auto"/>
        <w:tabs>
          <w:tab w:leader="none" w:pos="1689"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Consent to Jurisdiction</w:t>
      </w:r>
      <w:r>
        <w:rPr>
          <w:rFonts w:ascii="Arial" w:cs="Arial" w:eastAsia="Arial" w:hAnsi="Arial"/>
          <w:sz w:val="19"/>
          <w:szCs w:val="19"/>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w:t>
      </w:r>
      <w:r>
        <w:rPr>
          <w:rFonts w:ascii="Arial" w:cs="Arial" w:eastAsia="Arial" w:hAnsi="Arial"/>
          <w:sz w:val="13"/>
          <w:szCs w:val="13"/>
          <w:color w:val="auto"/>
        </w:rPr>
        <w:t>IGNATURE</w:t>
      </w:r>
      <w:r>
        <w:rPr>
          <w:rFonts w:ascii="Arial" w:cs="Arial" w:eastAsia="Arial" w:hAnsi="Arial"/>
          <w:sz w:val="19"/>
          <w:szCs w:val="19"/>
          <w:color w:val="auto"/>
        </w:rPr>
        <w:t xml:space="preserve"> P</w:t>
      </w:r>
      <w:r>
        <w:rPr>
          <w:rFonts w:ascii="Arial" w:cs="Arial" w:eastAsia="Arial" w:hAnsi="Arial"/>
          <w:sz w:val="13"/>
          <w:szCs w:val="13"/>
          <w:color w:val="auto"/>
        </w:rPr>
        <w:t>AGE</w:t>
      </w:r>
      <w:r>
        <w:rPr>
          <w:rFonts w:ascii="Arial" w:cs="Arial" w:eastAsia="Arial" w:hAnsi="Arial"/>
          <w:sz w:val="19"/>
          <w:szCs w:val="19"/>
          <w:color w:val="auto"/>
        </w:rPr>
        <w:t xml:space="preserve"> F</w:t>
      </w:r>
      <w:r>
        <w:rPr>
          <w:rFonts w:ascii="Arial" w:cs="Arial" w:eastAsia="Arial" w:hAnsi="Arial"/>
          <w:sz w:val="13"/>
          <w:szCs w:val="13"/>
          <w:color w:val="auto"/>
        </w:rPr>
        <w:t>OLLOWS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18693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8" w:name="page49"/>
    <w:bookmarkEnd w:id="48"/>
    <w:p>
      <w:pPr>
        <w:ind w:left="600"/>
        <w:spacing w:after="0"/>
        <w:rPr>
          <w:sz w:val="20"/>
          <w:szCs w:val="20"/>
          <w:color w:val="auto"/>
        </w:rPr>
      </w:pPr>
      <w:r>
        <w:rPr>
          <w:rFonts w:ascii="Arial" w:cs="Arial" w:eastAsia="Arial" w:hAnsi="Arial"/>
          <w:sz w:val="17"/>
          <w:szCs w:val="17"/>
          <w:color w:val="auto"/>
        </w:rPr>
        <w:t>The parties hereto have entered into this Indemnity Agreement effective as of the date first above written.</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ENERGOUS CORPORATION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By:</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Name:</w:t>
      </w:r>
    </w:p>
    <w:p>
      <w:pPr>
        <w:spacing w:after="0" w:line="193"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INDEMNITEE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w:t>
      </w:r>
      <w:r>
        <w:rPr>
          <w:rFonts w:ascii="Arial" w:cs="Arial" w:eastAsia="Arial" w:hAnsi="Arial"/>
          <w:sz w:val="13"/>
          <w:szCs w:val="13"/>
          <w:color w:val="auto"/>
        </w:rPr>
        <w:t>IGNATURE</w:t>
      </w:r>
      <w:r>
        <w:rPr>
          <w:rFonts w:ascii="Arial" w:cs="Arial" w:eastAsia="Arial" w:hAnsi="Arial"/>
          <w:sz w:val="19"/>
          <w:szCs w:val="19"/>
          <w:color w:val="auto"/>
        </w:rPr>
        <w:t xml:space="preserve"> P</w:t>
      </w:r>
      <w:r>
        <w:rPr>
          <w:rFonts w:ascii="Arial" w:cs="Arial" w:eastAsia="Arial" w:hAnsi="Arial"/>
          <w:sz w:val="13"/>
          <w:szCs w:val="13"/>
          <w:color w:val="auto"/>
        </w:rPr>
        <w:t>AGE TO</w:t>
      </w:r>
      <w:r>
        <w:rPr>
          <w:rFonts w:ascii="Arial" w:cs="Arial" w:eastAsia="Arial" w:hAnsi="Arial"/>
          <w:sz w:val="19"/>
          <w:szCs w:val="19"/>
          <w:color w:val="auto"/>
        </w:rPr>
        <w:t xml:space="preserve"> I</w:t>
      </w:r>
      <w:r>
        <w:rPr>
          <w:rFonts w:ascii="Arial" w:cs="Arial" w:eastAsia="Arial" w:hAnsi="Arial"/>
          <w:sz w:val="13"/>
          <w:szCs w:val="13"/>
          <w:color w:val="auto"/>
        </w:rPr>
        <w:t>NDEMNITY</w:t>
      </w:r>
      <w:r>
        <w:rPr>
          <w:rFonts w:ascii="Arial" w:cs="Arial" w:eastAsia="Arial" w:hAnsi="Arial"/>
          <w:sz w:val="19"/>
          <w:szCs w:val="19"/>
          <w:color w:val="auto"/>
        </w:rPr>
        <w:t xml:space="preserve"> A</w:t>
      </w:r>
      <w:r>
        <w:rPr>
          <w:rFonts w:ascii="Arial" w:cs="Arial" w:eastAsia="Arial" w:hAnsi="Arial"/>
          <w:sz w:val="13"/>
          <w:szCs w:val="13"/>
          <w:color w:val="auto"/>
        </w:rPr>
        <w:t>GREEMENT</w:t>
      </w:r>
      <w:r>
        <w:rPr>
          <w:rFonts w:ascii="Arial" w:cs="Arial" w:eastAsia="Arial" w:hAnsi="Arial"/>
          <w:sz w:val="19"/>
          <w:szCs w:val="19"/>
          <w:color w:val="auto"/>
        </w:rPr>
        <w:t>]</w:t>
      </w:r>
    </w:p>
    <w:p>
      <w:pPr>
        <w:sectPr>
          <w:pgSz w:w="11900" w:h="16838" w:orient="portrait"/>
          <w:cols w:equalWidth="0" w:num="1">
            <w:col w:w="9019"/>
          </w:cols>
          <w:pgMar w:left="1440" w:top="508"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auto"/>
        </w:rPr>
        <w:t>EXHIBIT 10.2</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ENERGOUS CORPORATION</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2013 EQUITY INCENTIVE PLAN</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(AS AMENDED AND RESTATED JUNE 16, 2021)</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5"/>
          <w:szCs w:val="15"/>
          <w:color w:val="auto"/>
        </w:rPr>
        <w:t>Energous Corporation sets forth herein the terms and conditions of its 2013 Equity Incentive Plan (as Amended and Restated June 16, 2021), as follows:</w:t>
      </w:r>
    </w:p>
    <w:p>
      <w:pPr>
        <w:spacing w:after="0" w:line="211" w:lineRule="exact"/>
        <w:rPr>
          <w:sz w:val="20"/>
          <w:szCs w:val="20"/>
          <w:color w:val="auto"/>
        </w:rPr>
      </w:pPr>
    </w:p>
    <w:p>
      <w:pPr>
        <w:ind w:left="703" w:hanging="703"/>
        <w:spacing w:after="0"/>
        <w:tabs>
          <w:tab w:leader="none" w:pos="703"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208" w:lineRule="exact"/>
        <w:rPr>
          <w:sz w:val="20"/>
          <w:szCs w:val="20"/>
          <w:color w:val="auto"/>
        </w:rPr>
      </w:pPr>
    </w:p>
    <w:p>
      <w:pPr>
        <w:ind w:left="3" w:right="40" w:firstLine="865"/>
        <w:spacing w:after="0" w:line="302" w:lineRule="auto"/>
        <w:rPr>
          <w:sz w:val="20"/>
          <w:szCs w:val="20"/>
          <w:color w:val="auto"/>
        </w:rPr>
      </w:pPr>
      <w:r>
        <w:rPr>
          <w:rFonts w:ascii="Arial" w:cs="Arial" w:eastAsia="Arial" w:hAnsi="Arial"/>
          <w:sz w:val="14"/>
          <w:szCs w:val="14"/>
          <w:color w:val="auto"/>
        </w:rPr>
        <w:t>The Plan is intended to enhance the Company’s and its Affiliates’ ability to attract and retain highly qualified officers, Non-Employee Directors, key employees and Consultants, and to motivate such officers, Non-Employee Directors, key emyees and Consultants to serve the Company and its Affiliates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unrestricted stock, other share-based awards and cash awards. Any of these awards may, but need not, be made as performance incentives to reward attainment of performance goals in accordance with the terms and conditions hereof. Stock options granted under the Plan may be non-qualified stock options or incentive stock options, as provided herein.</w:t>
      </w:r>
    </w:p>
    <w:p>
      <w:pPr>
        <w:spacing w:after="0" w:line="137" w:lineRule="exact"/>
        <w:rPr>
          <w:sz w:val="20"/>
          <w:szCs w:val="20"/>
          <w:color w:val="auto"/>
        </w:rPr>
      </w:pPr>
    </w:p>
    <w:p>
      <w:pPr>
        <w:ind w:left="703" w:hanging="703"/>
        <w:spacing w:after="0"/>
        <w:tabs>
          <w:tab w:leader="none" w:pos="703"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For purposes of interpreting the Plan and related documents (including Award Agreements), the following definitions shall apply:</w:t>
      </w:r>
    </w:p>
    <w:p>
      <w:pPr>
        <w:spacing w:after="0" w:line="200"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010000"/>
              </w:rPr>
              <w:t>2.1</w:t>
            </w:r>
          </w:p>
        </w:tc>
        <w:tc>
          <w:tcPr>
            <w:tcW w:w="9880" w:type="dxa"/>
            <w:vAlign w:val="bottom"/>
          </w:tcPr>
          <w:p>
            <w:pPr>
              <w:ind w:left="280"/>
              <w:spacing w:after="0"/>
              <w:rPr>
                <w:sz w:val="20"/>
                <w:szCs w:val="20"/>
                <w:color w:val="auto"/>
              </w:rPr>
            </w:pPr>
            <w:r>
              <w:rPr>
                <w:rFonts w:ascii="Arial" w:cs="Arial" w:eastAsia="Arial" w:hAnsi="Arial"/>
                <w:sz w:val="16"/>
                <w:szCs w:val="16"/>
                <w:b w:val="1"/>
                <w:bCs w:val="1"/>
                <w:color w:val="auto"/>
              </w:rPr>
              <w:t xml:space="preserve">“Acquiror” </w:t>
            </w:r>
            <w:r>
              <w:rPr>
                <w:rFonts w:ascii="Arial" w:cs="Arial" w:eastAsia="Arial" w:hAnsi="Arial"/>
                <w:sz w:val="16"/>
                <w:szCs w:val="16"/>
                <w:color w:val="auto"/>
              </w:rPr>
              <w:t>shall have the meaning set forth in Section 15.2.</w:t>
            </w:r>
          </w:p>
        </w:tc>
      </w:tr>
      <w:tr>
        <w:trPr>
          <w:trHeight w:val="376"/>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w:t>
            </w:r>
          </w:p>
        </w:tc>
        <w:tc>
          <w:tcPr>
            <w:tcW w:w="9880" w:type="dxa"/>
            <w:vAlign w:val="bottom"/>
          </w:tcPr>
          <w:p>
            <w:pPr>
              <w:ind w:left="280"/>
              <w:spacing w:after="0"/>
              <w:rPr>
                <w:sz w:val="20"/>
                <w:szCs w:val="20"/>
                <w:color w:val="auto"/>
              </w:rPr>
            </w:pPr>
            <w:r>
              <w:rPr>
                <w:rFonts w:ascii="Arial" w:cs="Arial" w:eastAsia="Arial" w:hAnsi="Arial"/>
                <w:sz w:val="16"/>
                <w:szCs w:val="16"/>
                <w:b w:val="1"/>
                <w:bCs w:val="1"/>
                <w:color w:val="auto"/>
                <w:w w:val="97"/>
              </w:rPr>
              <w:t xml:space="preserve">“Affiliate” </w:t>
            </w:r>
            <w:r>
              <w:rPr>
                <w:rFonts w:ascii="Arial" w:cs="Arial" w:eastAsia="Arial" w:hAnsi="Arial"/>
                <w:sz w:val="16"/>
                <w:szCs w:val="16"/>
                <w:color w:val="auto"/>
                <w:w w:val="97"/>
              </w:rPr>
              <w:t>means any company or other trade or business that “controls,” is “controlled by” or is “under common control with” the Company</w:t>
            </w:r>
          </w:p>
        </w:tc>
      </w:tr>
      <w:tr>
        <w:trPr>
          <w:trHeight w:val="206"/>
        </w:trPr>
        <w:tc>
          <w:tcPr>
            <w:tcW w:w="11240" w:type="dxa"/>
            <w:vAlign w:val="bottom"/>
            <w:gridSpan w:val="2"/>
          </w:tcPr>
          <w:p>
            <w:pPr>
              <w:spacing w:after="0"/>
              <w:rPr>
                <w:sz w:val="20"/>
                <w:szCs w:val="20"/>
                <w:color w:val="auto"/>
              </w:rPr>
            </w:pPr>
            <w:r>
              <w:rPr>
                <w:rFonts w:ascii="Arial" w:cs="Arial" w:eastAsia="Arial" w:hAnsi="Arial"/>
                <w:sz w:val="16"/>
                <w:szCs w:val="16"/>
                <w:color w:val="auto"/>
              </w:rPr>
              <w:t>within the meaning of Rule 405 of Regulation C under the Securities Act, including any Subsidiary.</w:t>
            </w:r>
          </w:p>
        </w:tc>
      </w:tr>
      <w:tr>
        <w:trPr>
          <w:trHeight w:val="376"/>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w:t>
            </w:r>
          </w:p>
        </w:tc>
        <w:tc>
          <w:tcPr>
            <w:tcW w:w="9880" w:type="dxa"/>
            <w:vAlign w:val="bottom"/>
          </w:tcPr>
          <w:p>
            <w:pPr>
              <w:ind w:left="280"/>
              <w:spacing w:after="0"/>
              <w:rPr>
                <w:sz w:val="20"/>
                <w:szCs w:val="20"/>
                <w:color w:val="auto"/>
              </w:rPr>
            </w:pPr>
            <w:r>
              <w:rPr>
                <w:rFonts w:ascii="Arial" w:cs="Arial" w:eastAsia="Arial" w:hAnsi="Arial"/>
                <w:sz w:val="16"/>
                <w:szCs w:val="16"/>
                <w:b w:val="1"/>
                <w:bCs w:val="1"/>
                <w:color w:val="auto"/>
                <w:w w:val="95"/>
              </w:rPr>
              <w:t xml:space="preserve">“Annual Incentive Award” </w:t>
            </w:r>
            <w:r>
              <w:rPr>
                <w:rFonts w:ascii="Arial" w:cs="Arial" w:eastAsia="Arial" w:hAnsi="Arial"/>
                <w:sz w:val="16"/>
                <w:szCs w:val="16"/>
                <w:color w:val="auto"/>
                <w:w w:val="95"/>
              </w:rPr>
              <w:t>means a cash-based Performance Award with a performance period that is the Company’s fiscal year or other 12-</w:t>
            </w:r>
          </w:p>
        </w:tc>
      </w:tr>
      <w:tr>
        <w:trPr>
          <w:trHeight w:val="206"/>
        </w:trPr>
        <w:tc>
          <w:tcPr>
            <w:tcW w:w="11240" w:type="dxa"/>
            <w:vAlign w:val="bottom"/>
            <w:gridSpan w:val="2"/>
          </w:tcPr>
          <w:p>
            <w:pPr>
              <w:spacing w:after="0"/>
              <w:rPr>
                <w:sz w:val="20"/>
                <w:szCs w:val="20"/>
                <w:color w:val="auto"/>
              </w:rPr>
            </w:pPr>
            <w:r>
              <w:rPr>
                <w:rFonts w:ascii="Arial" w:cs="Arial" w:eastAsia="Arial" w:hAnsi="Arial"/>
                <w:sz w:val="16"/>
                <w:szCs w:val="16"/>
                <w:color w:val="auto"/>
              </w:rPr>
              <w:t>month (or shorter) performance period as specified under the terms and conditions of the Award as approved by the Committee.</w:t>
            </w:r>
          </w:p>
        </w:tc>
      </w:tr>
      <w:tr>
        <w:trPr>
          <w:trHeight w:val="388"/>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010000"/>
              </w:rPr>
              <w:t>2.4</w:t>
            </w:r>
          </w:p>
        </w:tc>
        <w:tc>
          <w:tcPr>
            <w:tcW w:w="9880" w:type="dxa"/>
            <w:vAlign w:val="bottom"/>
          </w:tcPr>
          <w:p>
            <w:pPr>
              <w:ind w:left="280"/>
              <w:spacing w:after="0"/>
              <w:rPr>
                <w:sz w:val="20"/>
                <w:szCs w:val="20"/>
                <w:color w:val="auto"/>
              </w:rPr>
            </w:pPr>
            <w:r>
              <w:rPr>
                <w:rFonts w:ascii="Arial" w:cs="Arial" w:eastAsia="Arial" w:hAnsi="Arial"/>
                <w:sz w:val="16"/>
                <w:szCs w:val="16"/>
                <w:b w:val="1"/>
                <w:bCs w:val="1"/>
                <w:color w:val="auto"/>
              </w:rPr>
              <w:t xml:space="preserve">“Award” </w:t>
            </w:r>
            <w:r>
              <w:rPr>
                <w:rFonts w:ascii="Arial" w:cs="Arial" w:eastAsia="Arial" w:hAnsi="Arial"/>
                <w:sz w:val="16"/>
                <w:szCs w:val="16"/>
                <w:color w:val="auto"/>
              </w:rPr>
              <w:t>means a grant of an Option, SAR, Restricted Stock, RSU, Other Share-based Award or cash award under the Plan.</w:t>
            </w:r>
          </w:p>
        </w:tc>
      </w:tr>
      <w:tr>
        <w:trPr>
          <w:trHeight w:val="376"/>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010000"/>
              </w:rPr>
              <w:t>2.5</w:t>
            </w:r>
          </w:p>
        </w:tc>
        <w:tc>
          <w:tcPr>
            <w:tcW w:w="9880" w:type="dxa"/>
            <w:vAlign w:val="bottom"/>
          </w:tcPr>
          <w:p>
            <w:pPr>
              <w:ind w:left="280"/>
              <w:spacing w:after="0"/>
              <w:rPr>
                <w:sz w:val="20"/>
                <w:szCs w:val="20"/>
                <w:color w:val="auto"/>
              </w:rPr>
            </w:pPr>
            <w:r>
              <w:rPr>
                <w:rFonts w:ascii="Arial" w:cs="Arial" w:eastAsia="Arial" w:hAnsi="Arial"/>
                <w:sz w:val="16"/>
                <w:szCs w:val="16"/>
                <w:b w:val="1"/>
                <w:bCs w:val="1"/>
                <w:color w:val="auto"/>
                <w:w w:val="91"/>
              </w:rPr>
              <w:t xml:space="preserve">“Award Agreement” </w:t>
            </w:r>
            <w:r>
              <w:rPr>
                <w:rFonts w:ascii="Arial" w:cs="Arial" w:eastAsia="Arial" w:hAnsi="Arial"/>
                <w:sz w:val="16"/>
                <w:szCs w:val="16"/>
                <w:color w:val="auto"/>
                <w:w w:val="91"/>
              </w:rPr>
              <w:t>means a written agreement between the Company and a Grantee, or notice from the Company or an Affiliate to a Grantee that</w:t>
            </w:r>
          </w:p>
        </w:tc>
      </w:tr>
      <w:tr>
        <w:trPr>
          <w:trHeight w:val="206"/>
        </w:trPr>
        <w:tc>
          <w:tcPr>
            <w:tcW w:w="11240" w:type="dxa"/>
            <w:vAlign w:val="bottom"/>
            <w:gridSpan w:val="2"/>
          </w:tcPr>
          <w:p>
            <w:pPr>
              <w:spacing w:after="0"/>
              <w:rPr>
                <w:sz w:val="20"/>
                <w:szCs w:val="20"/>
                <w:color w:val="auto"/>
              </w:rPr>
            </w:pPr>
            <w:r>
              <w:rPr>
                <w:rFonts w:ascii="Arial" w:cs="Arial" w:eastAsia="Arial" w:hAnsi="Arial"/>
                <w:sz w:val="16"/>
                <w:szCs w:val="16"/>
                <w:color w:val="auto"/>
              </w:rPr>
              <w:t>evidences and sets out the terms and conditions of an Award.</w:t>
            </w:r>
          </w:p>
        </w:tc>
      </w:tr>
      <w:tr>
        <w:trPr>
          <w:trHeight w:val="388"/>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010000"/>
              </w:rPr>
              <w:t>2.6</w:t>
            </w:r>
          </w:p>
        </w:tc>
        <w:tc>
          <w:tcPr>
            <w:tcW w:w="9880" w:type="dxa"/>
            <w:vAlign w:val="bottom"/>
          </w:tcPr>
          <w:p>
            <w:pPr>
              <w:ind w:left="280"/>
              <w:spacing w:after="0"/>
              <w:rPr>
                <w:sz w:val="20"/>
                <w:szCs w:val="20"/>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Board of Directors of the Company.</w:t>
            </w:r>
          </w:p>
        </w:tc>
      </w:tr>
      <w:tr>
        <w:trPr>
          <w:trHeight w:val="388"/>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010000"/>
              </w:rPr>
              <w:t>2.7</w:t>
            </w:r>
          </w:p>
        </w:tc>
        <w:tc>
          <w:tcPr>
            <w:tcW w:w="9880" w:type="dxa"/>
            <w:vAlign w:val="bottom"/>
          </w:tcPr>
          <w:p>
            <w:pPr>
              <w:ind w:left="280"/>
              <w:spacing w:after="0"/>
              <w:rPr>
                <w:sz w:val="20"/>
                <w:szCs w:val="20"/>
                <w:color w:val="auto"/>
              </w:rPr>
            </w:pPr>
            <w:r>
              <w:rPr>
                <w:rFonts w:ascii="Arial" w:cs="Arial" w:eastAsia="Arial" w:hAnsi="Arial"/>
                <w:sz w:val="16"/>
                <w:szCs w:val="16"/>
                <w:b w:val="1"/>
                <w:bCs w:val="1"/>
                <w:color w:val="auto"/>
              </w:rPr>
              <w:t xml:space="preserve">“Business Combination” </w:t>
            </w:r>
            <w:r>
              <w:rPr>
                <w:rFonts w:ascii="Arial" w:cs="Arial" w:eastAsia="Arial" w:hAnsi="Arial"/>
                <w:sz w:val="16"/>
                <w:szCs w:val="16"/>
                <w:color w:val="auto"/>
              </w:rPr>
              <w:t>shall have the meaning set forth in Section 15.2.</w:t>
            </w:r>
          </w:p>
        </w:tc>
      </w:tr>
      <w:tr>
        <w:trPr>
          <w:trHeight w:val="388"/>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010000"/>
              </w:rPr>
              <w:t>2.8</w:t>
            </w:r>
          </w:p>
        </w:tc>
        <w:tc>
          <w:tcPr>
            <w:tcW w:w="9880" w:type="dxa"/>
            <w:vAlign w:val="bottom"/>
          </w:tcPr>
          <w:p>
            <w:pPr>
              <w:ind w:left="280"/>
              <w:spacing w:after="0"/>
              <w:rPr>
                <w:sz w:val="20"/>
                <w:szCs w:val="20"/>
                <w:color w:val="auto"/>
              </w:rPr>
            </w:pPr>
            <w:r>
              <w:rPr>
                <w:rFonts w:ascii="Arial" w:cs="Arial" w:eastAsia="Arial" w:hAnsi="Arial"/>
                <w:sz w:val="16"/>
                <w:szCs w:val="16"/>
                <w:b w:val="1"/>
                <w:bCs w:val="1"/>
                <w:color w:val="auto"/>
                <w:w w:val="95"/>
              </w:rPr>
              <w:t xml:space="preserve">“Cause” </w:t>
            </w:r>
            <w:r>
              <w:rPr>
                <w:rFonts w:ascii="Arial" w:cs="Arial" w:eastAsia="Arial" w:hAnsi="Arial"/>
                <w:sz w:val="16"/>
                <w:szCs w:val="16"/>
                <w:color w:val="auto"/>
                <w:w w:val="95"/>
              </w:rPr>
              <w:t>shall be defined as that term is defined in the Grantee’s offer letter or other applicable employment agreement; or, if there is no such</w:t>
            </w:r>
          </w:p>
        </w:tc>
      </w:tr>
    </w:tbl>
    <w:p>
      <w:pPr>
        <w:ind w:left="3" w:right="180"/>
        <w:spacing w:after="0" w:line="313" w:lineRule="auto"/>
        <w:rPr>
          <w:sz w:val="20"/>
          <w:szCs w:val="20"/>
          <w:color w:val="auto"/>
        </w:rPr>
      </w:pPr>
      <w:r>
        <w:rPr>
          <w:rFonts w:ascii="Arial" w:cs="Arial" w:eastAsia="Arial" w:hAnsi="Arial"/>
          <w:sz w:val="14"/>
          <w:szCs w:val="14"/>
          <w:color w:val="auto"/>
        </w:rPr>
        <w:t>definition, “Cause” means, unless otherwise provided in the applicable Award Agreement: (i) the commission of any act by the Grantee constituting financial dishonesty against the Company or its Affiliates (which act would be chargeable as a crime under applicable law); (ii) the Grantee’s engaging in any other act of dishonesty, fraud, intentional misrepresentation, moral turpitude, illegality or harassment that would (a) materially adversely affect the business or the reputation of the Company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80010</wp:posOffset>
            </wp:positionV>
            <wp:extent cx="718693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50" w:name="page51"/>
    <w:bookmarkEnd w:id="50"/>
    <w:p>
      <w:pPr>
        <w:ind w:right="160"/>
        <w:spacing w:after="0" w:line="285" w:lineRule="auto"/>
        <w:rPr>
          <w:sz w:val="20"/>
          <w:szCs w:val="20"/>
          <w:color w:val="auto"/>
        </w:rPr>
      </w:pPr>
      <w:r>
        <w:rPr>
          <w:rFonts w:ascii="Arial" w:cs="Arial" w:eastAsia="Arial" w:hAnsi="Arial"/>
          <w:sz w:val="15"/>
          <w:szCs w:val="15"/>
          <w:color w:val="auto"/>
        </w:rPr>
        <w:t>Affiliates with their respective current or prospective customers, suppliers, lenders or other third parties with whom such entity does or might do business or (b) expose the Company or any of its Affiliates to a risk of civil or criminal legal damages, liabilities or penalties; (iii) the repeated failure by the Grantee to follow the directives of the Chief Executive Officer of the Company or any of its Affiliates or the Board; or (iv) any material misconduct, violation of the Company’s or Affiliates’ policies, or willful and deliberate non-performance of duty by the Grantee in connection with the business affairs of the Company or its Affiliates.</w:t>
      </w:r>
    </w:p>
    <w:p>
      <w:pPr>
        <w:spacing w:after="0" w:line="146"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40" w:type="dxa"/>
            <w:vAlign w:val="bottom"/>
          </w:tcPr>
          <w:p>
            <w:pPr>
              <w:spacing w:after="0"/>
              <w:rPr>
                <w:sz w:val="20"/>
                <w:szCs w:val="20"/>
                <w:color w:val="auto"/>
              </w:rPr>
            </w:pPr>
            <w:r>
              <w:rPr>
                <w:rFonts w:ascii="Arial" w:cs="Arial" w:eastAsia="Arial" w:hAnsi="Arial"/>
                <w:sz w:val="16"/>
                <w:szCs w:val="16"/>
                <w:b w:val="1"/>
                <w:bCs w:val="1"/>
                <w:color w:val="010000"/>
              </w:rPr>
              <w:t>2.9</w:t>
            </w:r>
          </w:p>
        </w:tc>
        <w:tc>
          <w:tcPr>
            <w:tcW w:w="9180" w:type="dxa"/>
            <w:vAlign w:val="bottom"/>
          </w:tcPr>
          <w:p>
            <w:pPr>
              <w:ind w:left="240"/>
              <w:spacing w:after="0"/>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shall have the meaning set forth in Section 15.2.</w:t>
            </w:r>
          </w:p>
        </w:tc>
      </w:tr>
      <w:tr>
        <w:trPr>
          <w:trHeight w:val="388"/>
        </w:trPr>
        <w:tc>
          <w:tcPr>
            <w:tcW w:w="540" w:type="dxa"/>
            <w:vAlign w:val="bottom"/>
          </w:tcPr>
          <w:p>
            <w:pPr>
              <w:spacing w:after="0"/>
              <w:rPr>
                <w:sz w:val="20"/>
                <w:szCs w:val="20"/>
                <w:color w:val="auto"/>
              </w:rPr>
            </w:pPr>
            <w:r>
              <w:rPr>
                <w:rFonts w:ascii="Arial" w:cs="Arial" w:eastAsia="Arial" w:hAnsi="Arial"/>
                <w:sz w:val="16"/>
                <w:szCs w:val="16"/>
                <w:b w:val="1"/>
                <w:bCs w:val="1"/>
                <w:color w:val="010000"/>
              </w:rPr>
              <w:t>2.10</w:t>
            </w:r>
          </w:p>
        </w:tc>
        <w:tc>
          <w:tcPr>
            <w:tcW w:w="9180" w:type="dxa"/>
            <w:vAlign w:val="bottom"/>
          </w:tcPr>
          <w:p>
            <w:pPr>
              <w:ind w:left="320"/>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w:t>
            </w:r>
          </w:p>
        </w:tc>
      </w:tr>
      <w:tr>
        <w:trPr>
          <w:trHeight w:val="388"/>
        </w:trPr>
        <w:tc>
          <w:tcPr>
            <w:tcW w:w="540" w:type="dxa"/>
            <w:vAlign w:val="bottom"/>
          </w:tcPr>
          <w:p>
            <w:pPr>
              <w:spacing w:after="0"/>
              <w:rPr>
                <w:sz w:val="20"/>
                <w:szCs w:val="20"/>
                <w:color w:val="auto"/>
              </w:rPr>
            </w:pPr>
            <w:r>
              <w:rPr>
                <w:rFonts w:ascii="Arial" w:cs="Arial" w:eastAsia="Arial" w:hAnsi="Arial"/>
                <w:sz w:val="16"/>
                <w:szCs w:val="16"/>
                <w:b w:val="1"/>
                <w:bCs w:val="1"/>
                <w:color w:val="010000"/>
              </w:rPr>
              <w:t>2.11</w:t>
            </w:r>
          </w:p>
        </w:tc>
        <w:tc>
          <w:tcPr>
            <w:tcW w:w="9180" w:type="dxa"/>
            <w:vAlign w:val="bottom"/>
          </w:tcPr>
          <w:p>
            <w:pPr>
              <w:ind w:left="320"/>
              <w:spacing w:after="0"/>
              <w:rPr>
                <w:sz w:val="20"/>
                <w:szCs w:val="20"/>
                <w:color w:val="auto"/>
              </w:rPr>
            </w:pPr>
            <w:r>
              <w:rPr>
                <w:rFonts w:ascii="Arial" w:cs="Arial" w:eastAsia="Arial" w:hAnsi="Arial"/>
                <w:sz w:val="16"/>
                <w:szCs w:val="16"/>
                <w:b w:val="1"/>
                <w:bCs w:val="1"/>
                <w:color w:val="auto"/>
                <w:w w:val="90"/>
              </w:rPr>
              <w:t xml:space="preserve">“Committee” </w:t>
            </w:r>
            <w:r>
              <w:rPr>
                <w:rFonts w:ascii="Arial" w:cs="Arial" w:eastAsia="Arial" w:hAnsi="Arial"/>
                <w:sz w:val="16"/>
                <w:szCs w:val="16"/>
                <w:color w:val="auto"/>
                <w:w w:val="90"/>
              </w:rPr>
              <w:t>means the Compensation Committee of the Board or any committee or other person or persons designated by the Board to</w:t>
            </w:r>
          </w:p>
        </w:tc>
      </w:tr>
    </w:tbl>
    <w:p>
      <w:pPr>
        <w:ind w:right="140"/>
        <w:spacing w:after="0" w:line="256" w:lineRule="auto"/>
        <w:rPr>
          <w:sz w:val="20"/>
          <w:szCs w:val="20"/>
          <w:color w:val="auto"/>
        </w:rPr>
      </w:pPr>
      <w:r>
        <w:rPr>
          <w:rFonts w:ascii="Arial" w:cs="Arial" w:eastAsia="Arial" w:hAnsi="Arial"/>
          <w:sz w:val="16"/>
          <w:szCs w:val="16"/>
          <w:color w:val="auto"/>
        </w:rPr>
        <w:t>administer the Plan. The Board will cause the Committee to satisfy the applicable requirements of any securities exchange on which the Common Stock may then be listed. For purposes of Awards to Covered Employees intended to qualify as “performance-based compensation” under Section 162(m), to the extent required by Section 162(m), Committee means all of the members of the Committee who are “outside directors” within the meaning of Section 162(m). For purposes of Awards to Grantees who are subject to Section 16 of the Exchange Act, Committee means all of the members of the Committee who are “non-employee directors” within the meaning of Rule 16b-3 adopted under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60" w:type="dxa"/>
            <w:vAlign w:val="bottom"/>
          </w:tcPr>
          <w:p>
            <w:pPr>
              <w:jc w:val="right"/>
              <w:ind w:right="439"/>
              <w:spacing w:after="0"/>
              <w:rPr>
                <w:sz w:val="20"/>
                <w:szCs w:val="20"/>
                <w:color w:val="auto"/>
              </w:rPr>
            </w:pPr>
            <w:r>
              <w:rPr>
                <w:rFonts w:ascii="Arial" w:cs="Arial" w:eastAsia="Arial" w:hAnsi="Arial"/>
                <w:sz w:val="16"/>
                <w:szCs w:val="16"/>
                <w:b w:val="1"/>
                <w:bCs w:val="1"/>
                <w:color w:val="010000"/>
              </w:rPr>
              <w:t>2.12</w:t>
            </w:r>
          </w:p>
        </w:tc>
        <w:tc>
          <w:tcPr>
            <w:tcW w:w="9500" w:type="dxa"/>
            <w:vAlign w:val="bottom"/>
          </w:tcPr>
          <w:p>
            <w:pPr>
              <w:ind w:left="60"/>
              <w:spacing w:after="0"/>
              <w:rPr>
                <w:sz w:val="20"/>
                <w:szCs w:val="20"/>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Energous Corporation, a Delaware Corporation, or any successor corporation.</w:t>
            </w:r>
          </w:p>
        </w:tc>
      </w:tr>
      <w:tr>
        <w:trPr>
          <w:trHeight w:val="388"/>
        </w:trPr>
        <w:tc>
          <w:tcPr>
            <w:tcW w:w="1660" w:type="dxa"/>
            <w:vAlign w:val="bottom"/>
          </w:tcPr>
          <w:p>
            <w:pPr>
              <w:jc w:val="right"/>
              <w:ind w:right="439"/>
              <w:spacing w:after="0"/>
              <w:rPr>
                <w:sz w:val="20"/>
                <w:szCs w:val="20"/>
                <w:color w:val="auto"/>
              </w:rPr>
            </w:pPr>
            <w:r>
              <w:rPr>
                <w:rFonts w:ascii="Arial" w:cs="Arial" w:eastAsia="Arial" w:hAnsi="Arial"/>
                <w:sz w:val="16"/>
                <w:szCs w:val="16"/>
                <w:b w:val="1"/>
                <w:bCs w:val="1"/>
                <w:color w:val="010000"/>
              </w:rPr>
              <w:t>2.13</w:t>
            </w:r>
          </w:p>
        </w:tc>
        <w:tc>
          <w:tcPr>
            <w:tcW w:w="9500" w:type="dxa"/>
            <w:vAlign w:val="bottom"/>
          </w:tcPr>
          <w:p>
            <w:pPr>
              <w:ind w:left="60"/>
              <w:spacing w:after="0"/>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means the common stock of the Company.</w:t>
            </w:r>
          </w:p>
        </w:tc>
      </w:tr>
      <w:tr>
        <w:trPr>
          <w:trHeight w:val="376"/>
        </w:trPr>
        <w:tc>
          <w:tcPr>
            <w:tcW w:w="1660" w:type="dxa"/>
            <w:vAlign w:val="bottom"/>
          </w:tcPr>
          <w:p>
            <w:pPr>
              <w:jc w:val="right"/>
              <w:ind w:right="439"/>
              <w:spacing w:after="0"/>
              <w:rPr>
                <w:sz w:val="20"/>
                <w:szCs w:val="20"/>
                <w:color w:val="auto"/>
              </w:rPr>
            </w:pPr>
            <w:r>
              <w:rPr>
                <w:rFonts w:ascii="Arial" w:cs="Arial" w:eastAsia="Arial" w:hAnsi="Arial"/>
                <w:sz w:val="16"/>
                <w:szCs w:val="16"/>
                <w:b w:val="1"/>
                <w:bCs w:val="1"/>
                <w:color w:val="010000"/>
              </w:rPr>
              <w:t>2.14</w:t>
            </w:r>
          </w:p>
        </w:tc>
        <w:tc>
          <w:tcPr>
            <w:tcW w:w="9500" w:type="dxa"/>
            <w:vAlign w:val="bottom"/>
          </w:tcPr>
          <w:p>
            <w:pPr>
              <w:ind w:left="60"/>
              <w:spacing w:after="0"/>
              <w:rPr>
                <w:sz w:val="20"/>
                <w:szCs w:val="20"/>
                <w:color w:val="auto"/>
              </w:rPr>
            </w:pPr>
            <w:r>
              <w:rPr>
                <w:rFonts w:ascii="Arial" w:cs="Arial" w:eastAsia="Arial" w:hAnsi="Arial"/>
                <w:sz w:val="16"/>
                <w:szCs w:val="16"/>
                <w:b w:val="1"/>
                <w:bCs w:val="1"/>
                <w:color w:val="auto"/>
                <w:w w:val="91"/>
              </w:rPr>
              <w:t xml:space="preserve">“Consultant” </w:t>
            </w:r>
            <w:r>
              <w:rPr>
                <w:rFonts w:ascii="Arial" w:cs="Arial" w:eastAsia="Arial" w:hAnsi="Arial"/>
                <w:sz w:val="16"/>
                <w:szCs w:val="16"/>
                <w:color w:val="auto"/>
                <w:w w:val="91"/>
              </w:rPr>
              <w:t>means a consultant or advisor that provides bona fide services to the Company or any Affiliate and who qualifies as a consultant or</w:t>
            </w:r>
          </w:p>
        </w:tc>
      </w:tr>
      <w:tr>
        <w:trPr>
          <w:trHeight w:val="206"/>
        </w:trPr>
        <w:tc>
          <w:tcPr>
            <w:tcW w:w="1660" w:type="dxa"/>
            <w:vAlign w:val="bottom"/>
          </w:tcPr>
          <w:p>
            <w:pPr>
              <w:jc w:val="right"/>
              <w:spacing w:after="0"/>
              <w:rPr>
                <w:sz w:val="20"/>
                <w:szCs w:val="20"/>
                <w:color w:val="auto"/>
              </w:rPr>
            </w:pPr>
            <w:r>
              <w:rPr>
                <w:rFonts w:ascii="Arial" w:cs="Arial" w:eastAsia="Arial" w:hAnsi="Arial"/>
                <w:sz w:val="16"/>
                <w:szCs w:val="16"/>
                <w:color w:val="auto"/>
                <w:w w:val="90"/>
              </w:rPr>
              <w:t>advisor under Form S-8.</w:t>
            </w:r>
          </w:p>
        </w:tc>
        <w:tc>
          <w:tcPr>
            <w:tcW w:w="9500" w:type="dxa"/>
            <w:vAlign w:val="bottom"/>
          </w:tcPr>
          <w:p>
            <w:pPr>
              <w:spacing w:after="0"/>
              <w:rPr>
                <w:sz w:val="17"/>
                <w:szCs w:val="17"/>
                <w:color w:val="auto"/>
              </w:rPr>
            </w:pPr>
          </w:p>
        </w:tc>
      </w:tr>
      <w:tr>
        <w:trPr>
          <w:trHeight w:val="388"/>
        </w:trPr>
        <w:tc>
          <w:tcPr>
            <w:tcW w:w="1660" w:type="dxa"/>
            <w:vAlign w:val="bottom"/>
          </w:tcPr>
          <w:p>
            <w:pPr>
              <w:jc w:val="right"/>
              <w:ind w:right="439"/>
              <w:spacing w:after="0"/>
              <w:rPr>
                <w:sz w:val="20"/>
                <w:szCs w:val="20"/>
                <w:color w:val="auto"/>
              </w:rPr>
            </w:pPr>
            <w:r>
              <w:rPr>
                <w:rFonts w:ascii="Arial" w:cs="Arial" w:eastAsia="Arial" w:hAnsi="Arial"/>
                <w:sz w:val="16"/>
                <w:szCs w:val="16"/>
                <w:b w:val="1"/>
                <w:bCs w:val="1"/>
                <w:color w:val="010000"/>
              </w:rPr>
              <w:t>2.15</w:t>
            </w:r>
          </w:p>
        </w:tc>
        <w:tc>
          <w:tcPr>
            <w:tcW w:w="9500" w:type="dxa"/>
            <w:vAlign w:val="bottom"/>
          </w:tcPr>
          <w:p>
            <w:pPr>
              <w:ind w:left="60"/>
              <w:spacing w:after="0"/>
              <w:rPr>
                <w:sz w:val="20"/>
                <w:szCs w:val="20"/>
                <w:color w:val="auto"/>
              </w:rPr>
            </w:pPr>
            <w:r>
              <w:rPr>
                <w:rFonts w:ascii="Arial" w:cs="Arial" w:eastAsia="Arial" w:hAnsi="Arial"/>
                <w:sz w:val="16"/>
                <w:szCs w:val="16"/>
                <w:b w:val="1"/>
                <w:bCs w:val="1"/>
                <w:color w:val="auto"/>
                <w:w w:val="96"/>
              </w:rPr>
              <w:t xml:space="preserve">“Covered Employee” </w:t>
            </w:r>
            <w:r>
              <w:rPr>
                <w:rFonts w:ascii="Arial" w:cs="Arial" w:eastAsia="Arial" w:hAnsi="Arial"/>
                <w:sz w:val="16"/>
                <w:szCs w:val="16"/>
                <w:color w:val="auto"/>
                <w:w w:val="96"/>
              </w:rPr>
              <w:t>means a Grantee who is a “covered employee” within the meaning of Section 162(m), as qualified by Section 12.4.</w:t>
            </w:r>
          </w:p>
        </w:tc>
      </w:tr>
      <w:tr>
        <w:trPr>
          <w:trHeight w:val="388"/>
        </w:trPr>
        <w:tc>
          <w:tcPr>
            <w:tcW w:w="1660" w:type="dxa"/>
            <w:vAlign w:val="bottom"/>
          </w:tcPr>
          <w:p>
            <w:pPr>
              <w:jc w:val="right"/>
              <w:ind w:right="439"/>
              <w:spacing w:after="0"/>
              <w:rPr>
                <w:sz w:val="20"/>
                <w:szCs w:val="20"/>
                <w:color w:val="auto"/>
              </w:rPr>
            </w:pPr>
            <w:r>
              <w:rPr>
                <w:rFonts w:ascii="Arial" w:cs="Arial" w:eastAsia="Arial" w:hAnsi="Arial"/>
                <w:sz w:val="16"/>
                <w:szCs w:val="16"/>
                <w:b w:val="1"/>
                <w:bCs w:val="1"/>
                <w:color w:val="010000"/>
              </w:rPr>
              <w:t>2.16</w:t>
            </w:r>
          </w:p>
        </w:tc>
        <w:tc>
          <w:tcPr>
            <w:tcW w:w="9500" w:type="dxa"/>
            <w:vAlign w:val="bottom"/>
          </w:tcPr>
          <w:p>
            <w:pPr>
              <w:ind w:left="60"/>
              <w:spacing w:after="0"/>
              <w:rPr>
                <w:sz w:val="20"/>
                <w:szCs w:val="20"/>
                <w:color w:val="auto"/>
              </w:rPr>
            </w:pPr>
            <w:r>
              <w:rPr>
                <w:rFonts w:ascii="Arial" w:cs="Arial" w:eastAsia="Arial" w:hAnsi="Arial"/>
                <w:sz w:val="16"/>
                <w:szCs w:val="16"/>
                <w:b w:val="1"/>
                <w:bCs w:val="1"/>
                <w:color w:val="auto"/>
                <w:w w:val="91"/>
              </w:rPr>
              <w:t xml:space="preserve">“Disability” </w:t>
            </w:r>
            <w:r>
              <w:rPr>
                <w:rFonts w:ascii="Arial" w:cs="Arial" w:eastAsia="Arial" w:hAnsi="Arial"/>
                <w:sz w:val="16"/>
                <w:szCs w:val="16"/>
                <w:color w:val="auto"/>
                <w:w w:val="91"/>
              </w:rPr>
              <w:t>shall be defined as that term is defined in the Grantee’s offer letter or other applicable employment agreement; or, if there is no such</w:t>
            </w:r>
          </w:p>
        </w:tc>
      </w:tr>
    </w:tbl>
    <w:p>
      <w:pPr>
        <w:spacing w:after="0" w:line="257" w:lineRule="auto"/>
        <w:rPr>
          <w:sz w:val="20"/>
          <w:szCs w:val="20"/>
          <w:color w:val="auto"/>
        </w:rPr>
      </w:pPr>
      <w:r>
        <w:rPr>
          <w:rFonts w:ascii="Arial" w:cs="Arial" w:eastAsia="Arial" w:hAnsi="Arial"/>
          <w:sz w:val="16"/>
          <w:szCs w:val="16"/>
          <w:color w:val="auto"/>
        </w:rPr>
        <w:t xml:space="preserve">definition, “Disability” means, unless otherwise provided in the applicable Award Agreement, the Grantee is unable to perform each of the essential duties of such Grantee’s position by reason of a medically determinable physical or mental impairment that is potentially permanent in character or that can be expected to last for a continuous period of not less than 12 months;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with respect to rules regarding expiration of an Incentive Stock Option following termination of the Grantee’s Service, “Disability” means “permanent and total disability” as set forth in Code Section 22(e)(3).</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2.17</w:t>
            </w:r>
          </w:p>
        </w:tc>
        <w:tc>
          <w:tcPr>
            <w:tcW w:w="9600" w:type="dxa"/>
            <w:vAlign w:val="bottom"/>
          </w:tcPr>
          <w:p>
            <w:pPr>
              <w:ind w:left="280"/>
              <w:spacing w:after="0"/>
              <w:rPr>
                <w:sz w:val="20"/>
                <w:szCs w:val="20"/>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means June 16, 2021, the date the Plan was most recently approved by the Stockholders.</w:t>
            </w:r>
          </w:p>
        </w:tc>
      </w:tr>
      <w:tr>
        <w:trPr>
          <w:trHeight w:val="388"/>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2.18</w:t>
            </w:r>
          </w:p>
        </w:tc>
        <w:tc>
          <w:tcPr>
            <w:tcW w:w="9600" w:type="dxa"/>
            <w:vAlign w:val="bottom"/>
          </w:tcPr>
          <w:p>
            <w:pPr>
              <w:ind w:left="280"/>
              <w:spacing w:after="0"/>
              <w:rPr>
                <w:sz w:val="20"/>
                <w:szCs w:val="20"/>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w:t>
            </w:r>
          </w:p>
        </w:tc>
      </w:tr>
      <w:tr>
        <w:trPr>
          <w:trHeight w:val="388"/>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2.19</w:t>
            </w:r>
          </w:p>
        </w:tc>
        <w:tc>
          <w:tcPr>
            <w:tcW w:w="9600" w:type="dxa"/>
            <w:vAlign w:val="bottom"/>
          </w:tcPr>
          <w:p>
            <w:pPr>
              <w:ind w:left="280"/>
              <w:spacing w:after="0"/>
              <w:rPr>
                <w:sz w:val="20"/>
                <w:szCs w:val="20"/>
                <w:color w:val="auto"/>
              </w:rPr>
            </w:pPr>
            <w:r>
              <w:rPr>
                <w:rFonts w:ascii="Arial" w:cs="Arial" w:eastAsia="Arial" w:hAnsi="Arial"/>
                <w:sz w:val="16"/>
                <w:szCs w:val="16"/>
                <w:b w:val="1"/>
                <w:bCs w:val="1"/>
                <w:color w:val="auto"/>
                <w:w w:val="91"/>
              </w:rPr>
              <w:t xml:space="preserve">“Fair Market Value” </w:t>
            </w:r>
            <w:r>
              <w:rPr>
                <w:rFonts w:ascii="Arial" w:cs="Arial" w:eastAsia="Arial" w:hAnsi="Arial"/>
                <w:sz w:val="16"/>
                <w:szCs w:val="16"/>
                <w:color w:val="auto"/>
                <w:w w:val="91"/>
              </w:rPr>
              <w:t>of a Share as of a particular date means (i) if the Common Stock is listed on a national securities exchange, the closing or</w:t>
            </w:r>
          </w:p>
        </w:tc>
      </w:tr>
    </w:tbl>
    <w:p>
      <w:pPr>
        <w:spacing w:after="0" w:line="305" w:lineRule="auto"/>
        <w:rPr>
          <w:sz w:val="20"/>
          <w:szCs w:val="20"/>
          <w:color w:val="auto"/>
        </w:rPr>
      </w:pPr>
      <w:r>
        <w:rPr>
          <w:rFonts w:ascii="Arial" w:cs="Arial" w:eastAsia="Arial" w:hAnsi="Arial"/>
          <w:sz w:val="14"/>
          <w:szCs w:val="14"/>
          <w:color w:val="auto"/>
        </w:rPr>
        <w:t>last price of the Common Stock on the composite tape or other comparable reporting system for the applicable date, or if the applicable date is not a trading day, the trading day immediately preceding the applicable date, or (ii) if the Common Stock is not then listed on a national securities exchange, the closing or last price of the Common Stock quoted by an established quotation service for over-the-counter securities, or (iii) if the Common Stock is not then listed on a national securities exchange or quoted by an established quotation service for over-the-counter securities, or the value of the Common Stock is not otherwise determinable, such value as determined by the Committee.</w:t>
      </w:r>
    </w:p>
    <w:p>
      <w:pPr>
        <w:spacing w:after="0" w:line="135" w:lineRule="exact"/>
        <w:rPr>
          <w:sz w:val="20"/>
          <w:szCs w:val="20"/>
          <w:color w:val="auto"/>
        </w:rPr>
      </w:pPr>
    </w:p>
    <w:p>
      <w:pPr>
        <w:ind w:right="160" w:firstLine="865"/>
        <w:spacing w:after="0" w:line="269" w:lineRule="auto"/>
        <w:rPr>
          <w:sz w:val="20"/>
          <w:szCs w:val="20"/>
          <w:color w:val="auto"/>
        </w:rPr>
      </w:pPr>
      <w:r>
        <w:rPr>
          <w:rFonts w:ascii="Arial" w:cs="Arial" w:eastAsia="Arial" w:hAnsi="Arial"/>
          <w:sz w:val="16"/>
          <w:szCs w:val="16"/>
          <w:b w:val="1"/>
          <w:bCs w:val="1"/>
          <w:color w:val="010000"/>
        </w:rPr>
        <w:t xml:space="preserve">2.20 </w:t>
      </w:r>
      <w:r>
        <w:rPr>
          <w:rFonts w:ascii="Arial" w:cs="Arial" w:eastAsia="Arial" w:hAnsi="Arial"/>
          <w:sz w:val="16"/>
          <w:szCs w:val="16"/>
          <w:b w:val="1"/>
          <w:bCs w:val="1"/>
          <w:color w:val="000000"/>
        </w:rPr>
        <w:t>“Family Member”</w:t>
      </w:r>
      <w:r>
        <w:rPr>
          <w:rFonts w:ascii="Arial" w:cs="Arial" w:eastAsia="Arial" w:hAnsi="Arial"/>
          <w:sz w:val="16"/>
          <w:szCs w:val="16"/>
          <w:b w:val="1"/>
          <w:bCs w:val="1"/>
          <w:color w:val="010000"/>
        </w:rPr>
        <w:t xml:space="preserve"> </w:t>
      </w:r>
      <w:r>
        <w:rPr>
          <w:rFonts w:ascii="Arial" w:cs="Arial" w:eastAsia="Arial" w:hAnsi="Arial"/>
          <w:sz w:val="16"/>
          <w:szCs w:val="16"/>
          <w:color w:val="000000"/>
        </w:rPr>
        <w:t>means a person who is a spouse, former spouse, child, stepchild, grandchild, parent, stepparent, grandparent, niece, nephew,</w:t>
      </w:r>
      <w:r>
        <w:rPr>
          <w:rFonts w:ascii="Arial" w:cs="Arial" w:eastAsia="Arial" w:hAnsi="Arial"/>
          <w:sz w:val="16"/>
          <w:szCs w:val="16"/>
          <w:b w:val="1"/>
          <w:bCs w:val="1"/>
          <w:color w:val="010000"/>
        </w:rPr>
        <w:t xml:space="preserve"> </w:t>
      </w:r>
      <w:r>
        <w:rPr>
          <w:rFonts w:ascii="Arial" w:cs="Arial" w:eastAsia="Arial" w:hAnsi="Arial"/>
          <w:sz w:val="16"/>
          <w:szCs w:val="16"/>
          <w:color w:val="000000"/>
        </w:rPr>
        <w:t>mother-in-law, father-in-law, son-in-law, daughter-in-law, brother, sister, brother-in-law or sister-in-law, including adoptive relationships, of the applicable individual,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97155</wp:posOffset>
            </wp:positionV>
            <wp:extent cx="718693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51" w:name="page52"/>
    <w:bookmarkEnd w:id="51"/>
    <w:p>
      <w:pPr>
        <w:ind w:right="60"/>
        <w:spacing w:after="0" w:line="267" w:lineRule="auto"/>
        <w:rPr>
          <w:sz w:val="20"/>
          <w:szCs w:val="20"/>
          <w:color w:val="auto"/>
        </w:rPr>
      </w:pPr>
      <w:r>
        <w:rPr>
          <w:rFonts w:ascii="Arial" w:cs="Arial" w:eastAsia="Arial" w:hAnsi="Arial"/>
          <w:sz w:val="16"/>
          <w:szCs w:val="16"/>
          <w:color w:val="auto"/>
        </w:rPr>
        <w:t>sharing the applicable individual’s household (other than a tenant or employee), a trust in which any one or more of these persons have more than 50% of the beneficial interest, a foundation in which any one or more of these persons (or the applicable individual) control the management of assets, and any other entity in which one or more of these persons (or the applicable individual) own more than 50% of the voting interests.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2.21</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w w:val="95"/>
              </w:rPr>
              <w:t xml:space="preserve">“Grant Date” </w:t>
            </w:r>
            <w:r>
              <w:rPr>
                <w:rFonts w:ascii="Arial" w:cs="Arial" w:eastAsia="Arial" w:hAnsi="Arial"/>
                <w:sz w:val="16"/>
                <w:szCs w:val="16"/>
                <w:color w:val="auto"/>
                <w:w w:val="95"/>
              </w:rPr>
              <w:t>means the latest to occur of (i) the date as of which the Committee approves an Award, (ii) the date on which the recipient of an</w:t>
            </w:r>
          </w:p>
        </w:tc>
      </w:tr>
      <w:tr>
        <w:trPr>
          <w:trHeight w:val="206"/>
        </w:trPr>
        <w:tc>
          <w:tcPr>
            <w:tcW w:w="11280" w:type="dxa"/>
            <w:vAlign w:val="bottom"/>
            <w:gridSpan w:val="2"/>
          </w:tcPr>
          <w:p>
            <w:pPr>
              <w:spacing w:after="0"/>
              <w:rPr>
                <w:sz w:val="20"/>
                <w:szCs w:val="20"/>
                <w:color w:val="auto"/>
              </w:rPr>
            </w:pPr>
            <w:r>
              <w:rPr>
                <w:rFonts w:ascii="Arial" w:cs="Arial" w:eastAsia="Arial" w:hAnsi="Arial"/>
                <w:sz w:val="16"/>
                <w:szCs w:val="16"/>
                <w:color w:val="auto"/>
              </w:rPr>
              <w:t>Award first becomes eligible to receive an Award under Section 6 or (iii) such other date as may be specified by the Committee in the Award Agreement.</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2.22</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“Grantee” </w:t>
            </w:r>
            <w:r>
              <w:rPr>
                <w:rFonts w:ascii="Arial" w:cs="Arial" w:eastAsia="Arial" w:hAnsi="Arial"/>
                <w:sz w:val="16"/>
                <w:szCs w:val="16"/>
                <w:color w:val="auto"/>
              </w:rPr>
              <w:t>means a person who receives or holds an Award.</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2.23</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“Incentive Stock Option” </w:t>
            </w:r>
            <w:r>
              <w:rPr>
                <w:rFonts w:ascii="Arial" w:cs="Arial" w:eastAsia="Arial" w:hAnsi="Arial"/>
                <w:sz w:val="16"/>
                <w:szCs w:val="16"/>
                <w:color w:val="auto"/>
              </w:rPr>
              <w:t>means an “incentive stock option” within the meaning of Code Section 422.</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2.24</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“Incumbent Directors” </w:t>
            </w:r>
            <w:r>
              <w:rPr>
                <w:rFonts w:ascii="Arial" w:cs="Arial" w:eastAsia="Arial" w:hAnsi="Arial"/>
                <w:sz w:val="16"/>
                <w:szCs w:val="16"/>
                <w:color w:val="auto"/>
              </w:rPr>
              <w:t>shall have the meaning set forth in Section 15.2.</w:t>
            </w:r>
          </w:p>
        </w:tc>
      </w:tr>
      <w:tr>
        <w:trPr>
          <w:trHeight w:val="376"/>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2.25</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w w:val="93"/>
              </w:rPr>
              <w:t xml:space="preserve">“Non-Employee Director” </w:t>
            </w:r>
            <w:r>
              <w:rPr>
                <w:rFonts w:ascii="Arial" w:cs="Arial" w:eastAsia="Arial" w:hAnsi="Arial"/>
                <w:sz w:val="16"/>
                <w:szCs w:val="16"/>
                <w:color w:val="auto"/>
                <w:w w:val="93"/>
              </w:rPr>
              <w:t>means a member of the Board or the board of directors of an Affiliate, in each case who is not an officer or employee</w:t>
            </w:r>
          </w:p>
        </w:tc>
      </w:tr>
      <w:tr>
        <w:trPr>
          <w:trHeight w:val="206"/>
        </w:trPr>
        <w:tc>
          <w:tcPr>
            <w:tcW w:w="11280" w:type="dxa"/>
            <w:vAlign w:val="bottom"/>
            <w:gridSpan w:val="2"/>
          </w:tcPr>
          <w:p>
            <w:pPr>
              <w:spacing w:after="0"/>
              <w:rPr>
                <w:sz w:val="20"/>
                <w:szCs w:val="20"/>
                <w:color w:val="auto"/>
              </w:rPr>
            </w:pPr>
            <w:r>
              <w:rPr>
                <w:rFonts w:ascii="Arial" w:cs="Arial" w:eastAsia="Arial" w:hAnsi="Arial"/>
                <w:sz w:val="16"/>
                <w:szCs w:val="16"/>
                <w:color w:val="auto"/>
              </w:rPr>
              <w:t>of the Company or any Affiliate.</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2.26</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“Non-qualified Stock Option” </w:t>
            </w:r>
            <w:r>
              <w:rPr>
                <w:rFonts w:ascii="Arial" w:cs="Arial" w:eastAsia="Arial" w:hAnsi="Arial"/>
                <w:sz w:val="16"/>
                <w:szCs w:val="16"/>
                <w:color w:val="auto"/>
              </w:rPr>
              <w:t>means an Option that is not an Incentive Stock Option.</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2.27</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means an option to purchase one or more Shares pursuant to the Plan.</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2.28</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“Option Price” </w:t>
            </w:r>
            <w:r>
              <w:rPr>
                <w:rFonts w:ascii="Arial" w:cs="Arial" w:eastAsia="Arial" w:hAnsi="Arial"/>
                <w:sz w:val="16"/>
                <w:szCs w:val="16"/>
                <w:color w:val="auto"/>
              </w:rPr>
              <w:t>means the exercise price for each Share subject to an Option.</w:t>
            </w:r>
          </w:p>
        </w:tc>
      </w:tr>
      <w:tr>
        <w:trPr>
          <w:trHeight w:val="376"/>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2.29</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w w:val="92"/>
              </w:rPr>
              <w:t xml:space="preserve">“Other Share-based Awards” </w:t>
            </w:r>
            <w:r>
              <w:rPr>
                <w:rFonts w:ascii="Arial" w:cs="Arial" w:eastAsia="Arial" w:hAnsi="Arial"/>
                <w:sz w:val="16"/>
                <w:szCs w:val="16"/>
                <w:color w:val="auto"/>
                <w:w w:val="92"/>
              </w:rPr>
              <w:t>means Awards consisting of Share units, or other Awards, valued in whole or in part by reference to, or otherwise</w:t>
            </w:r>
          </w:p>
        </w:tc>
      </w:tr>
      <w:tr>
        <w:trPr>
          <w:trHeight w:val="206"/>
        </w:trPr>
        <w:tc>
          <w:tcPr>
            <w:tcW w:w="11280" w:type="dxa"/>
            <w:vAlign w:val="bottom"/>
            <w:gridSpan w:val="2"/>
          </w:tcPr>
          <w:p>
            <w:pPr>
              <w:spacing w:after="0"/>
              <w:rPr>
                <w:sz w:val="20"/>
                <w:szCs w:val="20"/>
                <w:color w:val="auto"/>
              </w:rPr>
            </w:pPr>
            <w:r>
              <w:rPr>
                <w:rFonts w:ascii="Arial" w:cs="Arial" w:eastAsia="Arial" w:hAnsi="Arial"/>
                <w:sz w:val="16"/>
                <w:szCs w:val="16"/>
                <w:color w:val="auto"/>
              </w:rPr>
              <w:t>based on, Common Stock, other than Options, SARs, Restricted Stock and RSUs.</w:t>
            </w:r>
          </w:p>
        </w:tc>
      </w:tr>
      <w:tr>
        <w:trPr>
          <w:trHeight w:val="376"/>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2.30</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w w:val="93"/>
              </w:rPr>
              <w:t xml:space="preserve">“Performance Award” </w:t>
            </w:r>
            <w:r>
              <w:rPr>
                <w:rFonts w:ascii="Arial" w:cs="Arial" w:eastAsia="Arial" w:hAnsi="Arial"/>
                <w:sz w:val="16"/>
                <w:szCs w:val="16"/>
                <w:color w:val="auto"/>
                <w:w w:val="93"/>
              </w:rPr>
              <w:t>means an Award made subject to the attainment of performance goals (as described in Section 12) over a performance</w:t>
            </w:r>
          </w:p>
        </w:tc>
      </w:tr>
      <w:tr>
        <w:trPr>
          <w:trHeight w:val="206"/>
        </w:trPr>
        <w:tc>
          <w:tcPr>
            <w:tcW w:w="11280" w:type="dxa"/>
            <w:vAlign w:val="bottom"/>
            <w:gridSpan w:val="2"/>
          </w:tcPr>
          <w:p>
            <w:pPr>
              <w:spacing w:after="0"/>
              <w:rPr>
                <w:sz w:val="20"/>
                <w:szCs w:val="20"/>
                <w:color w:val="auto"/>
              </w:rPr>
            </w:pPr>
            <w:r>
              <w:rPr>
                <w:rFonts w:ascii="Arial" w:cs="Arial" w:eastAsia="Arial" w:hAnsi="Arial"/>
                <w:sz w:val="16"/>
                <w:szCs w:val="16"/>
                <w:color w:val="auto"/>
              </w:rPr>
              <w:t>period of at least one year established by the Committee, and includes an Annual Incentive Award.</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2.31</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means an individual, entity or group within the meaning of Section 13(d)(3) or 14(d)(2) of the Exchange Act.</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2.32</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this Energous Corporation 2013 Equity Incentive Plan.</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2.33</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means the purchase price for each Share pursuant to a grant of Restricted Stock.</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2.34</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“Restricted Period” </w:t>
            </w:r>
            <w:r>
              <w:rPr>
                <w:rFonts w:ascii="Arial" w:cs="Arial" w:eastAsia="Arial" w:hAnsi="Arial"/>
                <w:sz w:val="16"/>
                <w:szCs w:val="16"/>
                <w:color w:val="auto"/>
              </w:rPr>
              <w:t>shall have the meaning set forth in Section 10.1.</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2.35</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w w:val="95"/>
              </w:rPr>
              <w:t xml:space="preserve">“Restricted Stock” </w:t>
            </w:r>
            <w:r>
              <w:rPr>
                <w:rFonts w:ascii="Arial" w:cs="Arial" w:eastAsia="Arial" w:hAnsi="Arial"/>
                <w:sz w:val="16"/>
                <w:szCs w:val="16"/>
                <w:color w:val="auto"/>
                <w:w w:val="95"/>
              </w:rPr>
              <w:t>means restricted Shares that are subject to specified terms and conditions, awarded to a Grantee pursuant to Section 10.</w:t>
            </w:r>
          </w:p>
        </w:tc>
      </w:tr>
      <w:tr>
        <w:trPr>
          <w:trHeight w:val="376"/>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2.36</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w w:val="95"/>
              </w:rPr>
              <w:t xml:space="preserve">“Restricted Stock Unit” </w:t>
            </w:r>
            <w:r>
              <w:rPr>
                <w:rFonts w:ascii="Arial" w:cs="Arial" w:eastAsia="Arial" w:hAnsi="Arial"/>
                <w:sz w:val="16"/>
                <w:szCs w:val="16"/>
                <w:color w:val="auto"/>
                <w:w w:val="95"/>
              </w:rPr>
              <w:t>or “RSU” means a bookkeeping entry representing the right to receive Shares or their cash equivalent subject to the</w:t>
            </w:r>
          </w:p>
        </w:tc>
      </w:tr>
      <w:tr>
        <w:trPr>
          <w:trHeight w:val="206"/>
        </w:trPr>
        <w:tc>
          <w:tcPr>
            <w:tcW w:w="11280" w:type="dxa"/>
            <w:vAlign w:val="bottom"/>
            <w:gridSpan w:val="2"/>
          </w:tcPr>
          <w:p>
            <w:pPr>
              <w:spacing w:after="0"/>
              <w:rPr>
                <w:sz w:val="20"/>
                <w:szCs w:val="20"/>
                <w:color w:val="auto"/>
              </w:rPr>
            </w:pPr>
            <w:r>
              <w:rPr>
                <w:rFonts w:ascii="Arial" w:cs="Arial" w:eastAsia="Arial" w:hAnsi="Arial"/>
                <w:sz w:val="16"/>
                <w:szCs w:val="16"/>
                <w:color w:val="auto"/>
              </w:rPr>
              <w:t>satisfaction of specified terms and conditions, awarded to a Grantee pursuant to Section 10.</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2.37</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“SAR Exercise Price” </w:t>
            </w:r>
            <w:r>
              <w:rPr>
                <w:rFonts w:ascii="Arial" w:cs="Arial" w:eastAsia="Arial" w:hAnsi="Arial"/>
                <w:sz w:val="16"/>
                <w:szCs w:val="16"/>
                <w:color w:val="auto"/>
              </w:rPr>
              <w:t>means the per Share exercise price of a SAR granted to a Grantee under Section 9.</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2.38</w:t>
            </w:r>
          </w:p>
        </w:tc>
        <w:tc>
          <w:tcPr>
            <w:tcW w:w="9840" w:type="dxa"/>
            <w:vAlign w:val="bottom"/>
          </w:tcPr>
          <w:p>
            <w:pPr>
              <w:ind w:left="280"/>
              <w:spacing w:after="0"/>
              <w:rPr>
                <w:sz w:val="20"/>
                <w:szCs w:val="20"/>
                <w:color w:val="auto"/>
              </w:rPr>
            </w:pPr>
            <w:r>
              <w:rPr>
                <w:rFonts w:ascii="Arial" w:cs="Arial" w:eastAsia="Arial" w:hAnsi="Arial"/>
                <w:sz w:val="16"/>
                <w:szCs w:val="16"/>
                <w:b w:val="1"/>
                <w:bCs w:val="1"/>
                <w:color w:val="auto"/>
              </w:rPr>
              <w:t xml:space="preserve">“SEC” </w:t>
            </w:r>
            <w:r>
              <w:rPr>
                <w:rFonts w:ascii="Arial" w:cs="Arial" w:eastAsia="Arial" w:hAnsi="Arial"/>
                <w:sz w:val="16"/>
                <w:szCs w:val="16"/>
                <w:color w:val="auto"/>
              </w:rPr>
              <w:t>means the United States Securities and Exchange Commission.</w:t>
            </w:r>
          </w:p>
        </w:tc>
      </w:tr>
      <w:tr>
        <w:trPr>
          <w:trHeight w:val="199"/>
        </w:trPr>
        <w:tc>
          <w:tcPr>
            <w:tcW w:w="1440" w:type="dxa"/>
            <w:vAlign w:val="bottom"/>
            <w:tcBorders>
              <w:bottom w:val="single" w:sz="8" w:color="9A9A9A"/>
            </w:tcBorders>
          </w:tcPr>
          <w:p>
            <w:pPr>
              <w:spacing w:after="0"/>
              <w:rPr>
                <w:sz w:val="17"/>
                <w:szCs w:val="17"/>
                <w:color w:val="auto"/>
              </w:rPr>
            </w:pPr>
          </w:p>
        </w:tc>
        <w:tc>
          <w:tcPr>
            <w:tcW w:w="98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7139305</wp:posOffset>
            </wp:positionH>
            <wp:positionV relativeFrom="paragraph">
              <wp:posOffset>-27305</wp:posOffset>
            </wp:positionV>
            <wp:extent cx="3302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80"/>
          </w:cols>
          <w:pgMar w:left="320" w:top="224" w:right="299" w:bottom="1440" w:gutter="0" w:footer="0" w:header="0"/>
        </w:sectPr>
      </w:pPr>
    </w:p>
    <w:bookmarkStart w:id="52" w:name="page53"/>
    <w:bookmarkEnd w:id="52"/>
    <w:tbl>
      <w:tblPr>
        <w:tblLayout w:type="fixed"/>
        <w:tblInd w:w="863" w:type="dxa"/>
        <w:tblCellMar>
          <w:top w:w="0" w:type="dxa"/>
          <w:left w:w="0" w:type="dxa"/>
          <w:bottom w:w="0" w:type="dxa"/>
          <w:right w:w="0" w:type="dxa"/>
        </w:tblCellMar>
      </w:tblPr>
      <w:tr>
        <w:trPr>
          <w:trHeight w:val="210"/>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2.39</w:t>
            </w:r>
          </w:p>
        </w:tc>
        <w:tc>
          <w:tcPr>
            <w:tcW w:w="9660" w:type="dxa"/>
            <w:vAlign w:val="bottom"/>
          </w:tcPr>
          <w:p>
            <w:pPr>
              <w:ind w:left="280"/>
              <w:spacing w:after="0"/>
              <w:rPr>
                <w:sz w:val="20"/>
                <w:szCs w:val="20"/>
                <w:color w:val="auto"/>
              </w:rPr>
            </w:pPr>
            <w:r>
              <w:rPr>
                <w:rFonts w:ascii="Arial" w:cs="Arial" w:eastAsia="Arial" w:hAnsi="Arial"/>
                <w:sz w:val="16"/>
                <w:szCs w:val="16"/>
                <w:b w:val="1"/>
                <w:bCs w:val="1"/>
                <w:color w:val="auto"/>
              </w:rPr>
              <w:t xml:space="preserve">“Section 162(m)” </w:t>
            </w:r>
            <w:r>
              <w:rPr>
                <w:rFonts w:ascii="Arial" w:cs="Arial" w:eastAsia="Arial" w:hAnsi="Arial"/>
                <w:sz w:val="16"/>
                <w:szCs w:val="16"/>
                <w:color w:val="auto"/>
              </w:rPr>
              <w:t>means Code Section 162(m).</w:t>
            </w:r>
          </w:p>
        </w:tc>
      </w:tr>
      <w:tr>
        <w:trPr>
          <w:trHeight w:val="388"/>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2.40</w:t>
            </w:r>
          </w:p>
        </w:tc>
        <w:tc>
          <w:tcPr>
            <w:tcW w:w="9660" w:type="dxa"/>
            <w:vAlign w:val="bottom"/>
          </w:tcPr>
          <w:p>
            <w:pPr>
              <w:ind w:left="280"/>
              <w:spacing w:after="0"/>
              <w:rPr>
                <w:sz w:val="20"/>
                <w:szCs w:val="20"/>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means Code Section 409A.</w:t>
            </w:r>
          </w:p>
        </w:tc>
      </w:tr>
      <w:tr>
        <w:trPr>
          <w:trHeight w:val="388"/>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2.41</w:t>
            </w:r>
          </w:p>
        </w:tc>
        <w:tc>
          <w:tcPr>
            <w:tcW w:w="9660" w:type="dxa"/>
            <w:vAlign w:val="bottom"/>
          </w:tcPr>
          <w:p>
            <w:pPr>
              <w:ind w:left="280"/>
              <w:spacing w:after="0"/>
              <w:rPr>
                <w:sz w:val="20"/>
                <w:szCs w:val="20"/>
                <w:color w:val="auto"/>
              </w:rPr>
            </w:pPr>
            <w:r>
              <w:rPr>
                <w:rFonts w:ascii="Arial" w:cs="Arial" w:eastAsia="Arial" w:hAnsi="Arial"/>
                <w:sz w:val="16"/>
                <w:szCs w:val="16"/>
                <w:b w:val="1"/>
                <w:bCs w:val="1"/>
                <w:color w:val="auto"/>
              </w:rPr>
              <w:t xml:space="preserve">“Securities Act” </w:t>
            </w:r>
            <w:r>
              <w:rPr>
                <w:rFonts w:ascii="Arial" w:cs="Arial" w:eastAsia="Arial" w:hAnsi="Arial"/>
                <w:sz w:val="16"/>
                <w:szCs w:val="16"/>
                <w:color w:val="auto"/>
              </w:rPr>
              <w:t>means the Securities Act of 1933.</w:t>
            </w:r>
          </w:p>
        </w:tc>
      </w:tr>
      <w:tr>
        <w:trPr>
          <w:trHeight w:val="388"/>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2.42</w:t>
            </w:r>
          </w:p>
        </w:tc>
        <w:tc>
          <w:tcPr>
            <w:tcW w:w="9660" w:type="dxa"/>
            <w:vAlign w:val="bottom"/>
          </w:tcPr>
          <w:p>
            <w:pPr>
              <w:ind w:left="320"/>
              <w:spacing w:after="0"/>
              <w:rPr>
                <w:sz w:val="20"/>
                <w:szCs w:val="20"/>
                <w:color w:val="auto"/>
              </w:rPr>
            </w:pPr>
            <w:r>
              <w:rPr>
                <w:rFonts w:ascii="Arial" w:cs="Arial" w:eastAsia="Arial" w:hAnsi="Arial"/>
                <w:sz w:val="16"/>
                <w:szCs w:val="16"/>
                <w:b w:val="1"/>
                <w:bCs w:val="1"/>
                <w:color w:val="auto"/>
                <w:w w:val="91"/>
              </w:rPr>
              <w:t xml:space="preserve">“Separation from Service” </w:t>
            </w:r>
            <w:r>
              <w:rPr>
                <w:rFonts w:ascii="Arial" w:cs="Arial" w:eastAsia="Arial" w:hAnsi="Arial"/>
                <w:sz w:val="16"/>
                <w:szCs w:val="16"/>
                <w:color w:val="auto"/>
                <w:w w:val="91"/>
              </w:rPr>
              <w:t>means the termination of a Service Provider’s Service, whether initiated by the Service Provider or the Company or</w:t>
            </w:r>
          </w:p>
        </w:tc>
      </w:tr>
    </w:tbl>
    <w:p>
      <w:pPr>
        <w:jc w:val="both"/>
        <w:ind w:left="3" w:right="160"/>
        <w:spacing w:after="0" w:line="265" w:lineRule="auto"/>
        <w:rPr>
          <w:sz w:val="20"/>
          <w:szCs w:val="20"/>
          <w:color w:val="auto"/>
        </w:rPr>
      </w:pPr>
      <w:r>
        <w:rPr>
          <w:rFonts w:ascii="Arial" w:cs="Arial" w:eastAsia="Arial" w:hAnsi="Arial"/>
          <w:sz w:val="16"/>
          <w:szCs w:val="16"/>
          <w:color w:val="auto"/>
        </w:rPr>
        <w:t xml:space="preserve">an Affiliate;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Award governed by Section 409A is to be distributed on a Separation from Service, then the definition of Separation from Service for such purposes shall comply with the definition provided in Section 409A.</w:t>
      </w:r>
    </w:p>
    <w:p>
      <w:pPr>
        <w:spacing w:after="0" w:line="159" w:lineRule="exact"/>
        <w:rPr>
          <w:sz w:val="20"/>
          <w:szCs w:val="20"/>
          <w:color w:val="auto"/>
        </w:rPr>
      </w:pPr>
    </w:p>
    <w:p>
      <w:pPr>
        <w:jc w:val="both"/>
        <w:ind w:left="3" w:right="160" w:firstLine="865"/>
        <w:spacing w:after="0" w:line="269" w:lineRule="auto"/>
        <w:rPr>
          <w:sz w:val="20"/>
          <w:szCs w:val="20"/>
          <w:color w:val="auto"/>
        </w:rPr>
      </w:pPr>
      <w:r>
        <w:rPr>
          <w:rFonts w:ascii="Arial" w:cs="Arial" w:eastAsia="Arial" w:hAnsi="Arial"/>
          <w:sz w:val="16"/>
          <w:szCs w:val="16"/>
          <w:b w:val="1"/>
          <w:bCs w:val="1"/>
          <w:color w:val="010000"/>
        </w:rPr>
        <w:t xml:space="preserve">2.43 </w:t>
      </w:r>
      <w:r>
        <w:rPr>
          <w:rFonts w:ascii="Arial" w:cs="Arial" w:eastAsia="Arial" w:hAnsi="Arial"/>
          <w:sz w:val="16"/>
          <w:szCs w:val="16"/>
          <w:b w:val="1"/>
          <w:bCs w:val="1"/>
          <w:color w:val="000000"/>
        </w:rPr>
        <w:t>“Service”</w:t>
      </w:r>
      <w:r>
        <w:rPr>
          <w:rFonts w:ascii="Arial" w:cs="Arial" w:eastAsia="Arial" w:hAnsi="Arial"/>
          <w:sz w:val="16"/>
          <w:szCs w:val="16"/>
          <w:b w:val="1"/>
          <w:bCs w:val="1"/>
          <w:color w:val="010000"/>
        </w:rPr>
        <w:t xml:space="preserve"> </w:t>
      </w:r>
      <w:r>
        <w:rPr>
          <w:rFonts w:ascii="Arial" w:cs="Arial" w:eastAsia="Arial" w:hAnsi="Arial"/>
          <w:sz w:val="16"/>
          <w:szCs w:val="16"/>
          <w:color w:val="000000"/>
        </w:rPr>
        <w:t>means service as a Service Provider to the Company or an Affiliate. Unless otherwise provided in the applicable Award Agreement, a</w:t>
      </w:r>
      <w:r>
        <w:rPr>
          <w:rFonts w:ascii="Arial" w:cs="Arial" w:eastAsia="Arial" w:hAnsi="Arial"/>
          <w:sz w:val="16"/>
          <w:szCs w:val="16"/>
          <w:b w:val="1"/>
          <w:bCs w:val="1"/>
          <w:color w:val="010000"/>
        </w:rPr>
        <w:t xml:space="preserve"> </w:t>
      </w:r>
      <w:r>
        <w:rPr>
          <w:rFonts w:ascii="Arial" w:cs="Arial" w:eastAsia="Arial" w:hAnsi="Arial"/>
          <w:sz w:val="16"/>
          <w:szCs w:val="16"/>
          <w:color w:val="000000"/>
        </w:rPr>
        <w:t>Grantee’s change in position or duties shall not result in interrupted or terminated Service, so long as such Grantee continues to be a Service Provider to the Company or an Affiliate.</w:t>
      </w:r>
    </w:p>
    <w:p>
      <w:pPr>
        <w:spacing w:after="0" w:line="157"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2.44</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rPr>
              <w:t xml:space="preserve">“Service Provider” </w:t>
            </w:r>
            <w:r>
              <w:rPr>
                <w:rFonts w:ascii="Arial" w:cs="Arial" w:eastAsia="Arial" w:hAnsi="Arial"/>
                <w:sz w:val="16"/>
                <w:szCs w:val="16"/>
                <w:color w:val="auto"/>
              </w:rPr>
              <w:t>means an employee, officer, Non-Employee Director or Consultant of the Company or an Affiliate.</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2.45</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16"/>
                <w:szCs w:val="16"/>
                <w:color w:val="auto"/>
              </w:rPr>
              <w:t>means a share of Common Stock.</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2.46</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rPr>
              <w:t xml:space="preserve">“Stock Appreciation Right” </w:t>
            </w:r>
            <w:r>
              <w:rPr>
                <w:rFonts w:ascii="Arial" w:cs="Arial" w:eastAsia="Arial" w:hAnsi="Arial"/>
                <w:sz w:val="16"/>
                <w:szCs w:val="16"/>
                <w:color w:val="auto"/>
              </w:rPr>
              <w:t>or “SAR” means a right granted to a Grantee pursuant to Section 9.</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2.47</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rPr>
              <w:t xml:space="preserve">“Stockholder” </w:t>
            </w:r>
            <w:r>
              <w:rPr>
                <w:rFonts w:ascii="Arial" w:cs="Arial" w:eastAsia="Arial" w:hAnsi="Arial"/>
                <w:sz w:val="16"/>
                <w:szCs w:val="16"/>
                <w:color w:val="auto"/>
              </w:rPr>
              <w:t>means a stockholder of the Company.</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2.48</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any “subsidiary corporation” of the Company within the meaning of Code Section 424(f).</w:t>
            </w:r>
          </w:p>
        </w:tc>
      </w:tr>
      <w:tr>
        <w:trPr>
          <w:trHeight w:val="376"/>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2.49</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w w:val="96"/>
              </w:rPr>
              <w:t xml:space="preserve">“Substitute Award” </w:t>
            </w:r>
            <w:r>
              <w:rPr>
                <w:rFonts w:ascii="Arial" w:cs="Arial" w:eastAsia="Arial" w:hAnsi="Arial"/>
                <w:sz w:val="16"/>
                <w:szCs w:val="16"/>
                <w:color w:val="auto"/>
                <w:w w:val="96"/>
              </w:rPr>
              <w:t>means any Award granted in assumption of or in substitution for an award of a company or business acquired by the</w:t>
            </w:r>
          </w:p>
        </w:tc>
      </w:tr>
      <w:tr>
        <w:trPr>
          <w:trHeight w:val="206"/>
        </w:trPr>
        <w:tc>
          <w:tcPr>
            <w:tcW w:w="11180" w:type="dxa"/>
            <w:vAlign w:val="bottom"/>
            <w:gridSpan w:val="2"/>
          </w:tcPr>
          <w:p>
            <w:pPr>
              <w:spacing w:after="0"/>
              <w:rPr>
                <w:sz w:val="20"/>
                <w:szCs w:val="20"/>
                <w:color w:val="auto"/>
              </w:rPr>
            </w:pPr>
            <w:r>
              <w:rPr>
                <w:rFonts w:ascii="Arial" w:cs="Arial" w:eastAsia="Arial" w:hAnsi="Arial"/>
                <w:sz w:val="16"/>
                <w:szCs w:val="16"/>
                <w:color w:val="auto"/>
              </w:rPr>
              <w:t>Company or an Affiliate or with which the Company or an Affiliate combines.</w:t>
            </w:r>
          </w:p>
        </w:tc>
      </w:tr>
      <w:tr>
        <w:trPr>
          <w:trHeight w:val="376"/>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2.50</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w w:val="91"/>
              </w:rPr>
              <w:t xml:space="preserve">“Ten Percent Stockholder” </w:t>
            </w:r>
            <w:r>
              <w:rPr>
                <w:rFonts w:ascii="Arial" w:cs="Arial" w:eastAsia="Arial" w:hAnsi="Arial"/>
                <w:sz w:val="16"/>
                <w:szCs w:val="16"/>
                <w:color w:val="auto"/>
                <w:w w:val="91"/>
              </w:rPr>
              <w:t>means an individual who owns more than 10% of the total combined voting power of all classes of outstanding stock</w:t>
            </w:r>
          </w:p>
        </w:tc>
      </w:tr>
      <w:tr>
        <w:trPr>
          <w:trHeight w:val="206"/>
        </w:trPr>
        <w:tc>
          <w:tcPr>
            <w:tcW w:w="11180" w:type="dxa"/>
            <w:vAlign w:val="bottom"/>
            <w:gridSpan w:val="2"/>
          </w:tcPr>
          <w:p>
            <w:pPr>
              <w:spacing w:after="0"/>
              <w:rPr>
                <w:sz w:val="20"/>
                <w:szCs w:val="20"/>
                <w:color w:val="auto"/>
              </w:rPr>
            </w:pPr>
            <w:r>
              <w:rPr>
                <w:rFonts w:ascii="Arial" w:cs="Arial" w:eastAsia="Arial" w:hAnsi="Arial"/>
                <w:sz w:val="16"/>
                <w:szCs w:val="16"/>
                <w:color w:val="auto"/>
              </w:rPr>
              <w:t>of the Company, its parent or any of its Subsidiaries. In determining stock ownership, the attribution rules of Code Section 424(d) shall be applied.</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2.51</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w w:val="91"/>
              </w:rPr>
              <w:t xml:space="preserve">“Termination Date” </w:t>
            </w:r>
            <w:r>
              <w:rPr>
                <w:rFonts w:ascii="Arial" w:cs="Arial" w:eastAsia="Arial" w:hAnsi="Arial"/>
                <w:sz w:val="16"/>
                <w:szCs w:val="16"/>
                <w:color w:val="auto"/>
                <w:w w:val="91"/>
              </w:rPr>
              <w:t>means the date that is 10 years after the Effective Date, unless the Plan is earlier terminated by the Board under Section 5.2.</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010000"/>
              </w:rPr>
              <w:t>2.52</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rPr>
              <w:t xml:space="preserve">“Voting Securities” </w:t>
            </w:r>
            <w:r>
              <w:rPr>
                <w:rFonts w:ascii="Arial" w:cs="Arial" w:eastAsia="Arial" w:hAnsi="Arial"/>
                <w:sz w:val="16"/>
                <w:szCs w:val="16"/>
                <w:color w:val="auto"/>
              </w:rPr>
              <w:t>shall have the meaning set forth in Section 15.2.</w:t>
            </w:r>
          </w:p>
        </w:tc>
      </w:tr>
    </w:tbl>
    <w:p>
      <w:pPr>
        <w:spacing w:after="0" w:line="178" w:lineRule="exact"/>
        <w:rPr>
          <w:sz w:val="20"/>
          <w:szCs w:val="20"/>
          <w:color w:val="auto"/>
        </w:rPr>
      </w:pPr>
    </w:p>
    <w:p>
      <w:pPr>
        <w:ind w:left="703" w:hanging="703"/>
        <w:spacing w:after="0"/>
        <w:tabs>
          <w:tab w:leader="none" w:pos="703"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 OF THE PLAN</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3.1</w:t>
      </w:r>
      <w:r>
        <w:rPr>
          <w:sz w:val="20"/>
          <w:szCs w:val="20"/>
          <w:color w:val="auto"/>
        </w:rPr>
        <w:tab/>
      </w:r>
      <w:r>
        <w:rPr>
          <w:rFonts w:ascii="Arial" w:cs="Arial" w:eastAsia="Arial" w:hAnsi="Arial"/>
          <w:sz w:val="15"/>
          <w:szCs w:val="15"/>
          <w:b w:val="1"/>
          <w:bCs w:val="1"/>
          <w:color w:val="auto"/>
        </w:rPr>
        <w:t>General</w:t>
      </w:r>
    </w:p>
    <w:p>
      <w:pPr>
        <w:spacing w:after="0" w:line="208" w:lineRule="exact"/>
        <w:rPr>
          <w:sz w:val="20"/>
          <w:szCs w:val="20"/>
          <w:color w:val="auto"/>
        </w:rPr>
      </w:pPr>
    </w:p>
    <w:p>
      <w:pPr>
        <w:ind w:left="3" w:firstLine="865"/>
        <w:spacing w:after="0" w:line="276" w:lineRule="auto"/>
        <w:rPr>
          <w:sz w:val="20"/>
          <w:szCs w:val="20"/>
          <w:color w:val="auto"/>
        </w:rPr>
      </w:pPr>
      <w:r>
        <w:rPr>
          <w:rFonts w:ascii="Arial" w:cs="Arial" w:eastAsia="Arial" w:hAnsi="Arial"/>
          <w:sz w:val="15"/>
          <w:szCs w:val="15"/>
          <w:color w:val="auto"/>
        </w:rPr>
        <w:t xml:space="preserve">The Board shall have such powers and authorities related to the administration of the Plan as are consistent with the Company’s certificate of incorporation and bylaws and applicable law. The Board shall have the power and authority to delegate its responsibilities hereunder to the Committee, which shall have full authority to act in accordance with its charter, and with respect to the power and authority of the Board to act hereunder, all references to the Board shall be deemed to include a reference to the Committee, unless such power or authority is specifically reserved by the Board. Except as specifically provided in </w:t>
      </w:r>
      <w:r>
        <w:rPr>
          <w:rFonts w:ascii="Arial" w:cs="Arial" w:eastAsia="Arial" w:hAnsi="Arial"/>
          <w:sz w:val="15"/>
          <w:szCs w:val="15"/>
          <w:b w:val="1"/>
          <w:bCs w:val="1"/>
          <w:color w:val="auto"/>
        </w:rPr>
        <w:t>Section 14</w:t>
      </w:r>
      <w:r>
        <w:rPr>
          <w:rFonts w:ascii="Arial" w:cs="Arial" w:eastAsia="Arial" w:hAnsi="Arial"/>
          <w:sz w:val="15"/>
          <w:szCs w:val="15"/>
          <w:color w:val="auto"/>
        </w:rPr>
        <w:t xml:space="preserve"> or as otherwise may be required by applicable law, regulatory requirement or the certificate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conditions of the Plan that the Board deems to be necessary or appropriate to the administration of the Plan. The Committee shall administer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95250</wp:posOffset>
            </wp:positionV>
            <wp:extent cx="718693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123" w:right="339" w:bottom="1440" w:gutter="0" w:footer="0" w:header="0"/>
        </w:sectPr>
      </w:pPr>
    </w:p>
    <w:bookmarkStart w:id="53" w:name="page54"/>
    <w:bookmarkEnd w:id="53"/>
    <w:p>
      <w:pPr>
        <w:ind w:right="120"/>
        <w:spacing w:after="0" w:line="285" w:lineRule="auto"/>
        <w:rPr>
          <w:sz w:val="20"/>
          <w:szCs w:val="20"/>
          <w:color w:val="auto"/>
        </w:rPr>
      </w:pP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the Board shall retain the right to exercise the authority of the Committee to the extent consistent with applicable law and the applicable requirements of any</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exchange on which the Common Stock may then be listed. All actions, determinations and decisions by the Board or the Committee under the Plan, any Award or any Award Agreement shall be in the Board’s (or the Committee’s, as applicable) sole discretion and shall be final, binding and conclusive. Without limitation, the Committee shall have full and final power and authority, subject to the other terms and conditions of the Plan, to:</w:t>
      </w:r>
    </w:p>
    <w:p>
      <w:pPr>
        <w:spacing w:after="0" w:line="150" w:lineRule="exact"/>
        <w:rPr>
          <w:sz w:val="20"/>
          <w:szCs w:val="20"/>
          <w:color w:val="auto"/>
        </w:rPr>
      </w:pPr>
    </w:p>
    <w:p>
      <w:pPr>
        <w:ind w:left="3320" w:hanging="726"/>
        <w:spacing w:after="0"/>
        <w:tabs>
          <w:tab w:leader="none" w:pos="3320" w:val="left"/>
        </w:tabs>
        <w:numPr>
          <w:ilvl w:val="0"/>
          <w:numId w:val="30"/>
        </w:numPr>
        <w:rPr>
          <w:rFonts w:ascii="Arial" w:cs="Arial" w:eastAsia="Arial" w:hAnsi="Arial"/>
          <w:sz w:val="16"/>
          <w:szCs w:val="16"/>
          <w:color w:val="010000"/>
        </w:rPr>
      </w:pPr>
      <w:r>
        <w:rPr>
          <w:rFonts w:ascii="Arial" w:cs="Arial" w:eastAsia="Arial" w:hAnsi="Arial"/>
          <w:sz w:val="16"/>
          <w:szCs w:val="16"/>
          <w:color w:val="auto"/>
        </w:rPr>
        <w:t>designate Grantees;</w:t>
      </w:r>
    </w:p>
    <w:p>
      <w:pPr>
        <w:spacing w:after="0" w:line="203" w:lineRule="exact"/>
        <w:rPr>
          <w:rFonts w:ascii="Arial" w:cs="Arial" w:eastAsia="Arial" w:hAnsi="Arial"/>
          <w:sz w:val="16"/>
          <w:szCs w:val="16"/>
          <w:color w:val="010000"/>
        </w:rPr>
      </w:pPr>
    </w:p>
    <w:p>
      <w:pPr>
        <w:ind w:left="3380" w:hanging="786"/>
        <w:spacing w:after="0"/>
        <w:tabs>
          <w:tab w:leader="none" w:pos="3380" w:val="left"/>
        </w:tabs>
        <w:numPr>
          <w:ilvl w:val="0"/>
          <w:numId w:val="30"/>
        </w:numPr>
        <w:rPr>
          <w:rFonts w:ascii="Arial" w:cs="Arial" w:eastAsia="Arial" w:hAnsi="Arial"/>
          <w:sz w:val="16"/>
          <w:szCs w:val="16"/>
          <w:color w:val="010000"/>
        </w:rPr>
      </w:pPr>
      <w:r>
        <w:rPr>
          <w:rFonts w:ascii="Arial" w:cs="Arial" w:eastAsia="Arial" w:hAnsi="Arial"/>
          <w:sz w:val="16"/>
          <w:szCs w:val="16"/>
          <w:color w:val="auto"/>
        </w:rPr>
        <w:t>determine the type or types of Awards to be made to Grantees;</w:t>
      </w:r>
    </w:p>
    <w:p>
      <w:pPr>
        <w:spacing w:after="0" w:line="203" w:lineRule="exact"/>
        <w:rPr>
          <w:rFonts w:ascii="Arial" w:cs="Arial" w:eastAsia="Arial" w:hAnsi="Arial"/>
          <w:sz w:val="16"/>
          <w:szCs w:val="16"/>
          <w:color w:val="010000"/>
        </w:rPr>
      </w:pPr>
    </w:p>
    <w:p>
      <w:pPr>
        <w:ind w:left="3420" w:hanging="826"/>
        <w:spacing w:after="0"/>
        <w:tabs>
          <w:tab w:leader="none" w:pos="3420" w:val="left"/>
        </w:tabs>
        <w:numPr>
          <w:ilvl w:val="0"/>
          <w:numId w:val="30"/>
        </w:numPr>
        <w:rPr>
          <w:rFonts w:ascii="Arial" w:cs="Arial" w:eastAsia="Arial" w:hAnsi="Arial"/>
          <w:sz w:val="16"/>
          <w:szCs w:val="16"/>
          <w:color w:val="010000"/>
        </w:rPr>
      </w:pPr>
      <w:r>
        <w:rPr>
          <w:rFonts w:ascii="Arial" w:cs="Arial" w:eastAsia="Arial" w:hAnsi="Arial"/>
          <w:sz w:val="16"/>
          <w:szCs w:val="16"/>
          <w:color w:val="auto"/>
        </w:rPr>
        <w:t>determine the number of Shares to be subject to an Award;</w:t>
      </w:r>
    </w:p>
    <w:p>
      <w:pPr>
        <w:spacing w:after="0" w:line="203" w:lineRule="exact"/>
        <w:rPr>
          <w:rFonts w:ascii="Arial" w:cs="Arial" w:eastAsia="Arial" w:hAnsi="Arial"/>
          <w:sz w:val="16"/>
          <w:szCs w:val="16"/>
          <w:color w:val="010000"/>
        </w:rPr>
      </w:pPr>
    </w:p>
    <w:p>
      <w:pPr>
        <w:jc w:val="both"/>
        <w:ind w:right="180" w:firstLine="2594"/>
        <w:spacing w:after="0" w:line="267" w:lineRule="auto"/>
        <w:tabs>
          <w:tab w:leader="none" w:pos="3412" w:val="left"/>
        </w:tabs>
        <w:numPr>
          <w:ilvl w:val="0"/>
          <w:numId w:val="30"/>
        </w:numPr>
        <w:rPr>
          <w:rFonts w:ascii="Arial" w:cs="Arial" w:eastAsia="Arial" w:hAnsi="Arial"/>
          <w:sz w:val="16"/>
          <w:szCs w:val="16"/>
          <w:color w:val="010000"/>
        </w:rPr>
      </w:pPr>
      <w:r>
        <w:rPr>
          <w:rFonts w:ascii="Arial" w:cs="Arial" w:eastAsia="Arial" w:hAnsi="Arial"/>
          <w:sz w:val="16"/>
          <w:szCs w:val="16"/>
          <w:color w:val="auto"/>
        </w:rPr>
        <w:t>establish the terms and conditions of each Award (including the Option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Stock Options;</w:t>
      </w:r>
    </w:p>
    <w:p>
      <w:pPr>
        <w:spacing w:after="0" w:line="161" w:lineRule="exact"/>
        <w:rPr>
          <w:rFonts w:ascii="Arial" w:cs="Arial" w:eastAsia="Arial" w:hAnsi="Arial"/>
          <w:sz w:val="16"/>
          <w:szCs w:val="16"/>
          <w:color w:val="010000"/>
        </w:rPr>
      </w:pPr>
    </w:p>
    <w:p>
      <w:pPr>
        <w:ind w:left="3360" w:hanging="766"/>
        <w:spacing w:after="0"/>
        <w:tabs>
          <w:tab w:leader="none" w:pos="3360" w:val="left"/>
        </w:tabs>
        <w:numPr>
          <w:ilvl w:val="0"/>
          <w:numId w:val="30"/>
        </w:numPr>
        <w:rPr>
          <w:rFonts w:ascii="Arial" w:cs="Arial" w:eastAsia="Arial" w:hAnsi="Arial"/>
          <w:sz w:val="16"/>
          <w:szCs w:val="16"/>
          <w:color w:val="010000"/>
        </w:rPr>
      </w:pPr>
      <w:r>
        <w:rPr>
          <w:rFonts w:ascii="Arial" w:cs="Arial" w:eastAsia="Arial" w:hAnsi="Arial"/>
          <w:sz w:val="16"/>
          <w:szCs w:val="16"/>
          <w:color w:val="auto"/>
        </w:rPr>
        <w:t>prescribe the form of each Award Agreement; and</w:t>
      </w:r>
    </w:p>
    <w:p>
      <w:pPr>
        <w:spacing w:after="0" w:line="203" w:lineRule="exact"/>
        <w:rPr>
          <w:rFonts w:ascii="Arial" w:cs="Arial" w:eastAsia="Arial" w:hAnsi="Arial"/>
          <w:sz w:val="16"/>
          <w:szCs w:val="16"/>
          <w:color w:val="010000"/>
        </w:rPr>
      </w:pPr>
    </w:p>
    <w:p>
      <w:pPr>
        <w:ind w:right="20" w:firstLine="2594"/>
        <w:spacing w:after="0" w:line="267" w:lineRule="auto"/>
        <w:tabs>
          <w:tab w:leader="none" w:pos="3412" w:val="left"/>
        </w:tabs>
        <w:numPr>
          <w:ilvl w:val="0"/>
          <w:numId w:val="30"/>
        </w:numPr>
        <w:rPr>
          <w:rFonts w:ascii="Arial" w:cs="Arial" w:eastAsia="Arial" w:hAnsi="Arial"/>
          <w:sz w:val="16"/>
          <w:szCs w:val="16"/>
          <w:color w:val="010000"/>
        </w:rPr>
      </w:pPr>
      <w:r>
        <w:rPr>
          <w:rFonts w:ascii="Arial" w:cs="Arial" w:eastAsia="Arial" w:hAnsi="Arial"/>
          <w:sz w:val="16"/>
          <w:szCs w:val="16"/>
          <w:color w:val="auto"/>
        </w:rPr>
        <w:t>amend, modify or supplement the terms or conditions of any outstanding Award including the authority, in order to effectuate the purposes of the Plan, to modify Awards to foreign nationals or individuals who are employed outside the United States to recognize differences in local law, tax policy or custom.</w:t>
      </w:r>
    </w:p>
    <w:p>
      <w:pPr>
        <w:spacing w:after="0" w:line="161" w:lineRule="exact"/>
        <w:rPr>
          <w:sz w:val="20"/>
          <w:szCs w:val="20"/>
          <w:color w:val="auto"/>
        </w:rPr>
      </w:pPr>
    </w:p>
    <w:p>
      <w:pPr>
        <w:ind w:firstLine="865"/>
        <w:spacing w:after="0" w:line="259" w:lineRule="auto"/>
        <w:rPr>
          <w:sz w:val="20"/>
          <w:szCs w:val="20"/>
          <w:color w:val="auto"/>
        </w:rPr>
      </w:pPr>
      <w:r>
        <w:rPr>
          <w:rFonts w:ascii="Arial" w:cs="Arial" w:eastAsia="Arial" w:hAnsi="Arial"/>
          <w:sz w:val="16"/>
          <w:szCs w:val="16"/>
          <w:color w:val="auto"/>
        </w:rPr>
        <w:t xml:space="preserve">To the extent permitted by applicable law, the Committee may delegate its authority as identified herein to any individual or committee of individuals (who need not be directors), including the authority to make Awards to Grantees who are not subject to Section 16 of the Exchange Act or who are not Covered Employees. To the extent that the Committee delegates its authority to make Awards as provided by this </w:t>
      </w:r>
      <w:r>
        <w:rPr>
          <w:rFonts w:ascii="Arial" w:cs="Arial" w:eastAsia="Arial" w:hAnsi="Arial"/>
          <w:sz w:val="16"/>
          <w:szCs w:val="16"/>
          <w:b w:val="1"/>
          <w:bCs w:val="1"/>
          <w:color w:val="auto"/>
        </w:rPr>
        <w:t>Section 3.1</w:t>
      </w:r>
      <w:r>
        <w:rPr>
          <w:rFonts w:ascii="Arial" w:cs="Arial" w:eastAsia="Arial" w:hAnsi="Arial"/>
          <w:sz w:val="16"/>
          <w:szCs w:val="16"/>
          <w:color w:val="auto"/>
        </w:rPr>
        <w:t>, all references in the Plan to the Committee’s authority to make Awards and determinations with respect thereto shall be deemed to include the Committee’s delegate. Any such delegate shall serve at the pleasure of, and may be removed at any time by, the Committee.</w:t>
      </w:r>
    </w:p>
    <w:p>
      <w:pPr>
        <w:spacing w:after="0" w:line="166"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6"/>
          <w:szCs w:val="16"/>
          <w:b w:val="1"/>
          <w:bCs w:val="1"/>
          <w:color w:val="010000"/>
        </w:rPr>
        <w:t>3.2</w:t>
      </w:r>
      <w:r>
        <w:rPr>
          <w:sz w:val="20"/>
          <w:szCs w:val="20"/>
          <w:color w:val="auto"/>
        </w:rPr>
        <w:tab/>
      </w:r>
      <w:r>
        <w:rPr>
          <w:rFonts w:ascii="Arial" w:cs="Arial" w:eastAsia="Arial" w:hAnsi="Arial"/>
          <w:sz w:val="14"/>
          <w:szCs w:val="14"/>
          <w:b w:val="1"/>
          <w:bCs w:val="1"/>
          <w:color w:val="auto"/>
        </w:rPr>
        <w:t>No Repricing</w:t>
      </w:r>
    </w:p>
    <w:p>
      <w:pPr>
        <w:spacing w:after="0" w:line="208" w:lineRule="exact"/>
        <w:rPr>
          <w:sz w:val="20"/>
          <w:szCs w:val="20"/>
          <w:color w:val="auto"/>
        </w:rPr>
      </w:pPr>
    </w:p>
    <w:p>
      <w:pPr>
        <w:ind w:firstLine="865"/>
        <w:spacing w:after="0" w:line="257" w:lineRule="auto"/>
        <w:rPr>
          <w:sz w:val="20"/>
          <w:szCs w:val="20"/>
          <w:color w:val="auto"/>
        </w:rPr>
      </w:pPr>
      <w:r>
        <w:rPr>
          <w:rFonts w:ascii="Arial" w:cs="Arial" w:eastAsia="Arial" w:hAnsi="Arial"/>
          <w:sz w:val="16"/>
          <w:szCs w:val="16"/>
          <w:color w:val="auto"/>
        </w:rPr>
        <w:t xml:space="preserve">Notwithstanding any provision herein to the contrary, the repricing of Options or SARs is prohibited without prior approval of the Stockholders. For this purpose, a “repricing” means any of the following (or any other action that has the same effect as any of the following): (i) changing the terms of an Option or SAR to lower its Option Price or SAR Exercise Price; (ii) any other action that is treated as a “repricing” under generally accepted accounting principles; and (iii) repurchasing for cash or canceling an Option or SAR at a time when its Option Price or SAR Exercise Price is greater than the Fair Market Value of the underlying Shares in exchange for another award, unless the cancellation and exchange occurs in connection with a change in capitalization or similar change under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 A cancellation and exchange under clause (iii) would be considered a “repricing” regardless of whether it is treated as a “repricing” under generally accepted accounting principles and regardless of whether it is voluntary on the part of the Grantee.</w:t>
      </w:r>
    </w:p>
    <w:p>
      <w:pPr>
        <w:spacing w:after="0" w:line="168"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6"/>
          <w:szCs w:val="16"/>
          <w:b w:val="1"/>
          <w:bCs w:val="1"/>
          <w:color w:val="010000"/>
        </w:rPr>
        <w:t>3.3</w:t>
      </w:r>
      <w:r>
        <w:rPr>
          <w:sz w:val="20"/>
          <w:szCs w:val="20"/>
          <w:color w:val="auto"/>
        </w:rPr>
        <w:tab/>
      </w:r>
      <w:r>
        <w:rPr>
          <w:rFonts w:ascii="Arial" w:cs="Arial" w:eastAsia="Arial" w:hAnsi="Arial"/>
          <w:sz w:val="14"/>
          <w:szCs w:val="14"/>
          <w:b w:val="1"/>
          <w:bCs w:val="1"/>
          <w:color w:val="auto"/>
        </w:rPr>
        <w:t>Award Agreements; Clawbacks</w:t>
      </w:r>
    </w:p>
    <w:p>
      <w:pPr>
        <w:spacing w:after="0" w:line="208" w:lineRule="exact"/>
        <w:rPr>
          <w:sz w:val="20"/>
          <w:szCs w:val="20"/>
          <w:color w:val="auto"/>
        </w:rPr>
      </w:pPr>
    </w:p>
    <w:p>
      <w:pPr>
        <w:ind w:right="60" w:firstLine="865"/>
        <w:spacing w:after="0" w:line="281" w:lineRule="auto"/>
        <w:rPr>
          <w:sz w:val="20"/>
          <w:szCs w:val="20"/>
          <w:color w:val="auto"/>
        </w:rPr>
      </w:pPr>
      <w:r>
        <w:rPr>
          <w:rFonts w:ascii="Arial" w:cs="Arial" w:eastAsia="Arial" w:hAnsi="Arial"/>
          <w:sz w:val="15"/>
          <w:szCs w:val="15"/>
          <w:color w:val="auto"/>
        </w:rPr>
        <w:t>The grant of any Award may be contingent upon the Grantee executing the appropriate Award Agreement. The Company may retain the right in an Award Agreement to cause a forfeiture of the gain realized by a Grantee on account of actions taken by the Grantee in violation or breach of or in conflict with any employment agreement, non-competition agreement, any agreement prohibiting solicitation of employees or clients of the Company or any Affiliate thereof or any confidentiality obligation with respect to the Company or any Affiliate thereof, or otherwise in competition with the Company or any Affiliate thereof, to the extent specified in such Award Agreement applicable to the Grantee. Furthermore, the Company may annul an Award if the Grantee is terminated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92710</wp:posOffset>
            </wp:positionV>
            <wp:extent cx="718693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ind w:left="3" w:right="20" w:firstLine="865"/>
        <w:spacing w:after="0" w:line="302" w:lineRule="auto"/>
        <w:rPr>
          <w:sz w:val="20"/>
          <w:szCs w:val="20"/>
          <w:color w:val="auto"/>
        </w:rPr>
      </w:pPr>
      <w:r>
        <w:rPr>
          <w:rFonts w:ascii="Arial" w:cs="Arial" w:eastAsia="Arial" w:hAnsi="Arial"/>
          <w:sz w:val="14"/>
          <w:szCs w:val="14"/>
          <w:color w:val="auto"/>
        </w:rPr>
        <w:t>All awards, amounts or benefits received or outstanding under the Plan shall be subject to clawback, cancellation, recoupment, rescission, payback, reduction or other similar action in accordance with the terms of any Company clawback or similar policy or any applicable law related to such actions, as may be in effect from time to time. A Grantee’s acceptance of an Award shall be deemed to constitute the Grantee’s acknowledgement of and consent to the Company’s application, implementation and enforcement of any applicable Company clawback or similar policy that may apply to the Grantee, whether adopted prior to or following the Effective Date, and any provision of applicable law relating to clawback, cancellation, recoupment, rescission, payback or reduction of compensation, and the Grantee’s agreement that the Company may take such actions as may be necessary to effectuate any such policy or applicable law, without further consideration or action.</w:t>
      </w:r>
    </w:p>
    <w:p>
      <w:pPr>
        <w:spacing w:after="0" w:line="13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3.4</w:t>
      </w:r>
      <w:r>
        <w:rPr>
          <w:sz w:val="20"/>
          <w:szCs w:val="20"/>
          <w:color w:val="auto"/>
        </w:rPr>
        <w:tab/>
      </w:r>
      <w:r>
        <w:rPr>
          <w:rFonts w:ascii="Arial" w:cs="Arial" w:eastAsia="Arial" w:hAnsi="Arial"/>
          <w:sz w:val="15"/>
          <w:szCs w:val="15"/>
          <w:b w:val="1"/>
          <w:bCs w:val="1"/>
          <w:color w:val="auto"/>
        </w:rPr>
        <w:t>Deferral Arrangement</w:t>
      </w:r>
    </w:p>
    <w:p>
      <w:pPr>
        <w:spacing w:after="0" w:line="208" w:lineRule="exact"/>
        <w:rPr>
          <w:sz w:val="20"/>
          <w:szCs w:val="20"/>
          <w:color w:val="auto"/>
        </w:rPr>
      </w:pPr>
    </w:p>
    <w:p>
      <w:pPr>
        <w:ind w:left="3" w:firstLine="865"/>
        <w:spacing w:after="0" w:line="267" w:lineRule="auto"/>
        <w:rPr>
          <w:sz w:val="20"/>
          <w:szCs w:val="20"/>
          <w:color w:val="auto"/>
        </w:rPr>
      </w:pPr>
      <w:r>
        <w:rPr>
          <w:rFonts w:ascii="Arial" w:cs="Arial" w:eastAsia="Arial" w:hAnsi="Arial"/>
          <w:sz w:val="16"/>
          <w:szCs w:val="16"/>
          <w:color w:val="auto"/>
        </w:rPr>
        <w:t>The Committee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Share units.</w:t>
      </w:r>
    </w:p>
    <w:p>
      <w:pPr>
        <w:spacing w:after="0" w:line="15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3.5</w:t>
      </w:r>
      <w:r>
        <w:rPr>
          <w:sz w:val="20"/>
          <w:szCs w:val="20"/>
          <w:color w:val="auto"/>
        </w:rPr>
        <w:tab/>
      </w:r>
      <w:r>
        <w:rPr>
          <w:rFonts w:ascii="Arial" w:cs="Arial" w:eastAsia="Arial" w:hAnsi="Arial"/>
          <w:sz w:val="15"/>
          <w:szCs w:val="15"/>
          <w:b w:val="1"/>
          <w:bCs w:val="1"/>
          <w:color w:val="auto"/>
        </w:rPr>
        <w:t>No Liability</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5"/>
          <w:szCs w:val="15"/>
          <w:color w:val="auto"/>
        </w:rPr>
        <w:t>No member of the Board or of the Committee shall be liable for any action or determination made in good faith with respect to the Plan, any Award or Award</w:t>
      </w:r>
    </w:p>
    <w:p>
      <w:pPr>
        <w:spacing w:after="0" w:line="33" w:lineRule="exact"/>
        <w:rPr>
          <w:sz w:val="20"/>
          <w:szCs w:val="20"/>
          <w:color w:val="auto"/>
        </w:rPr>
      </w:pPr>
    </w:p>
    <w:p>
      <w:pPr>
        <w:ind w:left="3"/>
        <w:spacing w:after="0"/>
        <w:rPr>
          <w:sz w:val="20"/>
          <w:szCs w:val="20"/>
          <w:color w:val="auto"/>
        </w:rPr>
      </w:pPr>
      <w:r>
        <w:rPr>
          <w:rFonts w:ascii="Arial" w:cs="Arial" w:eastAsia="Arial" w:hAnsi="Arial"/>
          <w:sz w:val="16"/>
          <w:szCs w:val="16"/>
          <w:color w:val="auto"/>
        </w:rPr>
        <w:t>Agreement.</w:t>
      </w:r>
    </w:p>
    <w:p>
      <w:pPr>
        <w:spacing w:after="0" w:line="188"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3.6</w:t>
      </w:r>
      <w:r>
        <w:rPr>
          <w:sz w:val="20"/>
          <w:szCs w:val="20"/>
          <w:color w:val="auto"/>
        </w:rPr>
        <w:tab/>
      </w:r>
      <w:r>
        <w:rPr>
          <w:rFonts w:ascii="Arial" w:cs="Arial" w:eastAsia="Arial" w:hAnsi="Arial"/>
          <w:sz w:val="14"/>
          <w:szCs w:val="14"/>
          <w:b w:val="1"/>
          <w:bCs w:val="1"/>
          <w:color w:val="auto"/>
        </w:rPr>
        <w:t>Book Entry</w:t>
      </w:r>
    </w:p>
    <w:p>
      <w:pPr>
        <w:spacing w:after="0" w:line="208" w:lineRule="exact"/>
        <w:rPr>
          <w:sz w:val="20"/>
          <w:szCs w:val="20"/>
          <w:color w:val="auto"/>
        </w:rPr>
      </w:pPr>
    </w:p>
    <w:p>
      <w:pPr>
        <w:ind w:left="3" w:right="500"/>
        <w:spacing w:after="0" w:line="281" w:lineRule="auto"/>
        <w:rPr>
          <w:sz w:val="20"/>
          <w:szCs w:val="20"/>
          <w:color w:val="auto"/>
        </w:rPr>
      </w:pPr>
      <w:r>
        <w:rPr>
          <w:rFonts w:ascii="Arial" w:cs="Arial" w:eastAsia="Arial" w:hAnsi="Arial"/>
          <w:sz w:val="16"/>
          <w:szCs w:val="16"/>
          <w:color w:val="auto"/>
        </w:rPr>
        <w:t>Notwithstanding any other provision of the Plan to the contrary, the Company may elect to satisfy any requirement under the Plan for the delivery of stock certificates through the use of book entry.</w:t>
      </w:r>
    </w:p>
    <w:p>
      <w:pPr>
        <w:spacing w:after="0" w:line="147" w:lineRule="exact"/>
        <w:rPr>
          <w:sz w:val="20"/>
          <w:szCs w:val="20"/>
          <w:color w:val="auto"/>
        </w:rPr>
      </w:pPr>
    </w:p>
    <w:p>
      <w:pPr>
        <w:ind w:left="703" w:hanging="703"/>
        <w:spacing w:after="0"/>
        <w:tabs>
          <w:tab w:leader="none" w:pos="703"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STOCK SUBJECT TO THE PLAN</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4.1</w:t>
      </w:r>
      <w:r>
        <w:rPr>
          <w:sz w:val="20"/>
          <w:szCs w:val="20"/>
          <w:color w:val="auto"/>
        </w:rPr>
        <w:tab/>
      </w:r>
      <w:r>
        <w:rPr>
          <w:rFonts w:ascii="Arial" w:cs="Arial" w:eastAsia="Arial" w:hAnsi="Arial"/>
          <w:sz w:val="14"/>
          <w:szCs w:val="14"/>
          <w:b w:val="1"/>
          <w:bCs w:val="1"/>
          <w:color w:val="auto"/>
        </w:rPr>
        <w:t>Authorized Number of Shares</w:t>
      </w:r>
    </w:p>
    <w:p>
      <w:pPr>
        <w:spacing w:after="0" w:line="204" w:lineRule="exact"/>
        <w:rPr>
          <w:sz w:val="20"/>
          <w:szCs w:val="20"/>
          <w:color w:val="auto"/>
        </w:rPr>
      </w:pPr>
    </w:p>
    <w:p>
      <w:pPr>
        <w:jc w:val="both"/>
        <w:ind w:left="3" w:right="40" w:firstLine="865"/>
        <w:spacing w:after="0" w:line="269" w:lineRule="auto"/>
        <w:rPr>
          <w:sz w:val="20"/>
          <w:szCs w:val="20"/>
          <w:color w:val="auto"/>
        </w:rPr>
      </w:pPr>
      <w:r>
        <w:rPr>
          <w:rFonts w:ascii="Arial" w:cs="Arial" w:eastAsia="Arial" w:hAnsi="Arial"/>
          <w:sz w:val="16"/>
          <w:szCs w:val="16"/>
          <w:color w:val="auto"/>
        </w:rPr>
        <w:t xml:space="preserve">Subject to adjustment under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 the aggregate number of Shares authorized to be issued under the Plan is 8,785,967 Shares issued under the Plan may consist in whole or in part of authorized but unissued Shares, treasury Shares or Shares purchased on the open market or otherwise, all as determined by the Board from time to time.</w:t>
      </w:r>
    </w:p>
    <w:p>
      <w:pPr>
        <w:spacing w:after="0" w:line="15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4.2</w:t>
      </w:r>
      <w:r>
        <w:rPr>
          <w:sz w:val="20"/>
          <w:szCs w:val="20"/>
          <w:color w:val="auto"/>
        </w:rPr>
        <w:tab/>
      </w:r>
      <w:r>
        <w:rPr>
          <w:rFonts w:ascii="Arial" w:cs="Arial" w:eastAsia="Arial" w:hAnsi="Arial"/>
          <w:sz w:val="14"/>
          <w:szCs w:val="14"/>
          <w:b w:val="1"/>
          <w:bCs w:val="1"/>
          <w:color w:val="auto"/>
        </w:rPr>
        <w:t>Share Counting</w:t>
      </w:r>
    </w:p>
    <w:p>
      <w:pPr>
        <w:spacing w:after="0" w:line="204" w:lineRule="exact"/>
        <w:rPr>
          <w:sz w:val="20"/>
          <w:szCs w:val="20"/>
          <w:color w:val="auto"/>
        </w:rPr>
      </w:pPr>
    </w:p>
    <w:p>
      <w:pPr>
        <w:ind w:left="1723"/>
        <w:spacing w:after="0"/>
        <w:tabs>
          <w:tab w:leader="none" w:pos="2623" w:val="left"/>
        </w:tabs>
        <w:rPr>
          <w:sz w:val="20"/>
          <w:szCs w:val="20"/>
          <w:color w:val="auto"/>
        </w:rPr>
      </w:pPr>
      <w:r>
        <w:rPr>
          <w:rFonts w:ascii="Arial" w:cs="Arial" w:eastAsia="Arial" w:hAnsi="Arial"/>
          <w:sz w:val="16"/>
          <w:szCs w:val="16"/>
          <w:b w:val="1"/>
          <w:bCs w:val="1"/>
          <w:color w:val="010000"/>
        </w:rPr>
        <w:t>4.2.1</w:t>
      </w:r>
      <w:r>
        <w:rPr>
          <w:sz w:val="20"/>
          <w:szCs w:val="20"/>
          <w:color w:val="auto"/>
        </w:rPr>
        <w:tab/>
      </w:r>
      <w:r>
        <w:rPr>
          <w:rFonts w:ascii="Arial" w:cs="Arial" w:eastAsia="Arial" w:hAnsi="Arial"/>
          <w:sz w:val="14"/>
          <w:szCs w:val="14"/>
          <w:b w:val="1"/>
          <w:bCs w:val="1"/>
          <w:color w:val="auto"/>
        </w:rPr>
        <w:t>General</w:t>
      </w:r>
    </w:p>
    <w:p>
      <w:pPr>
        <w:spacing w:after="0" w:line="204" w:lineRule="exact"/>
        <w:rPr>
          <w:sz w:val="20"/>
          <w:szCs w:val="20"/>
          <w:color w:val="auto"/>
        </w:rPr>
      </w:pPr>
    </w:p>
    <w:p>
      <w:pPr>
        <w:ind w:left="863"/>
        <w:spacing w:after="0"/>
        <w:rPr>
          <w:sz w:val="20"/>
          <w:szCs w:val="20"/>
          <w:color w:val="auto"/>
        </w:rPr>
      </w:pPr>
      <w:r>
        <w:rPr>
          <w:rFonts w:ascii="Arial" w:cs="Arial" w:eastAsia="Arial" w:hAnsi="Arial"/>
          <w:sz w:val="14"/>
          <w:szCs w:val="14"/>
          <w:color w:val="auto"/>
        </w:rPr>
        <w:t xml:space="preserve">Each Share granted in connection with an Award shall be counted as one Share against the limit in </w:t>
      </w:r>
      <w:r>
        <w:rPr>
          <w:rFonts w:ascii="Arial" w:cs="Arial" w:eastAsia="Arial" w:hAnsi="Arial"/>
          <w:sz w:val="14"/>
          <w:szCs w:val="14"/>
          <w:b w:val="1"/>
          <w:bCs w:val="1"/>
          <w:color w:val="auto"/>
        </w:rPr>
        <w:t>Section 4.1</w:t>
      </w:r>
      <w:r>
        <w:rPr>
          <w:rFonts w:ascii="Arial" w:cs="Arial" w:eastAsia="Arial" w:hAnsi="Arial"/>
          <w:sz w:val="14"/>
          <w:szCs w:val="14"/>
          <w:color w:val="auto"/>
        </w:rPr>
        <w:t xml:space="preserve">, subject to the provisions of this </w:t>
      </w:r>
      <w:r>
        <w:rPr>
          <w:rFonts w:ascii="Arial" w:cs="Arial" w:eastAsia="Arial" w:hAnsi="Arial"/>
          <w:sz w:val="14"/>
          <w:szCs w:val="14"/>
          <w:b w:val="1"/>
          <w:bCs w:val="1"/>
          <w:color w:val="auto"/>
        </w:rPr>
        <w:t>Section 4.2</w:t>
      </w:r>
      <w:r>
        <w:rPr>
          <w:rFonts w:ascii="Arial" w:cs="Arial" w:eastAsia="Arial" w:hAnsi="Arial"/>
          <w:sz w:val="14"/>
          <w:szCs w:val="14"/>
          <w:color w:val="auto"/>
        </w:rPr>
        <w:t>.</w:t>
      </w:r>
    </w:p>
    <w:p>
      <w:pPr>
        <w:spacing w:after="0" w:line="227" w:lineRule="exact"/>
        <w:rPr>
          <w:sz w:val="20"/>
          <w:szCs w:val="20"/>
          <w:color w:val="auto"/>
        </w:rPr>
      </w:pPr>
    </w:p>
    <w:p>
      <w:pPr>
        <w:ind w:left="1723"/>
        <w:spacing w:after="0"/>
        <w:tabs>
          <w:tab w:leader="none" w:pos="2623" w:val="left"/>
        </w:tabs>
        <w:rPr>
          <w:sz w:val="20"/>
          <w:szCs w:val="20"/>
          <w:color w:val="auto"/>
        </w:rPr>
      </w:pPr>
      <w:r>
        <w:rPr>
          <w:rFonts w:ascii="Arial" w:cs="Arial" w:eastAsia="Arial" w:hAnsi="Arial"/>
          <w:sz w:val="16"/>
          <w:szCs w:val="16"/>
          <w:b w:val="1"/>
          <w:bCs w:val="1"/>
          <w:color w:val="010000"/>
        </w:rPr>
        <w:t>4.2.2</w:t>
      </w:r>
      <w:r>
        <w:rPr>
          <w:sz w:val="20"/>
          <w:szCs w:val="20"/>
          <w:color w:val="auto"/>
        </w:rPr>
        <w:tab/>
      </w:r>
      <w:r>
        <w:rPr>
          <w:rFonts w:ascii="Arial" w:cs="Arial" w:eastAsia="Arial" w:hAnsi="Arial"/>
          <w:sz w:val="14"/>
          <w:szCs w:val="14"/>
          <w:b w:val="1"/>
          <w:bCs w:val="1"/>
          <w:color w:val="auto"/>
        </w:rPr>
        <w:t>Cash-Settled Awards</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color w:val="auto"/>
        </w:rPr>
        <w:t>Any Award settled in cash shall not be counted as issued Shares for any purpose under the Plan.</w:t>
      </w:r>
    </w:p>
    <w:p>
      <w:pPr>
        <w:spacing w:after="0" w:line="200" w:lineRule="exact"/>
        <w:rPr>
          <w:sz w:val="20"/>
          <w:szCs w:val="20"/>
          <w:color w:val="auto"/>
        </w:rPr>
      </w:pPr>
    </w:p>
    <w:p>
      <w:pPr>
        <w:ind w:left="1723"/>
        <w:spacing w:after="0"/>
        <w:tabs>
          <w:tab w:leader="none" w:pos="2623" w:val="left"/>
        </w:tabs>
        <w:rPr>
          <w:sz w:val="20"/>
          <w:szCs w:val="20"/>
          <w:color w:val="auto"/>
        </w:rPr>
      </w:pPr>
      <w:r>
        <w:rPr>
          <w:rFonts w:ascii="Arial" w:cs="Arial" w:eastAsia="Arial" w:hAnsi="Arial"/>
          <w:sz w:val="16"/>
          <w:szCs w:val="16"/>
          <w:b w:val="1"/>
          <w:bCs w:val="1"/>
          <w:color w:val="010000"/>
        </w:rPr>
        <w:t>4.2.3</w:t>
      </w:r>
      <w:r>
        <w:rPr>
          <w:sz w:val="20"/>
          <w:szCs w:val="20"/>
          <w:color w:val="auto"/>
        </w:rPr>
        <w:tab/>
      </w:r>
      <w:r>
        <w:rPr>
          <w:rFonts w:ascii="Arial" w:cs="Arial" w:eastAsia="Arial" w:hAnsi="Arial"/>
          <w:sz w:val="14"/>
          <w:szCs w:val="14"/>
          <w:b w:val="1"/>
          <w:bCs w:val="1"/>
          <w:color w:val="auto"/>
        </w:rPr>
        <w:t>Expired or Terminated Awards</w:t>
      </w:r>
    </w:p>
    <w:p>
      <w:pPr>
        <w:spacing w:after="0" w:line="208" w:lineRule="exact"/>
        <w:rPr>
          <w:sz w:val="20"/>
          <w:szCs w:val="20"/>
          <w:color w:val="auto"/>
        </w:rPr>
      </w:pPr>
    </w:p>
    <w:p>
      <w:pPr>
        <w:ind w:left="3" w:right="420"/>
        <w:spacing w:after="0" w:line="281" w:lineRule="auto"/>
        <w:rPr>
          <w:sz w:val="20"/>
          <w:szCs w:val="20"/>
          <w:color w:val="auto"/>
        </w:rPr>
      </w:pPr>
      <w:r>
        <w:rPr>
          <w:rFonts w:ascii="Arial" w:cs="Arial" w:eastAsia="Arial" w:hAnsi="Arial"/>
          <w:sz w:val="16"/>
          <w:szCs w:val="16"/>
          <w:color w:val="auto"/>
        </w:rPr>
        <w:t>If any Award expires, or is terminated, surrendered or forfeited, in whole or in part, the unissued Shares covered by such Award shall again be available for the grant of Awards.</w:t>
      </w:r>
    </w:p>
    <w:p>
      <w:pPr>
        <w:spacing w:after="0" w:line="147" w:lineRule="exact"/>
        <w:rPr>
          <w:sz w:val="20"/>
          <w:szCs w:val="20"/>
          <w:color w:val="auto"/>
        </w:rPr>
      </w:pPr>
    </w:p>
    <w:p>
      <w:pPr>
        <w:ind w:left="1723"/>
        <w:spacing w:after="0"/>
        <w:tabs>
          <w:tab w:leader="none" w:pos="2623" w:val="left"/>
        </w:tabs>
        <w:rPr>
          <w:sz w:val="20"/>
          <w:szCs w:val="20"/>
          <w:color w:val="auto"/>
        </w:rPr>
      </w:pPr>
      <w:r>
        <w:rPr>
          <w:rFonts w:ascii="Arial" w:cs="Arial" w:eastAsia="Arial" w:hAnsi="Arial"/>
          <w:sz w:val="16"/>
          <w:szCs w:val="16"/>
          <w:b w:val="1"/>
          <w:bCs w:val="1"/>
          <w:color w:val="010000"/>
        </w:rPr>
        <w:t>4.2.4</w:t>
      </w:r>
      <w:r>
        <w:rPr>
          <w:sz w:val="20"/>
          <w:szCs w:val="20"/>
          <w:color w:val="auto"/>
        </w:rPr>
        <w:tab/>
      </w:r>
      <w:r>
        <w:rPr>
          <w:rFonts w:ascii="Arial" w:cs="Arial" w:eastAsia="Arial" w:hAnsi="Arial"/>
          <w:sz w:val="14"/>
          <w:szCs w:val="14"/>
          <w:b w:val="1"/>
          <w:bCs w:val="1"/>
          <w:color w:val="auto"/>
        </w:rPr>
        <w:t>Payment of Option Price or Tax Withholding in Shares</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If Shares issuable upon exercise, vesting or settlement of an Award, or Shares owned by a Grantee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124460</wp:posOffset>
            </wp:positionV>
            <wp:extent cx="718693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23"/>
          </w:cols>
          <w:pgMar w:left="317" w:top="127" w:right="359" w:bottom="1440" w:gutter="0" w:footer="0" w:header="0"/>
        </w:sectPr>
      </w:pPr>
    </w:p>
    <w:bookmarkStart w:id="55" w:name="page56"/>
    <w:bookmarkEnd w:id="55"/>
    <w:p>
      <w:pPr>
        <w:ind w:right="100"/>
        <w:spacing w:after="0" w:line="262" w:lineRule="auto"/>
        <w:rPr>
          <w:sz w:val="20"/>
          <w:szCs w:val="20"/>
          <w:color w:val="auto"/>
        </w:rPr>
      </w:pPr>
      <w:r>
        <w:rPr>
          <w:rFonts w:ascii="Arial" w:cs="Arial" w:eastAsia="Arial" w:hAnsi="Arial"/>
          <w:sz w:val="16"/>
          <w:szCs w:val="16"/>
          <w:color w:val="auto"/>
        </w:rPr>
        <w:t xml:space="preserve">are not subject to any pledge or other security interest) are surrendered or tendered to the Company in payment of the Option Price or Purchase Price of an Award or any taxes required to be withheld in respect of an Award, in each case, in accordance with the terms and conditions of the Plan and any applicable Award Agreement, such surrendered or tendered Shares shall again be available for the grant of Awards. For a stock-settled SAR, only the net Shares actually issued upon exercise of the SAR shall be counted against the limit in </w:t>
      </w:r>
      <w:r>
        <w:rPr>
          <w:rFonts w:ascii="Arial" w:cs="Arial" w:eastAsia="Arial" w:hAnsi="Arial"/>
          <w:sz w:val="16"/>
          <w:szCs w:val="16"/>
          <w:b w:val="1"/>
          <w:bCs w:val="1"/>
          <w:color w:val="auto"/>
        </w:rPr>
        <w:t>Section 4.1</w:t>
      </w:r>
      <w:r>
        <w:rPr>
          <w:rFonts w:ascii="Arial" w:cs="Arial" w:eastAsia="Arial" w:hAnsi="Arial"/>
          <w:sz w:val="16"/>
          <w:szCs w:val="16"/>
          <w:color w:val="auto"/>
        </w:rPr>
        <w:t>.</w:t>
      </w:r>
    </w:p>
    <w:p>
      <w:pPr>
        <w:spacing w:after="0" w:line="162" w:lineRule="exact"/>
        <w:rPr>
          <w:sz w:val="20"/>
          <w:szCs w:val="20"/>
          <w:color w:val="auto"/>
        </w:rPr>
      </w:pPr>
    </w:p>
    <w:p>
      <w:pPr>
        <w:ind w:left="1720"/>
        <w:spacing w:after="0"/>
        <w:tabs>
          <w:tab w:leader="none" w:pos="2620" w:val="left"/>
        </w:tabs>
        <w:rPr>
          <w:sz w:val="20"/>
          <w:szCs w:val="20"/>
          <w:color w:val="auto"/>
        </w:rPr>
      </w:pPr>
      <w:r>
        <w:rPr>
          <w:rFonts w:ascii="Arial" w:cs="Arial" w:eastAsia="Arial" w:hAnsi="Arial"/>
          <w:sz w:val="16"/>
          <w:szCs w:val="16"/>
          <w:b w:val="1"/>
          <w:bCs w:val="1"/>
          <w:color w:val="010000"/>
        </w:rPr>
        <w:t>4.2.5</w:t>
      </w:r>
      <w:r>
        <w:rPr>
          <w:sz w:val="20"/>
          <w:szCs w:val="20"/>
          <w:color w:val="auto"/>
        </w:rPr>
        <w:tab/>
      </w:r>
      <w:r>
        <w:rPr>
          <w:rFonts w:ascii="Arial" w:cs="Arial" w:eastAsia="Arial" w:hAnsi="Arial"/>
          <w:sz w:val="14"/>
          <w:szCs w:val="14"/>
          <w:b w:val="1"/>
          <w:bCs w:val="1"/>
          <w:color w:val="auto"/>
        </w:rPr>
        <w:t>Substitute Awards</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Substitute Awards shall not be counted against the number of Shares reserved under the Plan.</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00" w:type="dxa"/>
            <w:vAlign w:val="bottom"/>
          </w:tcPr>
          <w:p>
            <w:pPr>
              <w:jc w:val="right"/>
              <w:ind w:right="219"/>
              <w:spacing w:after="0"/>
              <w:rPr>
                <w:sz w:val="20"/>
                <w:szCs w:val="20"/>
                <w:color w:val="auto"/>
              </w:rPr>
            </w:pPr>
            <w:r>
              <w:rPr>
                <w:rFonts w:ascii="Arial" w:cs="Arial" w:eastAsia="Arial" w:hAnsi="Arial"/>
                <w:sz w:val="16"/>
                <w:szCs w:val="16"/>
                <w:b w:val="1"/>
                <w:bCs w:val="1"/>
                <w:color w:val="010000"/>
                <w:w w:val="80"/>
              </w:rPr>
              <w:t>4.3</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Award Limits</w:t>
            </w:r>
          </w:p>
        </w:tc>
        <w:tc>
          <w:tcPr>
            <w:tcW w:w="1660" w:type="dxa"/>
            <w:vAlign w:val="bottom"/>
          </w:tcPr>
          <w:p>
            <w:pPr>
              <w:spacing w:after="0"/>
              <w:rPr>
                <w:sz w:val="18"/>
                <w:szCs w:val="18"/>
                <w:color w:val="auto"/>
              </w:rPr>
            </w:pPr>
          </w:p>
        </w:tc>
      </w:tr>
      <w:tr>
        <w:trPr>
          <w:trHeight w:val="388"/>
        </w:trPr>
        <w:tc>
          <w:tcPr>
            <w:tcW w:w="500" w:type="dxa"/>
            <w:vAlign w:val="bottom"/>
          </w:tcPr>
          <w:p>
            <w:pPr>
              <w:spacing w:after="0"/>
              <w:rPr>
                <w:sz w:val="24"/>
                <w:szCs w:val="24"/>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010000"/>
              </w:rPr>
              <w:t>4.3.1</w:t>
            </w:r>
          </w:p>
        </w:tc>
        <w:tc>
          <w:tcPr>
            <w:tcW w:w="1660" w:type="dxa"/>
            <w:vAlign w:val="bottom"/>
          </w:tcPr>
          <w:p>
            <w:pPr>
              <w:ind w:left="20"/>
              <w:spacing w:after="0"/>
              <w:rPr>
                <w:sz w:val="20"/>
                <w:szCs w:val="20"/>
                <w:color w:val="auto"/>
              </w:rPr>
            </w:pPr>
            <w:r>
              <w:rPr>
                <w:rFonts w:ascii="Arial" w:cs="Arial" w:eastAsia="Arial" w:hAnsi="Arial"/>
                <w:sz w:val="16"/>
                <w:szCs w:val="16"/>
                <w:b w:val="1"/>
                <w:bCs w:val="1"/>
                <w:color w:val="auto"/>
                <w:w w:val="88"/>
              </w:rPr>
              <w:t>Incentive Stock Options</w:t>
            </w:r>
          </w:p>
        </w:tc>
      </w:tr>
    </w:tbl>
    <w:p>
      <w:pPr>
        <w:spacing w:after="0" w:line="17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Subject to adjustment under </w:t>
      </w:r>
      <w:r>
        <w:rPr>
          <w:rFonts w:ascii="Arial" w:cs="Arial" w:eastAsia="Arial" w:hAnsi="Arial"/>
          <w:sz w:val="14"/>
          <w:szCs w:val="14"/>
          <w:b w:val="1"/>
          <w:bCs w:val="1"/>
          <w:color w:val="auto"/>
        </w:rPr>
        <w:t>Section 15</w:t>
      </w:r>
      <w:r>
        <w:rPr>
          <w:rFonts w:ascii="Arial" w:cs="Arial" w:eastAsia="Arial" w:hAnsi="Arial"/>
          <w:sz w:val="14"/>
          <w:szCs w:val="14"/>
          <w:color w:val="auto"/>
        </w:rPr>
        <w:t>, 7,285,967 Shares available for issuance under the Plan shall be available for issuance as Incentive Stock Options.</w:t>
      </w:r>
    </w:p>
    <w:p>
      <w:pPr>
        <w:spacing w:after="0" w:line="227" w:lineRule="exact"/>
        <w:rPr>
          <w:sz w:val="20"/>
          <w:szCs w:val="20"/>
          <w:color w:val="auto"/>
        </w:rPr>
      </w:pPr>
    </w:p>
    <w:p>
      <w:pPr>
        <w:ind w:left="1720"/>
        <w:spacing w:after="0"/>
        <w:tabs>
          <w:tab w:leader="none" w:pos="2620" w:val="left"/>
        </w:tabs>
        <w:rPr>
          <w:sz w:val="20"/>
          <w:szCs w:val="20"/>
          <w:color w:val="auto"/>
        </w:rPr>
      </w:pPr>
      <w:r>
        <w:rPr>
          <w:rFonts w:ascii="Arial" w:cs="Arial" w:eastAsia="Arial" w:hAnsi="Arial"/>
          <w:sz w:val="16"/>
          <w:szCs w:val="16"/>
          <w:b w:val="1"/>
          <w:bCs w:val="1"/>
          <w:color w:val="010000"/>
        </w:rPr>
        <w:t>4.3.2</w:t>
      </w:r>
      <w:r>
        <w:rPr>
          <w:sz w:val="20"/>
          <w:szCs w:val="20"/>
          <w:color w:val="auto"/>
        </w:rPr>
        <w:tab/>
      </w:r>
      <w:r>
        <w:rPr>
          <w:rFonts w:ascii="Arial" w:cs="Arial" w:eastAsia="Arial" w:hAnsi="Arial"/>
          <w:sz w:val="14"/>
          <w:szCs w:val="14"/>
          <w:b w:val="1"/>
          <w:bCs w:val="1"/>
          <w:color w:val="auto"/>
        </w:rPr>
        <w:t>Individual Award Limits for Section 162(m) - Share-Based Awards</w:t>
      </w:r>
    </w:p>
    <w:p>
      <w:pPr>
        <w:spacing w:after="0" w:line="204" w:lineRule="exact"/>
        <w:rPr>
          <w:sz w:val="20"/>
          <w:szCs w:val="20"/>
          <w:color w:val="auto"/>
        </w:rPr>
      </w:pPr>
    </w:p>
    <w:p>
      <w:pPr>
        <w:jc w:val="both"/>
        <w:ind w:right="320" w:firstLine="865"/>
        <w:spacing w:after="0" w:line="264" w:lineRule="auto"/>
        <w:rPr>
          <w:sz w:val="20"/>
          <w:szCs w:val="20"/>
          <w:color w:val="auto"/>
        </w:rPr>
      </w:pPr>
      <w:r>
        <w:rPr>
          <w:rFonts w:ascii="Arial" w:cs="Arial" w:eastAsia="Arial" w:hAnsi="Arial"/>
          <w:sz w:val="16"/>
          <w:szCs w:val="16"/>
          <w:color w:val="auto"/>
        </w:rPr>
        <w:t xml:space="preserve">Subject to adjustment under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 the maximum number of each type of Award (other than cash-based Performance Awards) intended to qualify as “performance-based compensation” under Section 162(m) granted to any Grantee in any calendar year shall not exceed the following number of Shares: (i) Options and SARs: 2,000,000 Shares; and (ii) all share-based Performance Awards (including Restricted Stock, RSUs and Other Share-based Awards that are Performance Awards): 2,000,000 Shares.</w:t>
      </w:r>
    </w:p>
    <w:p>
      <w:pPr>
        <w:spacing w:after="0" w:line="160" w:lineRule="exact"/>
        <w:rPr>
          <w:sz w:val="20"/>
          <w:szCs w:val="20"/>
          <w:color w:val="auto"/>
        </w:rPr>
      </w:pPr>
    </w:p>
    <w:p>
      <w:pPr>
        <w:ind w:left="1720"/>
        <w:spacing w:after="0"/>
        <w:tabs>
          <w:tab w:leader="none" w:pos="2620" w:val="left"/>
        </w:tabs>
        <w:rPr>
          <w:sz w:val="20"/>
          <w:szCs w:val="20"/>
          <w:color w:val="auto"/>
        </w:rPr>
      </w:pPr>
      <w:r>
        <w:rPr>
          <w:rFonts w:ascii="Arial" w:cs="Arial" w:eastAsia="Arial" w:hAnsi="Arial"/>
          <w:sz w:val="16"/>
          <w:szCs w:val="16"/>
          <w:b w:val="1"/>
          <w:bCs w:val="1"/>
          <w:color w:val="010000"/>
        </w:rPr>
        <w:t>4.3.3</w:t>
      </w:r>
      <w:r>
        <w:rPr>
          <w:sz w:val="20"/>
          <w:szCs w:val="20"/>
          <w:color w:val="auto"/>
        </w:rPr>
        <w:tab/>
      </w:r>
      <w:r>
        <w:rPr>
          <w:rFonts w:ascii="Arial" w:cs="Arial" w:eastAsia="Arial" w:hAnsi="Arial"/>
          <w:sz w:val="14"/>
          <w:szCs w:val="14"/>
          <w:b w:val="1"/>
          <w:bCs w:val="1"/>
          <w:color w:val="auto"/>
        </w:rPr>
        <w:t>Individual Award Limits for Section 162(m) - Cash-Based Awards</w:t>
      </w:r>
    </w:p>
    <w:p>
      <w:pPr>
        <w:spacing w:after="0" w:line="208" w:lineRule="exact"/>
        <w:rPr>
          <w:sz w:val="20"/>
          <w:szCs w:val="20"/>
          <w:color w:val="auto"/>
        </w:rPr>
      </w:pPr>
    </w:p>
    <w:p>
      <w:pPr>
        <w:jc w:val="both"/>
        <w:ind w:right="320" w:firstLine="865"/>
        <w:spacing w:after="0" w:line="355" w:lineRule="auto"/>
        <w:rPr>
          <w:sz w:val="20"/>
          <w:szCs w:val="20"/>
          <w:color w:val="auto"/>
        </w:rPr>
      </w:pPr>
      <w:r>
        <w:rPr>
          <w:rFonts w:ascii="Arial" w:cs="Arial" w:eastAsia="Arial" w:hAnsi="Arial"/>
          <w:sz w:val="14"/>
          <w:szCs w:val="14"/>
          <w:color w:val="auto"/>
        </w:rPr>
        <w:t>The maximum amount of cash-based Performance Awards intended to constitute “performance-based compensation” under Section 162(m) granted to any Grantee in any calendar year shall not exceed the following: (i) Annual Incentive Awards: $1.0 million; and (ii) all other cash-based Performance Awards: $1.0 million.</w:t>
      </w:r>
    </w:p>
    <w:p>
      <w:pPr>
        <w:spacing w:after="0" w:line="101" w:lineRule="exact"/>
        <w:rPr>
          <w:sz w:val="20"/>
          <w:szCs w:val="20"/>
          <w:color w:val="auto"/>
        </w:rPr>
      </w:pPr>
    </w:p>
    <w:p>
      <w:pPr>
        <w:ind w:left="1720"/>
        <w:spacing w:after="0"/>
        <w:tabs>
          <w:tab w:leader="none" w:pos="2620" w:val="left"/>
        </w:tabs>
        <w:rPr>
          <w:sz w:val="20"/>
          <w:szCs w:val="20"/>
          <w:color w:val="auto"/>
        </w:rPr>
      </w:pPr>
      <w:r>
        <w:rPr>
          <w:rFonts w:ascii="Arial" w:cs="Arial" w:eastAsia="Arial" w:hAnsi="Arial"/>
          <w:sz w:val="16"/>
          <w:szCs w:val="16"/>
          <w:b w:val="1"/>
          <w:bCs w:val="1"/>
          <w:color w:val="010000"/>
        </w:rPr>
        <w:t>4.3.4</w:t>
      </w:r>
      <w:r>
        <w:rPr>
          <w:sz w:val="20"/>
          <w:szCs w:val="20"/>
          <w:color w:val="auto"/>
        </w:rPr>
        <w:tab/>
      </w:r>
      <w:r>
        <w:rPr>
          <w:rFonts w:ascii="Arial" w:cs="Arial" w:eastAsia="Arial" w:hAnsi="Arial"/>
          <w:sz w:val="14"/>
          <w:szCs w:val="14"/>
          <w:b w:val="1"/>
          <w:bCs w:val="1"/>
          <w:color w:val="auto"/>
        </w:rPr>
        <w:t>Limits on Awards to Non-Employee Directors</w:t>
      </w:r>
    </w:p>
    <w:p>
      <w:pPr>
        <w:spacing w:after="0" w:line="208" w:lineRule="exact"/>
        <w:rPr>
          <w:sz w:val="20"/>
          <w:szCs w:val="20"/>
          <w:color w:val="auto"/>
        </w:rPr>
      </w:pPr>
    </w:p>
    <w:p>
      <w:pPr>
        <w:ind w:firstLine="865"/>
        <w:spacing w:after="0" w:line="276" w:lineRule="auto"/>
        <w:rPr>
          <w:sz w:val="20"/>
          <w:szCs w:val="20"/>
          <w:color w:val="auto"/>
        </w:rPr>
      </w:pPr>
      <w:r>
        <w:rPr>
          <w:rFonts w:ascii="Arial" w:cs="Arial" w:eastAsia="Arial" w:hAnsi="Arial"/>
          <w:sz w:val="15"/>
          <w:szCs w:val="15"/>
          <w:color w:val="auto"/>
        </w:rPr>
        <w:t xml:space="preserve">The maximum value of Awards granted during any calendar year to any Non-Employee Director, taken together with any cash fees paid to such Non-Employee Director during the calendar year and the value of awards granted to the Non-Employee Director under any other equity compensation plan of the Company or an Affiliate during the calendar year, shall not exceed the following in total value: (i) $500,000 for the Chair of the Board and (ii) $300,000 for each Non-Employee Director other than the Chair of the Board;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 that awards granted to Non-Employee Directors upon their initial election to the Board or the board of directors of an Affiliate shall not be counted towards the limit under this </w:t>
      </w:r>
      <w:r>
        <w:rPr>
          <w:rFonts w:ascii="Arial" w:cs="Arial" w:eastAsia="Arial" w:hAnsi="Arial"/>
          <w:sz w:val="15"/>
          <w:szCs w:val="15"/>
          <w:b w:val="1"/>
          <w:bCs w:val="1"/>
          <w:color w:val="auto"/>
        </w:rPr>
        <w:t>Section 4.3.4</w:t>
      </w:r>
      <w:r>
        <w:rPr>
          <w:rFonts w:ascii="Arial" w:cs="Arial" w:eastAsia="Arial" w:hAnsi="Arial"/>
          <w:sz w:val="15"/>
          <w:szCs w:val="15"/>
          <w:color w:val="auto"/>
        </w:rPr>
        <w:t xml:space="preserve"> . Any Awards or other equity compensation plan awards that are scheduled to vest over a period of more than one calendar year shall be applied pro rata for purposes of the limit under this </w:t>
      </w:r>
      <w:r>
        <w:rPr>
          <w:rFonts w:ascii="Arial" w:cs="Arial" w:eastAsia="Arial" w:hAnsi="Arial"/>
          <w:sz w:val="15"/>
          <w:szCs w:val="15"/>
          <w:b w:val="1"/>
          <w:bCs w:val="1"/>
          <w:color w:val="auto"/>
        </w:rPr>
        <w:t>Section 4.3.4</w:t>
      </w:r>
      <w:r>
        <w:rPr>
          <w:rFonts w:ascii="Arial" w:cs="Arial" w:eastAsia="Arial" w:hAnsi="Arial"/>
          <w:sz w:val="15"/>
          <w:szCs w:val="15"/>
          <w:color w:val="auto"/>
        </w:rPr>
        <w:t xml:space="preserve"> based on the number of years over which such awards are scheduled to vest. For purposes of this </w:t>
      </w:r>
      <w:r>
        <w:rPr>
          <w:rFonts w:ascii="Arial" w:cs="Arial" w:eastAsia="Arial" w:hAnsi="Arial"/>
          <w:sz w:val="15"/>
          <w:szCs w:val="15"/>
          <w:b w:val="1"/>
          <w:bCs w:val="1"/>
          <w:color w:val="auto"/>
        </w:rPr>
        <w:t>Section 4.3.4</w:t>
      </w:r>
      <w:r>
        <w:rPr>
          <w:rFonts w:ascii="Arial" w:cs="Arial" w:eastAsia="Arial" w:hAnsi="Arial"/>
          <w:sz w:val="15"/>
          <w:szCs w:val="15"/>
          <w:color w:val="auto"/>
        </w:rPr>
        <w:t>, the value of any Awards shall be calculated based on the average of the closing trading prices of the Common Stock on the principal stock exchange for such Common Stock during the 30 consecutive trading days immediately preceding the date the Award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718693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6" w:name="page57"/>
    <w:bookmarkEnd w:id="56"/>
    <w:p>
      <w:pPr>
        <w:ind w:left="703" w:hanging="703"/>
        <w:spacing w:after="0"/>
        <w:tabs>
          <w:tab w:leader="none" w:pos="703"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EFFECTIVE DATE, DURATION AND AMENDMENTS</w:t>
      </w:r>
    </w:p>
    <w:p>
      <w:pPr>
        <w:spacing w:after="0" w:line="203" w:lineRule="exact"/>
        <w:rPr>
          <w:rFonts w:ascii="Arial" w:cs="Arial" w:eastAsia="Arial" w:hAnsi="Arial"/>
          <w:sz w:val="16"/>
          <w:szCs w:val="16"/>
          <w:b w:val="1"/>
          <w:bCs w:val="1"/>
          <w:color w:val="auto"/>
        </w:rPr>
      </w:pPr>
    </w:p>
    <w:p>
      <w:pPr>
        <w:ind w:left="863"/>
        <w:spacing w:after="0"/>
        <w:rPr>
          <w:rFonts w:ascii="Arial" w:cs="Arial" w:eastAsia="Arial" w:hAnsi="Arial"/>
          <w:sz w:val="16"/>
          <w:szCs w:val="16"/>
          <w:b w:val="1"/>
          <w:bCs w:val="1"/>
          <w:color w:val="auto"/>
        </w:rPr>
      </w:pPr>
      <w:r>
        <w:rPr>
          <w:rFonts w:ascii="Arial" w:cs="Arial" w:eastAsia="Arial" w:hAnsi="Arial"/>
          <w:sz w:val="16"/>
          <w:szCs w:val="16"/>
          <w:b w:val="1"/>
          <w:bCs w:val="1"/>
          <w:color w:val="010000"/>
        </w:rPr>
        <w:t>5.1</w:t>
      </w:r>
      <w:r>
        <w:rPr>
          <w:rFonts w:ascii="Arial" w:cs="Arial" w:eastAsia="Arial" w:hAnsi="Arial"/>
          <w:sz w:val="15"/>
          <w:szCs w:val="15"/>
          <w:b w:val="1"/>
          <w:bCs w:val="1"/>
          <w:color w:val="auto"/>
        </w:rPr>
        <w:t>Term</w:t>
      </w:r>
    </w:p>
    <w:p>
      <w:pPr>
        <w:spacing w:after="0" w:line="208" w:lineRule="exact"/>
        <w:rPr>
          <w:sz w:val="20"/>
          <w:szCs w:val="20"/>
          <w:color w:val="auto"/>
        </w:rPr>
      </w:pPr>
    </w:p>
    <w:p>
      <w:pPr>
        <w:ind w:left="3" w:right="100" w:firstLine="865"/>
        <w:spacing w:after="0" w:line="281" w:lineRule="auto"/>
        <w:rPr>
          <w:sz w:val="20"/>
          <w:szCs w:val="20"/>
          <w:color w:val="auto"/>
        </w:rPr>
      </w:pPr>
      <w:r>
        <w:rPr>
          <w:rFonts w:ascii="Arial" w:cs="Arial" w:eastAsia="Arial" w:hAnsi="Arial"/>
          <w:sz w:val="16"/>
          <w:szCs w:val="16"/>
          <w:color w:val="auto"/>
        </w:rPr>
        <w:t xml:space="preserve">The Plan shall be effective as of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has been approved by the Stockholders. The Plan shall terminate automatically on May 16, 2028 and may be terminated on any earlier date as provided in </w:t>
      </w:r>
      <w:r>
        <w:rPr>
          <w:rFonts w:ascii="Arial" w:cs="Arial" w:eastAsia="Arial" w:hAnsi="Arial"/>
          <w:sz w:val="16"/>
          <w:szCs w:val="16"/>
          <w:b w:val="1"/>
          <w:bCs w:val="1"/>
          <w:color w:val="auto"/>
        </w:rPr>
        <w:t>Section 5.2</w:t>
      </w:r>
      <w:r>
        <w:rPr>
          <w:rFonts w:ascii="Arial" w:cs="Arial" w:eastAsia="Arial" w:hAnsi="Arial"/>
          <w:sz w:val="16"/>
          <w:szCs w:val="16"/>
          <w:color w:val="auto"/>
        </w:rPr>
        <w:t>.</w:t>
      </w:r>
    </w:p>
    <w:p>
      <w:pPr>
        <w:spacing w:after="0" w:line="14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5.2</w:t>
      </w:r>
      <w:r>
        <w:rPr>
          <w:sz w:val="20"/>
          <w:szCs w:val="20"/>
          <w:color w:val="auto"/>
        </w:rPr>
        <w:tab/>
      </w:r>
      <w:r>
        <w:rPr>
          <w:rFonts w:ascii="Arial" w:cs="Arial" w:eastAsia="Arial" w:hAnsi="Arial"/>
          <w:sz w:val="14"/>
          <w:szCs w:val="14"/>
          <w:b w:val="1"/>
          <w:bCs w:val="1"/>
          <w:color w:val="auto"/>
        </w:rPr>
        <w:t>Amendment and Termination of the Plan</w:t>
      </w:r>
    </w:p>
    <w:p>
      <w:pPr>
        <w:spacing w:after="0" w:line="208" w:lineRule="exact"/>
        <w:rPr>
          <w:sz w:val="20"/>
          <w:szCs w:val="20"/>
          <w:color w:val="auto"/>
        </w:rPr>
      </w:pPr>
    </w:p>
    <w:p>
      <w:pPr>
        <w:ind w:left="3" w:firstLine="865"/>
        <w:spacing w:after="0" w:line="281" w:lineRule="auto"/>
        <w:rPr>
          <w:sz w:val="20"/>
          <w:szCs w:val="20"/>
          <w:color w:val="auto"/>
        </w:rPr>
      </w:pPr>
      <w:r>
        <w:rPr>
          <w:rFonts w:ascii="Arial" w:cs="Arial" w:eastAsia="Arial" w:hAnsi="Arial"/>
          <w:sz w:val="15"/>
          <w:szCs w:val="15"/>
          <w:color w:val="auto"/>
        </w:rPr>
        <w:t>The Board may, at any time and from time to time, amend, suspend or terminate the Plan as to any Awards that have not been made. An amendment shall be contingent on approval of the Stockholders to the extent stated by the Board, required by applicable law or required by applicable securities exchange listing requirements. No Awards shall be made after the Termination Date. The applicable terms and conditions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w:t>
      </w:r>
    </w:p>
    <w:p>
      <w:pPr>
        <w:spacing w:after="0" w:line="149" w:lineRule="exact"/>
        <w:rPr>
          <w:sz w:val="20"/>
          <w:szCs w:val="20"/>
          <w:color w:val="auto"/>
        </w:rPr>
      </w:pPr>
    </w:p>
    <w:p>
      <w:pPr>
        <w:ind w:left="703" w:hanging="703"/>
        <w:spacing w:after="0"/>
        <w:tabs>
          <w:tab w:leader="none" w:pos="70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AWARD ELIGIBILITY AND LIMITATIONS</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6.1</w:t>
      </w:r>
      <w:r>
        <w:rPr>
          <w:sz w:val="20"/>
          <w:szCs w:val="20"/>
          <w:color w:val="auto"/>
        </w:rPr>
        <w:tab/>
      </w:r>
      <w:r>
        <w:rPr>
          <w:rFonts w:ascii="Arial" w:cs="Arial" w:eastAsia="Arial" w:hAnsi="Arial"/>
          <w:sz w:val="14"/>
          <w:szCs w:val="14"/>
          <w:b w:val="1"/>
          <w:bCs w:val="1"/>
          <w:color w:val="auto"/>
        </w:rPr>
        <w:t>Service Providers</w:t>
      </w:r>
    </w:p>
    <w:p>
      <w:pPr>
        <w:spacing w:after="0" w:line="20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 xml:space="preserve">Subject to this </w:t>
      </w:r>
      <w:r>
        <w:rPr>
          <w:rFonts w:ascii="Arial" w:cs="Arial" w:eastAsia="Arial" w:hAnsi="Arial"/>
          <w:sz w:val="16"/>
          <w:szCs w:val="16"/>
          <w:b w:val="1"/>
          <w:bCs w:val="1"/>
          <w:color w:val="auto"/>
        </w:rPr>
        <w:t>Section 6.1</w:t>
      </w:r>
      <w:r>
        <w:rPr>
          <w:rFonts w:ascii="Arial" w:cs="Arial" w:eastAsia="Arial" w:hAnsi="Arial"/>
          <w:sz w:val="16"/>
          <w:szCs w:val="16"/>
          <w:color w:val="auto"/>
        </w:rPr>
        <w:t>, Awards may be made to any Service Provider as the Committee may determine and designate from time to time.</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6.2</w:t>
      </w:r>
      <w:r>
        <w:rPr>
          <w:sz w:val="20"/>
          <w:szCs w:val="20"/>
          <w:color w:val="auto"/>
        </w:rPr>
        <w:tab/>
      </w:r>
      <w:r>
        <w:rPr>
          <w:rFonts w:ascii="Arial" w:cs="Arial" w:eastAsia="Arial" w:hAnsi="Arial"/>
          <w:sz w:val="13"/>
          <w:szCs w:val="13"/>
          <w:b w:val="1"/>
          <w:bCs w:val="1"/>
          <w:color w:val="auto"/>
        </w:rPr>
        <w:t>Successive Awards</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An eligible person may receive more than one Award, subject to such restrictions as are provided herein.</w:t>
      </w:r>
    </w:p>
    <w:p>
      <w:pPr>
        <w:spacing w:after="0" w:line="200"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6.3</w:t>
      </w:r>
      <w:r>
        <w:rPr>
          <w:sz w:val="20"/>
          <w:szCs w:val="20"/>
          <w:color w:val="auto"/>
        </w:rPr>
        <w:tab/>
      </w:r>
      <w:r>
        <w:rPr>
          <w:rFonts w:ascii="Arial" w:cs="Arial" w:eastAsia="Arial" w:hAnsi="Arial"/>
          <w:sz w:val="14"/>
          <w:szCs w:val="14"/>
          <w:b w:val="1"/>
          <w:bCs w:val="1"/>
          <w:color w:val="auto"/>
        </w:rPr>
        <w:t>Stand-Alone, Additional, Tandem, and Substitute Awards</w:t>
      </w:r>
    </w:p>
    <w:p>
      <w:pPr>
        <w:spacing w:after="0" w:line="208" w:lineRule="exact"/>
        <w:rPr>
          <w:sz w:val="20"/>
          <w:szCs w:val="20"/>
          <w:color w:val="auto"/>
        </w:rPr>
      </w:pPr>
    </w:p>
    <w:p>
      <w:pPr>
        <w:ind w:left="3" w:firstLine="865"/>
        <w:spacing w:after="0" w:line="300" w:lineRule="auto"/>
        <w:rPr>
          <w:sz w:val="20"/>
          <w:szCs w:val="20"/>
          <w:color w:val="auto"/>
        </w:rPr>
      </w:pPr>
      <w:r>
        <w:rPr>
          <w:rFonts w:ascii="Arial" w:cs="Arial" w:eastAsia="Arial" w:hAnsi="Arial"/>
          <w:sz w:val="14"/>
          <w:szCs w:val="14"/>
          <w:color w:val="auto"/>
        </w:rPr>
        <w:t>Awards may be granted either alone or in addition to, in tandem with or in substitution or exchange for, any other Award or any award granted under another plan of the Company, any Affiliate or any business entity to be acquired by the Company or an Affiliate, or any other right of a Grantee to receive payment from the Company or any Affiliate. Such additional, tandem or substitute or exchange Awards may be granted at any time. If an Award is granted in substitution or exchange for another award, the Committee shall have the right to require the surrender of such other award in consideration for the grant of the new Award. Subject to the requirements of applicable law, the Committee may make Awards in substitution or exchange for any other award under another plan of the Company, any Affiliate or any business entity to be acquired by the Company or an Affiliate. In addition, Awards may be granted in lieu of cash compensation, including in lieu of cash amounts payable under other plans of the Company or any Affiliate, in which the value of Shares subject to the Award is equivalent in value to the cash compensation (for example, RSUs or Restricted Stock).</w:t>
      </w:r>
    </w:p>
    <w:p>
      <w:pPr>
        <w:spacing w:after="0" w:line="138" w:lineRule="exact"/>
        <w:rPr>
          <w:sz w:val="20"/>
          <w:szCs w:val="20"/>
          <w:color w:val="auto"/>
        </w:rPr>
      </w:pPr>
    </w:p>
    <w:p>
      <w:pPr>
        <w:ind w:left="703" w:hanging="703"/>
        <w:spacing w:after="0"/>
        <w:tabs>
          <w:tab w:leader="none" w:pos="703"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AWARD AGREEMENT</w:t>
      </w:r>
    </w:p>
    <w:p>
      <w:pPr>
        <w:spacing w:after="0" w:line="208" w:lineRule="exact"/>
        <w:rPr>
          <w:sz w:val="20"/>
          <w:szCs w:val="20"/>
          <w:color w:val="auto"/>
        </w:rPr>
      </w:pPr>
    </w:p>
    <w:p>
      <w:pPr>
        <w:ind w:left="3" w:right="100" w:firstLine="865"/>
        <w:spacing w:after="0" w:line="305" w:lineRule="auto"/>
        <w:rPr>
          <w:sz w:val="20"/>
          <w:szCs w:val="20"/>
          <w:color w:val="auto"/>
        </w:rPr>
      </w:pPr>
      <w:r>
        <w:rPr>
          <w:rFonts w:ascii="Arial" w:cs="Arial" w:eastAsia="Arial" w:hAnsi="Arial"/>
          <w:sz w:val="14"/>
          <w:szCs w:val="14"/>
          <w:color w:val="auto"/>
        </w:rPr>
        <w:t>The grant of any Award may be contingent upon the Grantee executing an appropriate Award Agreement, in such form or forms as the Committee shall from time to time determine. Without limiting the foregoing, an Award Agreement may be provided in the form of a notice that provides that acceptance of the Award constitutes acceptance of all terms and conditions of the Plan and the notice. Award Agreements granted from time to time or at the same time need not contain similar provisions but shall be consistent with the terms and conditions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84455</wp:posOffset>
            </wp:positionV>
            <wp:extent cx="718693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23"/>
          </w:cols>
          <w:pgMar w:left="317" w:top="317" w:right="359" w:bottom="1440" w:gutter="0" w:footer="0" w:header="0"/>
        </w:sectPr>
      </w:pPr>
    </w:p>
    <w:bookmarkStart w:id="57" w:name="page58"/>
    <w:bookmarkEnd w:id="57"/>
    <w:p>
      <w:pPr>
        <w:ind w:left="703" w:hanging="703"/>
        <w:spacing w:after="0"/>
        <w:tabs>
          <w:tab w:leader="none" w:pos="703"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TERMS AND CONDITIONS OF OPTIONS</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8.1</w:t>
      </w:r>
      <w:r>
        <w:rPr>
          <w:sz w:val="20"/>
          <w:szCs w:val="20"/>
          <w:color w:val="auto"/>
        </w:rPr>
        <w:tab/>
      </w:r>
      <w:r>
        <w:rPr>
          <w:rFonts w:ascii="Arial" w:cs="Arial" w:eastAsia="Arial" w:hAnsi="Arial"/>
          <w:sz w:val="14"/>
          <w:szCs w:val="14"/>
          <w:b w:val="1"/>
          <w:bCs w:val="1"/>
          <w:color w:val="auto"/>
        </w:rPr>
        <w:t>Option Price</w:t>
      </w:r>
    </w:p>
    <w:p>
      <w:pPr>
        <w:spacing w:after="0" w:line="208" w:lineRule="exact"/>
        <w:rPr>
          <w:sz w:val="20"/>
          <w:szCs w:val="20"/>
          <w:color w:val="auto"/>
        </w:rPr>
      </w:pPr>
    </w:p>
    <w:p>
      <w:pPr>
        <w:ind w:left="3" w:firstLine="865"/>
        <w:spacing w:after="0" w:line="262" w:lineRule="auto"/>
        <w:rPr>
          <w:sz w:val="20"/>
          <w:szCs w:val="20"/>
          <w:color w:val="auto"/>
        </w:rPr>
      </w:pPr>
      <w:r>
        <w:rPr>
          <w:rFonts w:ascii="Arial" w:cs="Arial" w:eastAsia="Arial" w:hAnsi="Arial"/>
          <w:sz w:val="16"/>
          <w:szCs w:val="16"/>
          <w:color w:val="auto"/>
        </w:rPr>
        <w:t xml:space="preserve">The Option Price of each Option shall be fixed by the Committee and stated in the related Award Agreement. The Option Price of each Option (except those that constitute Substitute Awards) shall be at least the Fair Market Value on the Grant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in the event that a Grantee is a Ten Percent Stockholder as of the Grant Date, the Option Price of an Option granted to such Grantee that is intended to be an Incentive Stock Option shall be not less than 110% of the Fair Market Value on the Grant Date. In no case shall the Option Price of any Option be less than the par value of a Share.</w:t>
      </w:r>
    </w:p>
    <w:p>
      <w:pPr>
        <w:spacing w:after="0" w:line="162"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8.2</w:t>
      </w:r>
      <w:r>
        <w:rPr>
          <w:sz w:val="20"/>
          <w:szCs w:val="20"/>
          <w:color w:val="auto"/>
        </w:rPr>
        <w:tab/>
      </w:r>
      <w:r>
        <w:rPr>
          <w:rFonts w:ascii="Arial" w:cs="Arial" w:eastAsia="Arial" w:hAnsi="Arial"/>
          <w:sz w:val="14"/>
          <w:szCs w:val="14"/>
          <w:b w:val="1"/>
          <w:bCs w:val="1"/>
          <w:color w:val="auto"/>
        </w:rPr>
        <w:t>Vesting</w:t>
      </w:r>
    </w:p>
    <w:p>
      <w:pPr>
        <w:spacing w:after="0" w:line="204" w:lineRule="exact"/>
        <w:rPr>
          <w:sz w:val="20"/>
          <w:szCs w:val="20"/>
          <w:color w:val="auto"/>
        </w:rPr>
      </w:pPr>
    </w:p>
    <w:p>
      <w:pPr>
        <w:ind w:left="3" w:right="320" w:firstLine="865"/>
        <w:spacing w:after="0" w:line="286"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Section 8.3</w:t>
      </w:r>
      <w:r>
        <w:rPr>
          <w:rFonts w:ascii="Arial" w:cs="Arial" w:eastAsia="Arial" w:hAnsi="Arial"/>
          <w:sz w:val="16"/>
          <w:szCs w:val="16"/>
          <w:color w:val="auto"/>
        </w:rPr>
        <w:t>, each Option shall become exercisable at such times and under such conditions (including performance requirements) as stated in the Award Agreement.</w:t>
      </w:r>
    </w:p>
    <w:p>
      <w:pPr>
        <w:spacing w:after="0" w:line="143"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8.3</w:t>
      </w:r>
      <w:r>
        <w:rPr>
          <w:sz w:val="20"/>
          <w:szCs w:val="20"/>
          <w:color w:val="auto"/>
        </w:rPr>
        <w:tab/>
      </w:r>
      <w:r>
        <w:rPr>
          <w:rFonts w:ascii="Arial" w:cs="Arial" w:eastAsia="Arial" w:hAnsi="Arial"/>
          <w:sz w:val="15"/>
          <w:szCs w:val="15"/>
          <w:b w:val="1"/>
          <w:bCs w:val="1"/>
          <w:color w:val="auto"/>
        </w:rPr>
        <w:t>Term</w:t>
      </w:r>
    </w:p>
    <w:p>
      <w:pPr>
        <w:spacing w:after="0" w:line="208" w:lineRule="exact"/>
        <w:rPr>
          <w:sz w:val="20"/>
          <w:szCs w:val="20"/>
          <w:color w:val="auto"/>
        </w:rPr>
      </w:pPr>
    </w:p>
    <w:p>
      <w:pPr>
        <w:ind w:left="3" w:right="160" w:firstLine="865"/>
        <w:spacing w:after="0" w:line="262" w:lineRule="auto"/>
        <w:rPr>
          <w:sz w:val="20"/>
          <w:szCs w:val="20"/>
          <w:color w:val="auto"/>
        </w:rPr>
      </w:pPr>
      <w:r>
        <w:rPr>
          <w:rFonts w:ascii="Arial" w:cs="Arial" w:eastAsia="Arial" w:hAnsi="Arial"/>
          <w:sz w:val="16"/>
          <w:szCs w:val="16"/>
          <w:color w:val="auto"/>
        </w:rPr>
        <w:t xml:space="preserve">Each Option shall terminate, and all rights to purchase Shares thereunder shall cease 10 years from the Grant Date, or under such circumstances and on such date prior thereto as is set forth in the Plan or as may be fixed by the Committee and stated in the related Award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in the event that the Grantee is a Ten Percent Stockholder, an Option granted to such Grantee that is intended to be an Incentive Stock Option at the Grant Date shall not be exercisable after the expiration of five years from its Grant Date.</w:t>
      </w:r>
    </w:p>
    <w:p>
      <w:pPr>
        <w:spacing w:after="0" w:line="162"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8.4</w:t>
      </w:r>
      <w:r>
        <w:rPr>
          <w:sz w:val="20"/>
          <w:szCs w:val="20"/>
          <w:color w:val="auto"/>
        </w:rPr>
        <w:tab/>
      </w:r>
      <w:r>
        <w:rPr>
          <w:rFonts w:ascii="Arial" w:cs="Arial" w:eastAsia="Arial" w:hAnsi="Arial"/>
          <w:sz w:val="14"/>
          <w:szCs w:val="14"/>
          <w:b w:val="1"/>
          <w:bCs w:val="1"/>
          <w:color w:val="auto"/>
        </w:rPr>
        <w:t>Limitations on Exercise of Option</w:t>
      </w:r>
    </w:p>
    <w:p>
      <w:pPr>
        <w:spacing w:after="0" w:line="208" w:lineRule="exact"/>
        <w:rPr>
          <w:sz w:val="20"/>
          <w:szCs w:val="20"/>
          <w:color w:val="auto"/>
        </w:rPr>
      </w:pPr>
    </w:p>
    <w:p>
      <w:pPr>
        <w:ind w:left="3" w:right="180" w:firstLine="865"/>
        <w:spacing w:after="0" w:line="281" w:lineRule="auto"/>
        <w:rPr>
          <w:sz w:val="20"/>
          <w:szCs w:val="20"/>
          <w:color w:val="auto"/>
        </w:rPr>
      </w:pPr>
      <w:r>
        <w:rPr>
          <w:rFonts w:ascii="Arial" w:cs="Arial" w:eastAsia="Arial" w:hAnsi="Arial"/>
          <w:sz w:val="16"/>
          <w:szCs w:val="16"/>
          <w:color w:val="auto"/>
        </w:rPr>
        <w:t>Notwithstanding any other provision of the Plan, in no event may any Option be exercised, in whole or in part, (i) prior to the date the Plan is approved by the Stockholders as provided herein or (ii) after the occurrence of an event that results in termination of the Option.</w:t>
      </w:r>
    </w:p>
    <w:p>
      <w:pPr>
        <w:spacing w:after="0" w:line="14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8.5</w:t>
      </w:r>
      <w:r>
        <w:rPr>
          <w:sz w:val="20"/>
          <w:szCs w:val="20"/>
          <w:color w:val="auto"/>
        </w:rPr>
        <w:tab/>
      </w:r>
      <w:r>
        <w:rPr>
          <w:rFonts w:ascii="Arial" w:cs="Arial" w:eastAsia="Arial" w:hAnsi="Arial"/>
          <w:sz w:val="14"/>
          <w:szCs w:val="14"/>
          <w:b w:val="1"/>
          <w:bCs w:val="1"/>
          <w:color w:val="auto"/>
        </w:rPr>
        <w:t>Method of Exercise</w:t>
      </w:r>
    </w:p>
    <w:p>
      <w:pPr>
        <w:spacing w:after="0" w:line="208" w:lineRule="exact"/>
        <w:rPr>
          <w:sz w:val="20"/>
          <w:szCs w:val="20"/>
          <w:color w:val="auto"/>
        </w:rPr>
      </w:pPr>
    </w:p>
    <w:p>
      <w:pPr>
        <w:ind w:left="3" w:right="40" w:firstLine="865"/>
        <w:spacing w:after="0" w:line="267" w:lineRule="auto"/>
        <w:rPr>
          <w:sz w:val="20"/>
          <w:szCs w:val="20"/>
          <w:color w:val="auto"/>
        </w:rPr>
      </w:pPr>
      <w:r>
        <w:rPr>
          <w:rFonts w:ascii="Arial" w:cs="Arial" w:eastAsia="Arial" w:hAnsi="Arial"/>
          <w:sz w:val="16"/>
          <w:szCs w:val="16"/>
          <w:color w:val="auto"/>
        </w:rPr>
        <w:t>An Option that is exercisable may be exercised by the Grantee’s delivery of a notice of exercise to the Company, setting forth the number of Shares with respect to which the Option is to be exercised, accompanied by full payment for the Shares. To be effective, notice of exercise must be made in accordance with procedures established by the Company from time to time.</w:t>
      </w:r>
    </w:p>
    <w:p>
      <w:pPr>
        <w:spacing w:after="0" w:line="15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8.6</w:t>
      </w:r>
      <w:r>
        <w:rPr>
          <w:sz w:val="20"/>
          <w:szCs w:val="20"/>
          <w:color w:val="auto"/>
        </w:rPr>
        <w:tab/>
      </w:r>
      <w:r>
        <w:rPr>
          <w:rFonts w:ascii="Arial" w:cs="Arial" w:eastAsia="Arial" w:hAnsi="Arial"/>
          <w:sz w:val="14"/>
          <w:szCs w:val="14"/>
          <w:b w:val="1"/>
          <w:bCs w:val="1"/>
          <w:color w:val="auto"/>
        </w:rPr>
        <w:t>Rights of Holders of Options</w:t>
      </w:r>
    </w:p>
    <w:p>
      <w:pPr>
        <w:spacing w:after="0" w:line="208" w:lineRule="exact"/>
        <w:rPr>
          <w:sz w:val="20"/>
          <w:szCs w:val="20"/>
          <w:color w:val="auto"/>
        </w:rPr>
      </w:pPr>
    </w:p>
    <w:p>
      <w:pPr>
        <w:ind w:left="3" w:firstLine="865"/>
        <w:spacing w:after="0" w:line="262" w:lineRule="auto"/>
        <w:rPr>
          <w:sz w:val="20"/>
          <w:szCs w:val="20"/>
          <w:color w:val="auto"/>
        </w:rPr>
      </w:pPr>
      <w:r>
        <w:rPr>
          <w:rFonts w:ascii="Arial" w:cs="Arial" w:eastAsia="Arial" w:hAnsi="Arial"/>
          <w:sz w:val="16"/>
          <w:szCs w:val="16"/>
          <w:color w:val="auto"/>
        </w:rPr>
        <w:t xml:space="preserve">Unless otherwise provided in the applicable Award Agreement, an individual holding or exercising an Option shall have none of the rights of a Stockholder (for example, the right to receive cash or dividend payments or distributions attributable to the subject Shares or to direct the voting of the subject Shares) until the Shares covered thereby are fully paid and issued to him. Except as provided in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or the related Award Agreement, no adjustment shall be made for dividends, distributions or other rights for which the record date is prior to the date of such issuance.</w:t>
      </w:r>
    </w:p>
    <w:p>
      <w:pPr>
        <w:spacing w:after="0" w:line="162"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8.7</w:t>
      </w:r>
      <w:r>
        <w:rPr>
          <w:sz w:val="20"/>
          <w:szCs w:val="20"/>
          <w:color w:val="auto"/>
        </w:rPr>
        <w:tab/>
      </w:r>
      <w:r>
        <w:rPr>
          <w:rFonts w:ascii="Arial" w:cs="Arial" w:eastAsia="Arial" w:hAnsi="Arial"/>
          <w:sz w:val="14"/>
          <w:szCs w:val="14"/>
          <w:b w:val="1"/>
          <w:bCs w:val="1"/>
          <w:color w:val="auto"/>
        </w:rPr>
        <w:t>Delivery of Stock Certificates</w:t>
      </w:r>
    </w:p>
    <w:p>
      <w:pPr>
        <w:spacing w:after="0" w:line="204" w:lineRule="exact"/>
        <w:rPr>
          <w:sz w:val="20"/>
          <w:szCs w:val="20"/>
          <w:color w:val="auto"/>
        </w:rPr>
      </w:pPr>
    </w:p>
    <w:p>
      <w:pPr>
        <w:ind w:left="3" w:right="200" w:firstLine="865"/>
        <w:spacing w:after="0" w:line="286"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Section 3.6</w:t>
      </w:r>
      <w:r>
        <w:rPr>
          <w:rFonts w:ascii="Arial" w:cs="Arial" w:eastAsia="Arial" w:hAnsi="Arial"/>
          <w:sz w:val="16"/>
          <w:szCs w:val="16"/>
          <w:color w:val="auto"/>
        </w:rPr>
        <w:t>, promptly after the exercise of an Option by a Grantee and the payment in full of the Option Price, such Grantee shall be entitled to the issuance of a stock certificate or certificates evidencing his or her ownership of the Shares subject to the Option.</w:t>
      </w:r>
    </w:p>
    <w:p>
      <w:pPr>
        <w:spacing w:after="0" w:line="143"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8.8</w:t>
      </w:r>
      <w:r>
        <w:rPr>
          <w:sz w:val="20"/>
          <w:szCs w:val="20"/>
          <w:color w:val="auto"/>
        </w:rPr>
        <w:tab/>
      </w:r>
      <w:r>
        <w:rPr>
          <w:rFonts w:ascii="Arial" w:cs="Arial" w:eastAsia="Arial" w:hAnsi="Arial"/>
          <w:sz w:val="14"/>
          <w:szCs w:val="14"/>
          <w:b w:val="1"/>
          <w:bCs w:val="1"/>
          <w:color w:val="auto"/>
        </w:rPr>
        <w:t>Limitations on Incentive Stock Options</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An Option shall constitute an Incentive Stock Option only (i) if the Grantee is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124460</wp:posOffset>
            </wp:positionV>
            <wp:extent cx="718693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317" w:right="339" w:bottom="1440" w:gutter="0" w:footer="0" w:header="0"/>
        </w:sectPr>
      </w:pPr>
    </w:p>
    <w:bookmarkStart w:id="58" w:name="page59"/>
    <w:bookmarkEnd w:id="58"/>
    <w:p>
      <w:pPr>
        <w:ind w:left="3" w:right="120"/>
        <w:spacing w:after="0" w:line="262" w:lineRule="auto"/>
        <w:rPr>
          <w:sz w:val="20"/>
          <w:szCs w:val="20"/>
          <w:color w:val="auto"/>
        </w:rPr>
      </w:pPr>
      <w:r>
        <w:rPr>
          <w:rFonts w:ascii="Arial" w:cs="Arial" w:eastAsia="Arial" w:hAnsi="Arial"/>
          <w:sz w:val="16"/>
          <w:szCs w:val="16"/>
          <w:color w:val="auto"/>
        </w:rPr>
        <w:t>or any Subsidiary, (ii) to the extent specifically provided in the related Award Agreement and (iii) to the extent that the aggregate Fair Market Value (determined at the time the Option is granted)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162" w:lineRule="exact"/>
        <w:rPr>
          <w:sz w:val="20"/>
          <w:szCs w:val="20"/>
          <w:color w:val="auto"/>
        </w:rPr>
      </w:pPr>
    </w:p>
    <w:p>
      <w:pPr>
        <w:ind w:left="703" w:hanging="703"/>
        <w:spacing w:after="0"/>
        <w:tabs>
          <w:tab w:leader="none" w:pos="703"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TERMS AND CONDITIONS OF STOCK APPRECIATION RIGHTS</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9.1</w:t>
      </w:r>
      <w:r>
        <w:rPr>
          <w:sz w:val="20"/>
          <w:szCs w:val="20"/>
          <w:color w:val="auto"/>
        </w:rPr>
        <w:tab/>
      </w:r>
      <w:r>
        <w:rPr>
          <w:rFonts w:ascii="Arial" w:cs="Arial" w:eastAsia="Arial" w:hAnsi="Arial"/>
          <w:sz w:val="14"/>
          <w:szCs w:val="14"/>
          <w:b w:val="1"/>
          <w:bCs w:val="1"/>
          <w:color w:val="auto"/>
        </w:rPr>
        <w:t>Right to Payment</w:t>
      </w:r>
    </w:p>
    <w:p>
      <w:pPr>
        <w:spacing w:after="0" w:line="208" w:lineRule="exact"/>
        <w:rPr>
          <w:sz w:val="20"/>
          <w:szCs w:val="20"/>
          <w:color w:val="auto"/>
        </w:rPr>
      </w:pPr>
    </w:p>
    <w:p>
      <w:pPr>
        <w:ind w:left="3" w:firstLine="865"/>
        <w:spacing w:after="0" w:line="258" w:lineRule="auto"/>
        <w:rPr>
          <w:sz w:val="20"/>
          <w:szCs w:val="20"/>
          <w:color w:val="auto"/>
        </w:rPr>
      </w:pPr>
      <w:r>
        <w:rPr>
          <w:rFonts w:ascii="Arial" w:cs="Arial" w:eastAsia="Arial" w:hAnsi="Arial"/>
          <w:sz w:val="16"/>
          <w:szCs w:val="16"/>
          <w:color w:val="auto"/>
        </w:rPr>
        <w:t xml:space="preserve">A SAR shall confer on the Grantee a right to receive, upon exercise thereof, the excess of (i) the Fair Market Value on the date of exercise over (ii) the SAR Exercise Price, as determined by the Committee. The Award Agreement for a SAR (except those that constitute Substitute Awards) shall specify the SAR Exercise Price, which shall be fixed on the Grant Date as not less than the Fair Market Value on that date. SARs may be granted alone or in conjunction with all or part of an Option or at any subsequent time during the term of such Option or in conjunction with all or part of any other Award. A SAR granted in tandem with an outstanding Option following the Grant Date of such Option shall have a grant price that is equal to the Option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the SAR’s grant price may not be less than the Fair Market Value on the Grant Date of the SAR to the extent required by Section 409A.</w:t>
      </w:r>
    </w:p>
    <w:p>
      <w:pPr>
        <w:spacing w:after="0" w:line="166"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9.2</w:t>
      </w:r>
      <w:r>
        <w:rPr>
          <w:sz w:val="20"/>
          <w:szCs w:val="20"/>
          <w:color w:val="auto"/>
        </w:rPr>
        <w:tab/>
      </w:r>
      <w:r>
        <w:rPr>
          <w:rFonts w:ascii="Arial" w:cs="Arial" w:eastAsia="Arial" w:hAnsi="Arial"/>
          <w:sz w:val="15"/>
          <w:szCs w:val="15"/>
          <w:b w:val="1"/>
          <w:bCs w:val="1"/>
          <w:color w:val="auto"/>
        </w:rPr>
        <w:t>Other Terms</w:t>
      </w:r>
    </w:p>
    <w:p>
      <w:pPr>
        <w:spacing w:after="0" w:line="208" w:lineRule="exact"/>
        <w:rPr>
          <w:sz w:val="20"/>
          <w:szCs w:val="20"/>
          <w:color w:val="auto"/>
        </w:rPr>
      </w:pPr>
    </w:p>
    <w:p>
      <w:pPr>
        <w:ind w:left="3" w:right="140" w:firstLine="865"/>
        <w:spacing w:after="0" w:line="262" w:lineRule="auto"/>
        <w:rPr>
          <w:sz w:val="20"/>
          <w:szCs w:val="20"/>
          <w:color w:val="auto"/>
        </w:rPr>
      </w:pPr>
      <w:r>
        <w:rPr>
          <w:rFonts w:ascii="Arial" w:cs="Arial" w:eastAsia="Arial" w:hAnsi="Arial"/>
          <w:sz w:val="16"/>
          <w:szCs w:val="16"/>
          <w:color w:val="auto"/>
        </w:rPr>
        <w:t>The Committee shall determine the time or times at which and the circumstances under which a SAR may be exercised in whole or in part (including based on achievement of performance goals and/or future service requirements), the time or times at which SARs shall cease to be or become exercisable following Separation from Service or upon other conditions, the method of exercise, whether or not a SAR shall be in tandem or in combination with any other Award and any other terms and conditions of any SAR.</w:t>
      </w:r>
    </w:p>
    <w:p>
      <w:pPr>
        <w:spacing w:after="0" w:line="162"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9.3</w:t>
      </w:r>
      <w:r>
        <w:rPr>
          <w:sz w:val="20"/>
          <w:szCs w:val="20"/>
          <w:color w:val="auto"/>
        </w:rPr>
        <w:tab/>
      </w:r>
      <w:r>
        <w:rPr>
          <w:rFonts w:ascii="Arial" w:cs="Arial" w:eastAsia="Arial" w:hAnsi="Arial"/>
          <w:sz w:val="14"/>
          <w:szCs w:val="14"/>
          <w:b w:val="1"/>
          <w:bCs w:val="1"/>
          <w:color w:val="auto"/>
        </w:rPr>
        <w:t>Term of SARs</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 xml:space="preserve">The term of a SAR shall be determined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such term shall not exceed 10 years.</w:t>
      </w:r>
    </w:p>
    <w:p>
      <w:pPr>
        <w:spacing w:after="0" w:line="200"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010000"/>
        </w:rPr>
        <w:t>9.4</w:t>
      </w:r>
      <w:r>
        <w:rPr>
          <w:sz w:val="20"/>
          <w:szCs w:val="20"/>
          <w:color w:val="auto"/>
        </w:rPr>
        <w:tab/>
      </w:r>
      <w:r>
        <w:rPr>
          <w:rFonts w:ascii="Arial" w:cs="Arial" w:eastAsia="Arial" w:hAnsi="Arial"/>
          <w:sz w:val="14"/>
          <w:szCs w:val="14"/>
          <w:b w:val="1"/>
          <w:bCs w:val="1"/>
          <w:color w:val="auto"/>
        </w:rPr>
        <w:t>Payment of SAR Amount</w:t>
      </w:r>
    </w:p>
    <w:p>
      <w:pPr>
        <w:spacing w:after="0" w:line="208" w:lineRule="exact"/>
        <w:rPr>
          <w:sz w:val="20"/>
          <w:szCs w:val="20"/>
          <w:color w:val="auto"/>
        </w:rPr>
      </w:pPr>
    </w:p>
    <w:p>
      <w:pPr>
        <w:ind w:left="3" w:right="200" w:firstLine="865"/>
        <w:spacing w:after="0" w:line="281" w:lineRule="auto"/>
        <w:rPr>
          <w:sz w:val="20"/>
          <w:szCs w:val="20"/>
          <w:color w:val="auto"/>
        </w:rPr>
      </w:pPr>
      <w:r>
        <w:rPr>
          <w:rFonts w:ascii="Arial" w:cs="Arial" w:eastAsia="Arial" w:hAnsi="Arial"/>
          <w:sz w:val="16"/>
          <w:szCs w:val="16"/>
          <w:color w:val="auto"/>
        </w:rPr>
        <w:t>Upon exercise of a SAR, a Grantee shall be entitled to receive payment from the Company (in cash or Shares, as determined by the Committee) in an amount determined by multiplying:</w:t>
      </w:r>
    </w:p>
    <w:p>
      <w:pPr>
        <w:spacing w:after="0" w:line="151" w:lineRule="exact"/>
        <w:rPr>
          <w:sz w:val="20"/>
          <w:szCs w:val="20"/>
          <w:color w:val="auto"/>
        </w:rPr>
      </w:pPr>
    </w:p>
    <w:p>
      <w:pPr>
        <w:ind w:left="3323" w:hanging="726"/>
        <w:spacing w:after="0"/>
        <w:tabs>
          <w:tab w:leader="none" w:pos="3323" w:val="left"/>
        </w:tabs>
        <w:numPr>
          <w:ilvl w:val="1"/>
          <w:numId w:val="37"/>
        </w:numPr>
        <w:rPr>
          <w:rFonts w:ascii="Arial" w:cs="Arial" w:eastAsia="Arial" w:hAnsi="Arial"/>
          <w:sz w:val="16"/>
          <w:szCs w:val="16"/>
          <w:color w:val="010000"/>
        </w:rPr>
      </w:pPr>
      <w:r>
        <w:rPr>
          <w:rFonts w:ascii="Arial" w:cs="Arial" w:eastAsia="Arial" w:hAnsi="Arial"/>
          <w:sz w:val="16"/>
          <w:szCs w:val="16"/>
          <w:color w:val="auto"/>
        </w:rPr>
        <w:t>the difference between the Fair Market Value on the date of exercise over the SAR Exercise Price; by</w:t>
      </w:r>
    </w:p>
    <w:p>
      <w:pPr>
        <w:spacing w:after="0" w:line="203" w:lineRule="exact"/>
        <w:rPr>
          <w:rFonts w:ascii="Arial" w:cs="Arial" w:eastAsia="Arial" w:hAnsi="Arial"/>
          <w:sz w:val="16"/>
          <w:szCs w:val="16"/>
          <w:color w:val="010000"/>
        </w:rPr>
      </w:pPr>
    </w:p>
    <w:p>
      <w:pPr>
        <w:ind w:left="3383" w:hanging="786"/>
        <w:spacing w:after="0"/>
        <w:tabs>
          <w:tab w:leader="none" w:pos="3383" w:val="left"/>
        </w:tabs>
        <w:numPr>
          <w:ilvl w:val="1"/>
          <w:numId w:val="37"/>
        </w:numPr>
        <w:rPr>
          <w:rFonts w:ascii="Arial" w:cs="Arial" w:eastAsia="Arial" w:hAnsi="Arial"/>
          <w:sz w:val="16"/>
          <w:szCs w:val="16"/>
          <w:color w:val="010000"/>
        </w:rPr>
      </w:pPr>
      <w:r>
        <w:rPr>
          <w:rFonts w:ascii="Arial" w:cs="Arial" w:eastAsia="Arial" w:hAnsi="Arial"/>
          <w:sz w:val="16"/>
          <w:szCs w:val="16"/>
          <w:color w:val="auto"/>
        </w:rPr>
        <w:t>the number of Shares with respect to which the SAR is exercised.</w:t>
      </w:r>
    </w:p>
    <w:p>
      <w:pPr>
        <w:spacing w:after="0" w:line="199" w:lineRule="exact"/>
        <w:rPr>
          <w:rFonts w:ascii="Arial" w:cs="Arial" w:eastAsia="Arial" w:hAnsi="Arial"/>
          <w:sz w:val="16"/>
          <w:szCs w:val="16"/>
          <w:color w:val="010000"/>
        </w:rPr>
      </w:pPr>
    </w:p>
    <w:p>
      <w:pPr>
        <w:ind w:left="783" w:hanging="783"/>
        <w:spacing w:after="0"/>
        <w:tabs>
          <w:tab w:leader="none" w:pos="783"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TERMS AND CONDITIONS OF RESTRICTED STOCK AND RESTRICTED STOCK UNITS</w:t>
      </w:r>
    </w:p>
    <w:p>
      <w:pPr>
        <w:spacing w:after="0" w:line="20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10.1</w:t>
      </w:r>
      <w:r>
        <w:rPr>
          <w:sz w:val="20"/>
          <w:szCs w:val="20"/>
          <w:color w:val="auto"/>
        </w:rPr>
        <w:tab/>
      </w:r>
      <w:r>
        <w:rPr>
          <w:rFonts w:ascii="Arial" w:cs="Arial" w:eastAsia="Arial" w:hAnsi="Arial"/>
          <w:sz w:val="14"/>
          <w:szCs w:val="14"/>
          <w:b w:val="1"/>
          <w:bCs w:val="1"/>
          <w:color w:val="auto"/>
        </w:rPr>
        <w:t>Restrictions</w:t>
      </w:r>
    </w:p>
    <w:p>
      <w:pPr>
        <w:spacing w:after="0" w:line="204" w:lineRule="exact"/>
        <w:rPr>
          <w:sz w:val="20"/>
          <w:szCs w:val="20"/>
          <w:color w:val="auto"/>
        </w:rPr>
      </w:pPr>
    </w:p>
    <w:p>
      <w:pPr>
        <w:ind w:left="3" w:right="140" w:firstLine="865"/>
        <w:spacing w:after="0" w:line="264" w:lineRule="auto"/>
        <w:rPr>
          <w:sz w:val="20"/>
          <w:szCs w:val="20"/>
          <w:color w:val="auto"/>
        </w:rPr>
      </w:pPr>
      <w:r>
        <w:rPr>
          <w:rFonts w:ascii="Arial" w:cs="Arial" w:eastAsia="Arial" w:hAnsi="Arial"/>
          <w:sz w:val="16"/>
          <w:szCs w:val="16"/>
          <w:color w:val="auto"/>
        </w:rPr>
        <w:t xml:space="preserve">At the time of grant, the Committee may establish a period of time (a “ </w:t>
      </w:r>
      <w:r>
        <w:rPr>
          <w:rFonts w:ascii="Arial" w:cs="Arial" w:eastAsia="Arial" w:hAnsi="Arial"/>
          <w:sz w:val="16"/>
          <w:szCs w:val="16"/>
          <w:b w:val="1"/>
          <w:bCs w:val="1"/>
          <w:color w:val="auto"/>
        </w:rPr>
        <w:t>Restricted Period</w:t>
      </w:r>
      <w:r>
        <w:rPr>
          <w:rFonts w:ascii="Arial" w:cs="Arial" w:eastAsia="Arial" w:hAnsi="Arial"/>
          <w:sz w:val="16"/>
          <w:szCs w:val="16"/>
          <w:color w:val="auto"/>
        </w:rPr>
        <w:t xml:space="preserve"> ”) and any additional restrictions including the satisfaction of corporate or individual performance objectives applicable to an Award of Restricted Stock or RSUs. Each Award of Restricted Stock or RSUs may be subject to a different Restricted Period and additional restrictions. Neither Restricted Stock nor RSUs may be sold, transferred, assigned, pledged or otherwise encumbered or disposed of during the Restricted Period or prior to the satisfaction of any other applicable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99060</wp:posOffset>
            </wp:positionV>
            <wp:extent cx="718693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127" w:right="339" w:bottom="1440" w:gutter="0" w:footer="0" w:header="0"/>
        </w:sectPr>
      </w:pPr>
    </w:p>
    <w:bookmarkStart w:id="59" w:name="page60"/>
    <w:bookmarkEnd w:id="59"/>
    <w:p>
      <w:pPr>
        <w:ind w:left="860"/>
        <w:spacing w:after="0"/>
        <w:tabs>
          <w:tab w:leader="none" w:pos="1700" w:val="left"/>
        </w:tabs>
        <w:rPr>
          <w:sz w:val="20"/>
          <w:szCs w:val="20"/>
          <w:color w:val="auto"/>
        </w:rPr>
      </w:pPr>
      <w:r>
        <w:rPr>
          <w:rFonts w:ascii="Arial" w:cs="Arial" w:eastAsia="Arial" w:hAnsi="Arial"/>
          <w:sz w:val="16"/>
          <w:szCs w:val="16"/>
          <w:b w:val="1"/>
          <w:bCs w:val="1"/>
          <w:color w:val="010000"/>
        </w:rPr>
        <w:t>10.2</w:t>
      </w:r>
      <w:r>
        <w:rPr>
          <w:sz w:val="20"/>
          <w:szCs w:val="20"/>
          <w:color w:val="auto"/>
        </w:rPr>
        <w:tab/>
      </w:r>
      <w:r>
        <w:rPr>
          <w:rFonts w:ascii="Arial" w:cs="Arial" w:eastAsia="Arial" w:hAnsi="Arial"/>
          <w:sz w:val="14"/>
          <w:szCs w:val="14"/>
          <w:b w:val="1"/>
          <w:bCs w:val="1"/>
          <w:color w:val="auto"/>
        </w:rPr>
        <w:t>Restricted Stock Certificates</w:t>
      </w:r>
    </w:p>
    <w:p>
      <w:pPr>
        <w:spacing w:after="0" w:line="208" w:lineRule="exact"/>
        <w:rPr>
          <w:sz w:val="20"/>
          <w:szCs w:val="20"/>
          <w:color w:val="auto"/>
        </w:rPr>
      </w:pPr>
    </w:p>
    <w:p>
      <w:pPr>
        <w:ind w:right="40" w:firstLine="865"/>
        <w:spacing w:after="0" w:line="305" w:lineRule="auto"/>
        <w:rPr>
          <w:sz w:val="20"/>
          <w:szCs w:val="20"/>
          <w:color w:val="auto"/>
        </w:rPr>
      </w:pPr>
      <w:r>
        <w:rPr>
          <w:rFonts w:ascii="Arial" w:cs="Arial" w:eastAsia="Arial" w:hAnsi="Arial"/>
          <w:sz w:val="14"/>
          <w:szCs w:val="14"/>
          <w:color w:val="auto"/>
        </w:rPr>
        <w:t xml:space="preserve">The Company shall issue Shares, in the name of each Grantee to whom Restricted Stock has been granted, stock certificates or other evidence of ownership representing the total number of Shares of Restricted Stock granted to the Grantee, as soon as reasonably practicable after the Grant Date. The Committee may provide in an Award Agreement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 that such certificates shall bear a legend or legends that comply with the applicable securities laws and regulations and make appropriate reference to the restrictions imposed under the Plan and the Award Agreement.</w:t>
      </w:r>
    </w:p>
    <w:p>
      <w:pPr>
        <w:spacing w:after="0" w:line="136"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10.3</w:t>
      </w:r>
      <w:r>
        <w:rPr>
          <w:sz w:val="20"/>
          <w:szCs w:val="20"/>
          <w:color w:val="auto"/>
        </w:rPr>
        <w:tab/>
      </w:r>
      <w:r>
        <w:rPr>
          <w:rFonts w:ascii="Arial" w:cs="Arial" w:eastAsia="Arial" w:hAnsi="Arial"/>
          <w:sz w:val="14"/>
          <w:szCs w:val="14"/>
          <w:b w:val="1"/>
          <w:bCs w:val="1"/>
          <w:color w:val="auto"/>
        </w:rPr>
        <w:t>Rights of Holders of Restricted Stock</w:t>
      </w:r>
    </w:p>
    <w:p>
      <w:pPr>
        <w:spacing w:after="0" w:line="204" w:lineRule="exact"/>
        <w:rPr>
          <w:sz w:val="20"/>
          <w:szCs w:val="20"/>
          <w:color w:val="auto"/>
        </w:rPr>
      </w:pPr>
    </w:p>
    <w:p>
      <w:pPr>
        <w:ind w:right="80" w:firstLine="865"/>
        <w:spacing w:after="0" w:line="286" w:lineRule="auto"/>
        <w:rPr>
          <w:sz w:val="20"/>
          <w:szCs w:val="20"/>
          <w:color w:val="auto"/>
        </w:rPr>
      </w:pPr>
      <w:r>
        <w:rPr>
          <w:rFonts w:ascii="Arial" w:cs="Arial" w:eastAsia="Arial" w:hAnsi="Arial"/>
          <w:sz w:val="16"/>
          <w:szCs w:val="16"/>
          <w:color w:val="auto"/>
        </w:rPr>
        <w:t xml:space="preserve">Unless the otherwise provided in the applicable Award Agreement and subject to </w:t>
      </w:r>
      <w:r>
        <w:rPr>
          <w:rFonts w:ascii="Arial" w:cs="Arial" w:eastAsia="Arial" w:hAnsi="Arial"/>
          <w:sz w:val="16"/>
          <w:szCs w:val="16"/>
          <w:b w:val="1"/>
          <w:bCs w:val="1"/>
          <w:color w:val="auto"/>
        </w:rPr>
        <w:t>Section 17.10</w:t>
      </w:r>
      <w:r>
        <w:rPr>
          <w:rFonts w:ascii="Arial" w:cs="Arial" w:eastAsia="Arial" w:hAnsi="Arial"/>
          <w:sz w:val="16"/>
          <w:szCs w:val="16"/>
          <w:color w:val="auto"/>
        </w:rPr>
        <w:t xml:space="preserve"> , holders of Restricted Stock shall have rights as Stockholders, including voting and dividend rights.</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10.4</w:t>
            </w:r>
          </w:p>
        </w:tc>
        <w:tc>
          <w:tcPr>
            <w:tcW w:w="2600" w:type="dxa"/>
            <w:vAlign w:val="bottom"/>
            <w:gridSpan w:val="2"/>
          </w:tcPr>
          <w:p>
            <w:pPr>
              <w:ind w:left="280"/>
              <w:spacing w:after="0"/>
              <w:rPr>
                <w:sz w:val="20"/>
                <w:szCs w:val="20"/>
                <w:color w:val="auto"/>
              </w:rPr>
            </w:pPr>
            <w:r>
              <w:rPr>
                <w:rFonts w:ascii="Arial" w:cs="Arial" w:eastAsia="Arial" w:hAnsi="Arial"/>
                <w:sz w:val="16"/>
                <w:szCs w:val="16"/>
                <w:b w:val="1"/>
                <w:bCs w:val="1"/>
                <w:color w:val="auto"/>
              </w:rPr>
              <w:t>Rights of Holders of RSUs</w:t>
            </w:r>
          </w:p>
        </w:tc>
      </w:tr>
      <w:tr>
        <w:trPr>
          <w:trHeight w:val="388"/>
        </w:trPr>
        <w:tc>
          <w:tcPr>
            <w:tcW w:w="58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6"/>
                <w:szCs w:val="16"/>
                <w:b w:val="1"/>
                <w:bCs w:val="1"/>
                <w:color w:val="010000"/>
              </w:rPr>
              <w:t>10.4.1</w:t>
            </w:r>
          </w:p>
        </w:tc>
        <w:tc>
          <w:tcPr>
            <w:tcW w:w="1620" w:type="dxa"/>
            <w:vAlign w:val="bottom"/>
          </w:tcPr>
          <w:p>
            <w:pPr>
              <w:ind w:left="300"/>
              <w:spacing w:after="0"/>
              <w:rPr>
                <w:sz w:val="20"/>
                <w:szCs w:val="20"/>
                <w:color w:val="auto"/>
              </w:rPr>
            </w:pPr>
            <w:r>
              <w:rPr>
                <w:rFonts w:ascii="Arial" w:cs="Arial" w:eastAsia="Arial" w:hAnsi="Arial"/>
                <w:sz w:val="16"/>
                <w:szCs w:val="16"/>
                <w:b w:val="1"/>
                <w:bCs w:val="1"/>
                <w:color w:val="auto"/>
                <w:w w:val="87"/>
              </w:rPr>
              <w:t>Settlement of RSUs</w:t>
            </w:r>
          </w:p>
        </w:tc>
      </w:tr>
    </w:tbl>
    <w:p>
      <w:pPr>
        <w:spacing w:after="0" w:line="182" w:lineRule="exact"/>
        <w:rPr>
          <w:sz w:val="20"/>
          <w:szCs w:val="20"/>
          <w:color w:val="auto"/>
        </w:rPr>
      </w:pPr>
    </w:p>
    <w:p>
      <w:pPr>
        <w:jc w:val="both"/>
        <w:ind w:right="360" w:firstLine="865"/>
        <w:spacing w:after="0" w:line="267" w:lineRule="auto"/>
        <w:rPr>
          <w:sz w:val="20"/>
          <w:szCs w:val="20"/>
          <w:color w:val="auto"/>
        </w:rPr>
      </w:pPr>
      <w:r>
        <w:rPr>
          <w:rFonts w:ascii="Arial" w:cs="Arial" w:eastAsia="Arial" w:hAnsi="Arial"/>
          <w:sz w:val="16"/>
          <w:szCs w:val="16"/>
          <w:color w:val="auto"/>
        </w:rPr>
        <w:t>RSUs may be settled in cash or Shares, as determined by the Committee and set forth in the Award Agreement. The Award Agreement shall also set forth whether the RSUs shall be settled (i) within the time period specified for “short term deferrals” under Section 409A or (ii) otherwise within the requirements of Section 409A, in which case the Award Agreement shall specify upon which events such RSUs shall be settled.</w:t>
      </w:r>
    </w:p>
    <w:p>
      <w:pPr>
        <w:spacing w:after="0" w:line="157" w:lineRule="exact"/>
        <w:rPr>
          <w:sz w:val="20"/>
          <w:szCs w:val="20"/>
          <w:color w:val="auto"/>
        </w:rPr>
      </w:pPr>
    </w:p>
    <w:p>
      <w:pPr>
        <w:ind w:left="1720"/>
        <w:spacing w:after="0"/>
        <w:tabs>
          <w:tab w:leader="none" w:pos="2700" w:val="left"/>
        </w:tabs>
        <w:rPr>
          <w:sz w:val="20"/>
          <w:szCs w:val="20"/>
          <w:color w:val="auto"/>
        </w:rPr>
      </w:pPr>
      <w:r>
        <w:rPr>
          <w:rFonts w:ascii="Arial" w:cs="Arial" w:eastAsia="Arial" w:hAnsi="Arial"/>
          <w:sz w:val="16"/>
          <w:szCs w:val="16"/>
          <w:b w:val="1"/>
          <w:bCs w:val="1"/>
          <w:color w:val="010000"/>
        </w:rPr>
        <w:t>10.4.2</w:t>
      </w:r>
      <w:r>
        <w:rPr>
          <w:sz w:val="20"/>
          <w:szCs w:val="20"/>
          <w:color w:val="auto"/>
        </w:rPr>
        <w:tab/>
      </w:r>
      <w:r>
        <w:rPr>
          <w:rFonts w:ascii="Arial" w:cs="Arial" w:eastAsia="Arial" w:hAnsi="Arial"/>
          <w:sz w:val="14"/>
          <w:szCs w:val="14"/>
          <w:b w:val="1"/>
          <w:bCs w:val="1"/>
          <w:color w:val="auto"/>
        </w:rPr>
        <w:t>Voting and Dividend Rights</w:t>
      </w:r>
    </w:p>
    <w:p>
      <w:pPr>
        <w:spacing w:after="0" w:line="204" w:lineRule="exact"/>
        <w:rPr>
          <w:sz w:val="20"/>
          <w:szCs w:val="20"/>
          <w:color w:val="auto"/>
        </w:rPr>
      </w:pPr>
    </w:p>
    <w:p>
      <w:pPr>
        <w:ind w:right="100" w:firstLine="865"/>
        <w:spacing w:after="0" w:line="286" w:lineRule="auto"/>
        <w:rPr>
          <w:sz w:val="20"/>
          <w:szCs w:val="20"/>
          <w:color w:val="auto"/>
        </w:rPr>
      </w:pPr>
      <w:r>
        <w:rPr>
          <w:rFonts w:ascii="Arial" w:cs="Arial" w:eastAsia="Arial" w:hAnsi="Arial"/>
          <w:sz w:val="16"/>
          <w:szCs w:val="16"/>
          <w:color w:val="auto"/>
        </w:rPr>
        <w:t xml:space="preserve">Unless otherwise provided in the applicable Award Agreement and subject to </w:t>
      </w:r>
      <w:r>
        <w:rPr>
          <w:rFonts w:ascii="Arial" w:cs="Arial" w:eastAsia="Arial" w:hAnsi="Arial"/>
          <w:sz w:val="16"/>
          <w:szCs w:val="16"/>
          <w:b w:val="1"/>
          <w:bCs w:val="1"/>
          <w:color w:val="auto"/>
        </w:rPr>
        <w:t>Section 17.10</w:t>
      </w:r>
      <w:r>
        <w:rPr>
          <w:rFonts w:ascii="Arial" w:cs="Arial" w:eastAsia="Arial" w:hAnsi="Arial"/>
          <w:sz w:val="16"/>
          <w:szCs w:val="16"/>
          <w:color w:val="auto"/>
        </w:rPr>
        <w:t>, holders of RSUs shall not have rights as Stockholders, including voting or dividend or dividend equivalents rights.</w:t>
      </w:r>
    </w:p>
    <w:p>
      <w:pPr>
        <w:spacing w:after="0" w:line="143" w:lineRule="exact"/>
        <w:rPr>
          <w:sz w:val="20"/>
          <w:szCs w:val="20"/>
          <w:color w:val="auto"/>
        </w:rPr>
      </w:pPr>
    </w:p>
    <w:p>
      <w:pPr>
        <w:ind w:left="1720"/>
        <w:spacing w:after="0"/>
        <w:tabs>
          <w:tab w:leader="none" w:pos="2700" w:val="left"/>
        </w:tabs>
        <w:rPr>
          <w:sz w:val="20"/>
          <w:szCs w:val="20"/>
          <w:color w:val="auto"/>
        </w:rPr>
      </w:pPr>
      <w:r>
        <w:rPr>
          <w:rFonts w:ascii="Arial" w:cs="Arial" w:eastAsia="Arial" w:hAnsi="Arial"/>
          <w:sz w:val="16"/>
          <w:szCs w:val="16"/>
          <w:b w:val="1"/>
          <w:bCs w:val="1"/>
          <w:color w:val="010000"/>
        </w:rPr>
        <w:t>10.4.3</w:t>
      </w:r>
      <w:r>
        <w:rPr>
          <w:sz w:val="20"/>
          <w:szCs w:val="20"/>
          <w:color w:val="auto"/>
        </w:rPr>
        <w:tab/>
      </w:r>
      <w:r>
        <w:rPr>
          <w:rFonts w:ascii="Arial" w:cs="Arial" w:eastAsia="Arial" w:hAnsi="Arial"/>
          <w:sz w:val="14"/>
          <w:szCs w:val="14"/>
          <w:b w:val="1"/>
          <w:bCs w:val="1"/>
          <w:color w:val="auto"/>
        </w:rPr>
        <w:t>Creditor’s Rights</w:t>
      </w:r>
    </w:p>
    <w:p>
      <w:pPr>
        <w:spacing w:after="0" w:line="208" w:lineRule="exact"/>
        <w:rPr>
          <w:sz w:val="20"/>
          <w:szCs w:val="20"/>
          <w:color w:val="auto"/>
        </w:rPr>
      </w:pPr>
    </w:p>
    <w:p>
      <w:pPr>
        <w:ind w:right="360" w:firstLine="865"/>
        <w:spacing w:after="0" w:line="281" w:lineRule="auto"/>
        <w:rPr>
          <w:sz w:val="20"/>
          <w:szCs w:val="20"/>
          <w:color w:val="auto"/>
        </w:rPr>
      </w:pPr>
      <w:r>
        <w:rPr>
          <w:rFonts w:ascii="Arial" w:cs="Arial" w:eastAsia="Arial" w:hAnsi="Arial"/>
          <w:sz w:val="16"/>
          <w:szCs w:val="16"/>
          <w:color w:val="auto"/>
        </w:rPr>
        <w:t>A holder of RSUs shall have no rights other than those of a general creditor of the Company. RSUs represent an unfunded and unsecured obligation of the Company, subject to the terms and conditions of the applicable Award Agreement.</w:t>
      </w:r>
    </w:p>
    <w:p>
      <w:pPr>
        <w:spacing w:after="0" w:line="14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10.5</w:t>
      </w:r>
      <w:r>
        <w:rPr>
          <w:sz w:val="20"/>
          <w:szCs w:val="20"/>
          <w:color w:val="auto"/>
        </w:rPr>
        <w:tab/>
      </w:r>
      <w:r>
        <w:rPr>
          <w:rFonts w:ascii="Arial" w:cs="Arial" w:eastAsia="Arial" w:hAnsi="Arial"/>
          <w:sz w:val="14"/>
          <w:szCs w:val="14"/>
          <w:b w:val="1"/>
          <w:bCs w:val="1"/>
          <w:color w:val="auto"/>
        </w:rPr>
        <w:t>Purchase of Restricted Stock</w:t>
      </w:r>
    </w:p>
    <w:p>
      <w:pPr>
        <w:spacing w:after="0" w:line="208" w:lineRule="exact"/>
        <w:rPr>
          <w:sz w:val="20"/>
          <w:szCs w:val="20"/>
          <w:color w:val="auto"/>
        </w:rPr>
      </w:pPr>
    </w:p>
    <w:p>
      <w:pPr>
        <w:ind w:right="20" w:firstLine="865"/>
        <w:spacing w:after="0" w:line="262" w:lineRule="auto"/>
        <w:rPr>
          <w:sz w:val="20"/>
          <w:szCs w:val="20"/>
          <w:color w:val="auto"/>
        </w:rPr>
      </w:pPr>
      <w:r>
        <w:rPr>
          <w:rFonts w:ascii="Arial" w:cs="Arial" w:eastAsia="Arial" w:hAnsi="Arial"/>
          <w:sz w:val="16"/>
          <w:szCs w:val="16"/>
          <w:color w:val="auto"/>
        </w:rPr>
        <w:t xml:space="preserve">The Grantee shall be required, to the extent required by applicable law, to purchase the Restricted Stock from the Company at a Purchase Price equal to the greater of (i) the aggregate par value of the Shares represented by such Restricted Stock or (ii) the Purchase Price, if any, specified in the related Award Agreement. If specified in the Award Agreement, the Purchase Price may be deemed paid by Services already rendered. The Purchase Price shall be payable in a form described in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11 </w:t>
      </w:r>
      <w:r>
        <w:rPr>
          <w:rFonts w:ascii="Arial" w:cs="Arial" w:eastAsia="Arial" w:hAnsi="Arial"/>
          <w:sz w:val="16"/>
          <w:szCs w:val="16"/>
          <w:color w:val="auto"/>
        </w:rPr>
        <w:t>or, if so determined by the Committee, in consideration for past Services rendered.</w:t>
      </w:r>
    </w:p>
    <w:p>
      <w:pPr>
        <w:spacing w:after="0" w:line="16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10.6</w:t>
      </w:r>
      <w:r>
        <w:rPr>
          <w:sz w:val="20"/>
          <w:szCs w:val="20"/>
          <w:color w:val="auto"/>
        </w:rPr>
        <w:tab/>
      </w:r>
      <w:r>
        <w:rPr>
          <w:rFonts w:ascii="Arial" w:cs="Arial" w:eastAsia="Arial" w:hAnsi="Arial"/>
          <w:sz w:val="14"/>
          <w:szCs w:val="14"/>
          <w:b w:val="1"/>
          <w:bCs w:val="1"/>
          <w:color w:val="auto"/>
        </w:rPr>
        <w:t>Delivery of Shares</w:t>
      </w:r>
    </w:p>
    <w:p>
      <w:pPr>
        <w:spacing w:after="0" w:line="208" w:lineRule="exact"/>
        <w:rPr>
          <w:sz w:val="20"/>
          <w:szCs w:val="20"/>
          <w:color w:val="auto"/>
        </w:rPr>
      </w:pPr>
    </w:p>
    <w:p>
      <w:pPr>
        <w:ind w:firstLine="865"/>
        <w:spacing w:after="0" w:line="292" w:lineRule="auto"/>
        <w:rPr>
          <w:sz w:val="20"/>
          <w:szCs w:val="20"/>
          <w:color w:val="auto"/>
        </w:rPr>
      </w:pPr>
      <w:r>
        <w:rPr>
          <w:rFonts w:ascii="Arial" w:cs="Arial" w:eastAsia="Arial" w:hAnsi="Arial"/>
          <w:sz w:val="15"/>
          <w:szCs w:val="15"/>
          <w:color w:val="auto"/>
        </w:rPr>
        <w:t>Upon the expiration or termination of any Restricted Period and the satisfaction of any other conditions prescribed by the Committee, the restrictions applicable to Shares of Restricted Stock or RSUs settled in Shares shall lapse, and, unless otherwise provided in the applicable Award Agreement, a stock certificate for such Shares shall be delivered, free of all such restrictions, to the Grantee or the Grantee’s beneficiary or estate,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87630</wp:posOffset>
            </wp:positionV>
            <wp:extent cx="718693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60" w:name="page61"/>
    <w:bookmarkEnd w:id="60"/>
    <w:p>
      <w:pPr>
        <w:ind w:left="783" w:hanging="783"/>
        <w:spacing w:after="0"/>
        <w:tabs>
          <w:tab w:leader="none" w:pos="783"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FORM OF PAYMENT FOR OPTIONS AND RESTRICTED STOCK</w:t>
      </w:r>
    </w:p>
    <w:p>
      <w:pPr>
        <w:spacing w:after="0" w:line="20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11.1</w:t>
      </w:r>
      <w:r>
        <w:rPr>
          <w:sz w:val="20"/>
          <w:szCs w:val="20"/>
          <w:color w:val="auto"/>
        </w:rPr>
        <w:tab/>
      </w:r>
      <w:r>
        <w:rPr>
          <w:rFonts w:ascii="Arial" w:cs="Arial" w:eastAsia="Arial" w:hAnsi="Arial"/>
          <w:sz w:val="14"/>
          <w:szCs w:val="14"/>
          <w:b w:val="1"/>
          <w:bCs w:val="1"/>
          <w:color w:val="auto"/>
        </w:rPr>
        <w:t>General Rule</w:t>
      </w:r>
    </w:p>
    <w:p>
      <w:pPr>
        <w:spacing w:after="0" w:line="208" w:lineRule="exact"/>
        <w:rPr>
          <w:sz w:val="20"/>
          <w:szCs w:val="20"/>
          <w:color w:val="auto"/>
        </w:rPr>
      </w:pPr>
    </w:p>
    <w:p>
      <w:pPr>
        <w:jc w:val="both"/>
        <w:ind w:left="3" w:right="80" w:firstLine="865"/>
        <w:spacing w:after="0" w:line="281" w:lineRule="auto"/>
        <w:rPr>
          <w:sz w:val="20"/>
          <w:szCs w:val="20"/>
          <w:color w:val="auto"/>
        </w:rPr>
      </w:pPr>
      <w:r>
        <w:rPr>
          <w:rFonts w:ascii="Arial" w:cs="Arial" w:eastAsia="Arial" w:hAnsi="Arial"/>
          <w:sz w:val="16"/>
          <w:szCs w:val="16"/>
          <w:color w:val="auto"/>
        </w:rPr>
        <w:t xml:space="preserve">Payment of the Option Price for the Shares purchased pursuant to the exercise of an Option or the Purchase Price for Restricted Stock shall be made in cash or in cash equivalents acceptable to the Company, except as provided in this </w:t>
      </w:r>
      <w:r>
        <w:rPr>
          <w:rFonts w:ascii="Arial" w:cs="Arial" w:eastAsia="Arial" w:hAnsi="Arial"/>
          <w:sz w:val="16"/>
          <w:szCs w:val="16"/>
          <w:b w:val="1"/>
          <w:bCs w:val="1"/>
          <w:color w:val="auto"/>
        </w:rPr>
        <w:t>Section 11</w:t>
      </w:r>
      <w:r>
        <w:rPr>
          <w:rFonts w:ascii="Arial" w:cs="Arial" w:eastAsia="Arial" w:hAnsi="Arial"/>
          <w:sz w:val="16"/>
          <w:szCs w:val="16"/>
          <w:color w:val="auto"/>
        </w:rPr>
        <w:t>.</w:t>
      </w:r>
    </w:p>
    <w:p>
      <w:pPr>
        <w:spacing w:after="0" w:line="147"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11.2</w:t>
      </w:r>
      <w:r>
        <w:rPr>
          <w:sz w:val="20"/>
          <w:szCs w:val="20"/>
          <w:color w:val="auto"/>
        </w:rPr>
        <w:tab/>
      </w:r>
      <w:r>
        <w:rPr>
          <w:rFonts w:ascii="Arial" w:cs="Arial" w:eastAsia="Arial" w:hAnsi="Arial"/>
          <w:sz w:val="14"/>
          <w:szCs w:val="14"/>
          <w:b w:val="1"/>
          <w:bCs w:val="1"/>
          <w:color w:val="auto"/>
        </w:rPr>
        <w:t>Surrender of Shares</w:t>
      </w:r>
    </w:p>
    <w:p>
      <w:pPr>
        <w:spacing w:after="0" w:line="208" w:lineRule="exact"/>
        <w:rPr>
          <w:sz w:val="20"/>
          <w:szCs w:val="20"/>
          <w:color w:val="auto"/>
        </w:rPr>
      </w:pPr>
    </w:p>
    <w:p>
      <w:pPr>
        <w:jc w:val="both"/>
        <w:ind w:left="3" w:right="100" w:firstLine="865"/>
        <w:spacing w:after="0" w:line="285" w:lineRule="auto"/>
        <w:rPr>
          <w:sz w:val="20"/>
          <w:szCs w:val="20"/>
          <w:color w:val="auto"/>
        </w:rPr>
      </w:pPr>
      <w:r>
        <w:rPr>
          <w:rFonts w:ascii="Arial" w:cs="Arial" w:eastAsia="Arial" w:hAnsi="Arial"/>
          <w:sz w:val="15"/>
          <w:szCs w:val="15"/>
          <w:color w:val="auto"/>
        </w:rPr>
        <w:t>To the extent the Award Agreement so provides, payment of the Option Price for Shares purchased pursuant to the exercise of an Option or the Purchase Price for Restricted Stock may be made all or in part through the tender to the Company of Shares, which Shares shall be valued, for purposes of determining the extent to which the Option Price or Purchase Price for Restricted Stock has been paid, at their Fair Market Value on the date of exercise or surrender. Notwithstanding the foregoing, in the case of an Incentive Stock Option, the right to make payment in the form of already-owned Shares may be authorized only at the time of grant.</w:t>
      </w:r>
    </w:p>
    <w:p>
      <w:pPr>
        <w:spacing w:after="0" w:line="146"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11.3</w:t>
      </w:r>
      <w:r>
        <w:rPr>
          <w:sz w:val="20"/>
          <w:szCs w:val="20"/>
          <w:color w:val="auto"/>
        </w:rPr>
        <w:tab/>
      </w:r>
      <w:r>
        <w:rPr>
          <w:rFonts w:ascii="Arial" w:cs="Arial" w:eastAsia="Arial" w:hAnsi="Arial"/>
          <w:sz w:val="13"/>
          <w:szCs w:val="13"/>
          <w:b w:val="1"/>
          <w:bCs w:val="1"/>
          <w:color w:val="auto"/>
        </w:rPr>
        <w:t>Cashless Exercise</w:t>
      </w:r>
    </w:p>
    <w:p>
      <w:pPr>
        <w:spacing w:after="0" w:line="208" w:lineRule="exact"/>
        <w:rPr>
          <w:sz w:val="20"/>
          <w:szCs w:val="20"/>
          <w:color w:val="auto"/>
        </w:rPr>
      </w:pPr>
    </w:p>
    <w:p>
      <w:pPr>
        <w:ind w:left="3" w:right="40" w:firstLine="865"/>
        <w:spacing w:after="0" w:line="262" w:lineRule="auto"/>
        <w:rPr>
          <w:sz w:val="20"/>
          <w:szCs w:val="20"/>
          <w:color w:val="auto"/>
        </w:rPr>
      </w:pPr>
      <w:r>
        <w:rPr>
          <w:rFonts w:ascii="Arial" w:cs="Arial" w:eastAsia="Arial" w:hAnsi="Arial"/>
          <w:sz w:val="16"/>
          <w:szCs w:val="16"/>
          <w:color w:val="auto"/>
        </w:rPr>
        <w:t xml:space="preserve">With respect to an Option only (and not with respect to Restricted Stock), to the extent permitted by law and to the extent the Award Agreement so provides, payment of the Option Price may be made all or in part by delivery (on a form acceptable to the Company) of an irrevocable direction to a licensed securities broker acceptable to the Company to sell Shares and to deliver all or part of the sales proceeds to the Company in payment of the Option Price and any withholding taxes described in </w:t>
      </w:r>
      <w:r>
        <w:rPr>
          <w:rFonts w:ascii="Arial" w:cs="Arial" w:eastAsia="Arial" w:hAnsi="Arial"/>
          <w:sz w:val="16"/>
          <w:szCs w:val="16"/>
          <w:b w:val="1"/>
          <w:bCs w:val="1"/>
          <w:color w:val="auto"/>
        </w:rPr>
        <w:t>Section 17.3</w:t>
      </w:r>
      <w:r>
        <w:rPr>
          <w:rFonts w:ascii="Arial" w:cs="Arial" w:eastAsia="Arial" w:hAnsi="Arial"/>
          <w:sz w:val="16"/>
          <w:szCs w:val="16"/>
          <w:color w:val="auto"/>
        </w:rPr>
        <w:t xml:space="preserve"> .</w:t>
      </w:r>
    </w:p>
    <w:p>
      <w:pPr>
        <w:spacing w:after="0" w:line="162"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11.4</w:t>
      </w:r>
      <w:r>
        <w:rPr>
          <w:sz w:val="20"/>
          <w:szCs w:val="20"/>
          <w:color w:val="auto"/>
        </w:rPr>
        <w:tab/>
      </w:r>
      <w:r>
        <w:rPr>
          <w:rFonts w:ascii="Arial" w:cs="Arial" w:eastAsia="Arial" w:hAnsi="Arial"/>
          <w:sz w:val="14"/>
          <w:szCs w:val="14"/>
          <w:b w:val="1"/>
          <w:bCs w:val="1"/>
          <w:color w:val="auto"/>
        </w:rPr>
        <w:t>Other Forms of Payment</w:t>
      </w:r>
    </w:p>
    <w:p>
      <w:pPr>
        <w:spacing w:after="0" w:line="208" w:lineRule="exact"/>
        <w:rPr>
          <w:sz w:val="20"/>
          <w:szCs w:val="20"/>
          <w:color w:val="auto"/>
        </w:rPr>
      </w:pPr>
    </w:p>
    <w:p>
      <w:pPr>
        <w:ind w:left="3" w:right="80" w:firstLine="865"/>
        <w:spacing w:after="0" w:line="316" w:lineRule="auto"/>
        <w:rPr>
          <w:sz w:val="20"/>
          <w:szCs w:val="20"/>
          <w:color w:val="auto"/>
        </w:rPr>
      </w:pPr>
      <w:r>
        <w:rPr>
          <w:rFonts w:ascii="Arial" w:cs="Arial" w:eastAsia="Arial" w:hAnsi="Arial"/>
          <w:sz w:val="15"/>
          <w:szCs w:val="15"/>
          <w:color w:val="auto"/>
        </w:rPr>
        <w:t>To the extent the Award Agreement so provides, payment of the Option Price or the Purchase Price for Restricted Stock may be made in any other form that is consistent with applicable laws, regulations and rules, including the Company’s withholding of Shares otherwise due to the exercising Grantee.</w:t>
      </w:r>
    </w:p>
    <w:p>
      <w:pPr>
        <w:spacing w:after="0" w:line="123" w:lineRule="exact"/>
        <w:rPr>
          <w:sz w:val="20"/>
          <w:szCs w:val="20"/>
          <w:color w:val="auto"/>
        </w:rPr>
      </w:pPr>
    </w:p>
    <w:p>
      <w:pPr>
        <w:ind w:left="783" w:hanging="783"/>
        <w:spacing w:after="0"/>
        <w:tabs>
          <w:tab w:leader="none" w:pos="783"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TERMS AND CONDITIONS OF PERFORMANCE AWARDS</w:t>
      </w:r>
    </w:p>
    <w:p>
      <w:pPr>
        <w:spacing w:after="0" w:line="20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12.1</w:t>
      </w:r>
      <w:r>
        <w:rPr>
          <w:sz w:val="20"/>
          <w:szCs w:val="20"/>
          <w:color w:val="auto"/>
        </w:rPr>
        <w:tab/>
      </w:r>
      <w:r>
        <w:rPr>
          <w:rFonts w:ascii="Arial" w:cs="Arial" w:eastAsia="Arial" w:hAnsi="Arial"/>
          <w:sz w:val="14"/>
          <w:szCs w:val="14"/>
          <w:b w:val="1"/>
          <w:bCs w:val="1"/>
          <w:color w:val="auto"/>
        </w:rPr>
        <w:t>Performance Conditions</w:t>
      </w:r>
    </w:p>
    <w:p>
      <w:pPr>
        <w:spacing w:after="0" w:line="208" w:lineRule="exact"/>
        <w:rPr>
          <w:sz w:val="20"/>
          <w:szCs w:val="20"/>
          <w:color w:val="auto"/>
        </w:rPr>
      </w:pPr>
    </w:p>
    <w:p>
      <w:pPr>
        <w:ind w:left="3" w:right="60" w:firstLine="865"/>
        <w:spacing w:after="0" w:line="267" w:lineRule="auto"/>
        <w:rPr>
          <w:sz w:val="20"/>
          <w:szCs w:val="20"/>
          <w:color w:val="auto"/>
        </w:rPr>
      </w:pPr>
      <w:r>
        <w:rPr>
          <w:rFonts w:ascii="Arial" w:cs="Arial" w:eastAsia="Arial" w:hAnsi="Arial"/>
          <w:sz w:val="16"/>
          <w:szCs w:val="16"/>
          <w:color w:val="auto"/>
        </w:rPr>
        <w:t>The right of a Grantee to exercise or receive a grant or settlement of any Award, and the timing thereof, may be subject to such performance conditions as may be specified by the Committee. The Committee may use such business criteria and other measures of performance as it may deem appropriate in establishing any performance conditions.</w:t>
      </w:r>
    </w:p>
    <w:p>
      <w:pPr>
        <w:spacing w:after="0" w:line="157"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12.2</w:t>
      </w:r>
      <w:r>
        <w:rPr>
          <w:sz w:val="20"/>
          <w:szCs w:val="20"/>
          <w:color w:val="auto"/>
        </w:rPr>
        <w:tab/>
      </w:r>
      <w:r>
        <w:rPr>
          <w:rFonts w:ascii="Arial" w:cs="Arial" w:eastAsia="Arial" w:hAnsi="Arial"/>
          <w:sz w:val="14"/>
          <w:szCs w:val="14"/>
          <w:b w:val="1"/>
          <w:bCs w:val="1"/>
          <w:color w:val="auto"/>
        </w:rPr>
        <w:t>Performance Awards Granted to Designated Covered Employees</w:t>
      </w:r>
    </w:p>
    <w:p>
      <w:pPr>
        <w:spacing w:after="0" w:line="208" w:lineRule="exact"/>
        <w:rPr>
          <w:sz w:val="20"/>
          <w:szCs w:val="20"/>
          <w:color w:val="auto"/>
        </w:rPr>
      </w:pPr>
    </w:p>
    <w:p>
      <w:pPr>
        <w:ind w:left="3" w:firstLine="865"/>
        <w:spacing w:after="0" w:line="259" w:lineRule="auto"/>
        <w:rPr>
          <w:sz w:val="20"/>
          <w:szCs w:val="20"/>
          <w:color w:val="auto"/>
        </w:rPr>
      </w:pPr>
      <w:r>
        <w:rPr>
          <w:rFonts w:ascii="Arial" w:cs="Arial" w:eastAsia="Arial" w:hAnsi="Arial"/>
          <w:sz w:val="16"/>
          <w:szCs w:val="16"/>
          <w:color w:val="auto"/>
        </w:rPr>
        <w:t xml:space="preserve">If and to the extent that the Committee determines that a Performance Award to be granted to a Grantee who is designated by the Committee as likely to be a Covered Employee should qualify as “performance-based compensation” for purposes of Section 162(m), the grant, exercise and/or settlement of such Performance Award shall be contingent upon achievement of pre-established performance goals and other terms and conditions set forth in this </w:t>
      </w:r>
      <w:r>
        <w:rPr>
          <w:rFonts w:ascii="Arial" w:cs="Arial" w:eastAsia="Arial" w:hAnsi="Arial"/>
          <w:sz w:val="16"/>
          <w:szCs w:val="16"/>
          <w:b w:val="1"/>
          <w:bCs w:val="1"/>
          <w:color w:val="auto"/>
        </w:rPr>
        <w:t>Section 12.2</w:t>
      </w:r>
      <w:r>
        <w:rPr>
          <w:rFonts w:ascii="Arial" w:cs="Arial" w:eastAsia="Arial" w:hAnsi="Arial"/>
          <w:sz w:val="16"/>
          <w:szCs w:val="16"/>
          <w:color w:val="auto"/>
        </w:rPr>
        <w:t xml:space="preserve"> . Notwithstanding anything herein to the contrary, the Committee may provide for Performance Awards to Covered Employees that are not intended to qualify as “performance-based compensation” for purposes of Section 162(m).</w:t>
      </w:r>
    </w:p>
    <w:p>
      <w:pPr>
        <w:spacing w:after="0" w:line="166" w:lineRule="exact"/>
        <w:rPr>
          <w:sz w:val="20"/>
          <w:szCs w:val="20"/>
          <w:color w:val="auto"/>
        </w:rPr>
      </w:pPr>
    </w:p>
    <w:p>
      <w:pPr>
        <w:ind w:left="1723"/>
        <w:spacing w:after="0"/>
        <w:tabs>
          <w:tab w:leader="none" w:pos="2703" w:val="left"/>
        </w:tabs>
        <w:rPr>
          <w:sz w:val="20"/>
          <w:szCs w:val="20"/>
          <w:color w:val="auto"/>
        </w:rPr>
      </w:pPr>
      <w:r>
        <w:rPr>
          <w:rFonts w:ascii="Arial" w:cs="Arial" w:eastAsia="Arial" w:hAnsi="Arial"/>
          <w:sz w:val="16"/>
          <w:szCs w:val="16"/>
          <w:b w:val="1"/>
          <w:bCs w:val="1"/>
          <w:color w:val="010000"/>
        </w:rPr>
        <w:t>12.2.1</w:t>
      </w:r>
      <w:r>
        <w:rPr>
          <w:sz w:val="20"/>
          <w:szCs w:val="20"/>
          <w:color w:val="auto"/>
        </w:rPr>
        <w:tab/>
      </w:r>
      <w:r>
        <w:rPr>
          <w:rFonts w:ascii="Arial" w:cs="Arial" w:eastAsia="Arial" w:hAnsi="Arial"/>
          <w:sz w:val="14"/>
          <w:szCs w:val="14"/>
          <w:b w:val="1"/>
          <w:bCs w:val="1"/>
          <w:color w:val="auto"/>
        </w:rPr>
        <w:t>Performance Goals Generally</w:t>
      </w:r>
    </w:p>
    <w:p>
      <w:pPr>
        <w:spacing w:after="0" w:line="208" w:lineRule="exact"/>
        <w:rPr>
          <w:sz w:val="20"/>
          <w:szCs w:val="20"/>
          <w:color w:val="auto"/>
        </w:rPr>
      </w:pPr>
    </w:p>
    <w:p>
      <w:pPr>
        <w:ind w:left="3" w:right="40" w:firstLine="865"/>
        <w:spacing w:after="0" w:line="355" w:lineRule="auto"/>
        <w:rPr>
          <w:sz w:val="20"/>
          <w:szCs w:val="20"/>
          <w:color w:val="auto"/>
        </w:rPr>
      </w:pPr>
      <w:r>
        <w:rPr>
          <w:rFonts w:ascii="Arial" w:cs="Arial" w:eastAsia="Arial" w:hAnsi="Arial"/>
          <w:sz w:val="14"/>
          <w:szCs w:val="14"/>
          <w:color w:val="auto"/>
        </w:rPr>
        <w:t xml:space="preserve">The performance goals for Performance Awards shall consist of one or more business criteria and a targeted level or levels of performance with respect to each of such criteria, as specified by the Committee consistent with this </w:t>
      </w:r>
      <w:r>
        <w:rPr>
          <w:rFonts w:ascii="Arial" w:cs="Arial" w:eastAsia="Arial" w:hAnsi="Arial"/>
          <w:sz w:val="14"/>
          <w:szCs w:val="14"/>
          <w:b w:val="1"/>
          <w:bCs w:val="1"/>
          <w:color w:val="auto"/>
        </w:rPr>
        <w:t>Section 12.2</w:t>
      </w:r>
      <w:r>
        <w:rPr>
          <w:rFonts w:ascii="Arial" w:cs="Arial" w:eastAsia="Arial" w:hAnsi="Arial"/>
          <w:sz w:val="14"/>
          <w:szCs w:val="14"/>
          <w:color w:val="auto"/>
        </w:rPr>
        <w:t>. Performance goals shall be objective and shall otherwise meet the requirements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8693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183"/>
          </w:cols>
          <w:pgMar w:left="317" w:top="317" w:right="399" w:bottom="1440" w:gutter="0" w:footer="0" w:header="0"/>
        </w:sectPr>
      </w:pPr>
    </w:p>
    <w:bookmarkStart w:id="61" w:name="page62"/>
    <w:bookmarkEnd w:id="61"/>
    <w:p>
      <w:pPr>
        <w:ind w:left="3"/>
        <w:spacing w:after="0" w:line="274" w:lineRule="auto"/>
        <w:rPr>
          <w:sz w:val="20"/>
          <w:szCs w:val="20"/>
          <w:color w:val="auto"/>
        </w:rPr>
      </w:pPr>
      <w:r>
        <w:rPr>
          <w:rFonts w:ascii="Arial" w:cs="Arial" w:eastAsia="Arial" w:hAnsi="Arial"/>
          <w:sz w:val="15"/>
          <w:szCs w:val="15"/>
          <w:color w:val="auto"/>
        </w:rPr>
        <w:t xml:space="preserve">162(m), including the requirement that the level or levels of performance targeted by the Committee result in the achievement of performance goals being “substantially uncertain.” The Committee may determine that Performance Awards shall be granted, exercised and/or settled upon achievement of any one performance goal or that two or more of the performance goals must be achieved as a condition to grant, exercise and/or settlement of the Performance Awards. Performance goals may be established on a Company-wide basis, or with respect to one or more business units, divisions, Affiliates or business segments, as applicable. Performance goals may be absolute or relative (to the performance of one or more comparable companies or indices). To the extent consistent with the requirements of Section 162(m), the Committee may determine at the time that goals under this </w:t>
      </w:r>
      <w:r>
        <w:rPr>
          <w:rFonts w:ascii="Arial" w:cs="Arial" w:eastAsia="Arial" w:hAnsi="Arial"/>
          <w:sz w:val="15"/>
          <w:szCs w:val="15"/>
          <w:b w:val="1"/>
          <w:bCs w:val="1"/>
          <w:color w:val="auto"/>
        </w:rPr>
        <w:t>Section 12</w:t>
      </w:r>
      <w:r>
        <w:rPr>
          <w:rFonts w:ascii="Arial" w:cs="Arial" w:eastAsia="Arial" w:hAnsi="Arial"/>
          <w:sz w:val="15"/>
          <w:szCs w:val="15"/>
          <w:color w:val="auto"/>
        </w:rPr>
        <w:t xml:space="preserve"> are established the extent to which measurement of performance goals may exclude the impact of charges for restructuring, discontinued operations, extraordinary items, debt redemption or retirement, asset write downs, litigation or claim judgments or settlements, acquisitions or divestitures, foreign exchange gains and losses and other extraordinary, unusual or non-recurring items, and the cumulative effects of tax or accounting changes (each as defined by generally accepted accounting principles and as identified in the Company’s financial statements or other SEC filings). Performance goals may differ for Performance Awards granted to any one Grantee or to different Grantees.</w:t>
      </w:r>
    </w:p>
    <w:p>
      <w:pPr>
        <w:spacing w:after="0" w:line="159" w:lineRule="exact"/>
        <w:rPr>
          <w:sz w:val="20"/>
          <w:szCs w:val="20"/>
          <w:color w:val="auto"/>
        </w:rPr>
      </w:pPr>
    </w:p>
    <w:p>
      <w:pPr>
        <w:ind w:left="1723"/>
        <w:spacing w:after="0"/>
        <w:tabs>
          <w:tab w:leader="none" w:pos="2703" w:val="left"/>
        </w:tabs>
        <w:rPr>
          <w:sz w:val="20"/>
          <w:szCs w:val="20"/>
          <w:color w:val="auto"/>
        </w:rPr>
      </w:pPr>
      <w:r>
        <w:rPr>
          <w:rFonts w:ascii="Arial" w:cs="Arial" w:eastAsia="Arial" w:hAnsi="Arial"/>
          <w:sz w:val="16"/>
          <w:szCs w:val="16"/>
          <w:b w:val="1"/>
          <w:bCs w:val="1"/>
          <w:color w:val="010000"/>
        </w:rPr>
        <w:t>12.2.2</w:t>
      </w:r>
      <w:r>
        <w:rPr>
          <w:sz w:val="20"/>
          <w:szCs w:val="20"/>
          <w:color w:val="auto"/>
        </w:rPr>
        <w:tab/>
      </w:r>
      <w:r>
        <w:rPr>
          <w:rFonts w:ascii="Arial" w:cs="Arial" w:eastAsia="Arial" w:hAnsi="Arial"/>
          <w:sz w:val="14"/>
          <w:szCs w:val="14"/>
          <w:b w:val="1"/>
          <w:bCs w:val="1"/>
          <w:color w:val="auto"/>
        </w:rPr>
        <w:t>Business Criteria</w:t>
      </w:r>
    </w:p>
    <w:p>
      <w:pPr>
        <w:spacing w:after="0" w:line="208" w:lineRule="exact"/>
        <w:rPr>
          <w:sz w:val="20"/>
          <w:szCs w:val="20"/>
          <w:color w:val="auto"/>
        </w:rPr>
      </w:pPr>
    </w:p>
    <w:p>
      <w:pPr>
        <w:ind w:left="3" w:right="40" w:firstLine="865"/>
        <w:spacing w:after="0" w:line="294" w:lineRule="auto"/>
        <w:rPr>
          <w:sz w:val="20"/>
          <w:szCs w:val="20"/>
          <w:color w:val="auto"/>
        </w:rPr>
      </w:pPr>
      <w:r>
        <w:rPr>
          <w:rFonts w:ascii="Arial" w:cs="Arial" w:eastAsia="Arial" w:hAnsi="Arial"/>
          <w:sz w:val="14"/>
          <w:szCs w:val="14"/>
          <w:color w:val="auto"/>
        </w:rPr>
        <w:t>One or more of the following business criteria for the Company, on a consolidated basis, and/or specified Affiliates or business units of the Company (except with respect to the total stockholder return and earnings per share criteria), shall be used exclusively by the Committee in establishing performance goals for Performance Awards: (i) cash flow; (ii) earnings per share, as adjusted for any stock split, stock dividend or other recapitalization; (iii) earnings measures (including EBIT and EBITDA));</w:t>
      </w:r>
    </w:p>
    <w:p>
      <w:pPr>
        <w:spacing w:after="0" w:line="2" w:lineRule="exact"/>
        <w:rPr>
          <w:sz w:val="20"/>
          <w:szCs w:val="20"/>
          <w:color w:val="auto"/>
        </w:rPr>
      </w:pPr>
    </w:p>
    <w:p>
      <w:pPr>
        <w:ind w:left="283" w:hanging="283"/>
        <w:spacing w:after="0"/>
        <w:tabs>
          <w:tab w:leader="none" w:pos="283"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return on equity; (v) total stockholder return; (vi) share price performance, as adjusted for any stock split, stock dividend or other recapitalization; (vii) return on capital;</w:t>
      </w:r>
    </w:p>
    <w:p>
      <w:pPr>
        <w:spacing w:after="0" w:line="32" w:lineRule="exact"/>
        <w:rPr>
          <w:rFonts w:ascii="Arial" w:cs="Arial" w:eastAsia="Arial" w:hAnsi="Arial"/>
          <w:sz w:val="14"/>
          <w:szCs w:val="14"/>
          <w:color w:val="auto"/>
        </w:rPr>
      </w:pPr>
    </w:p>
    <w:p>
      <w:pPr>
        <w:ind w:left="3" w:right="40" w:hanging="3"/>
        <w:spacing w:after="0" w:line="273" w:lineRule="auto"/>
        <w:tabs>
          <w:tab w:leader="none" w:pos="366"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revenue; (ix) income; (x) profit margin; (xi) return on operating revenue; (xii) brand recognition or acceptance; (xiii) customer metrics (including customer satisfaction, customer retention, customer profitability or customer contract terms); (xiv) productivity; (xv) expense targets; (xvi) market share; (xvii) cost control measures; (xviii) balance sheet metrics; (xix) strategic initiatives; (xx) implementation, completion or attainment of measurable objectives with respect to recruitment or retention of personnel or employee satisfaction; (xxi) return on assets; (xxii) growth in net sales; (xxiii) the ratio of net sales to net working capital; (xxiv) stockholder value added; (xxv) improvement in management of working capital items (inventory, accounts receivable or accounts payable); (xxvi) sales from newly-introduced products; (xxvii) successful completion of, or achievement of milestones or objectives related to, financing or capital raising transactions, strategic acquisitions or divestitures, joint ventures, partnerships, collaborations or other transactions; (xxviii) product quality, safety, productivity, yield or reliability (on time and complete orders); (xxix) funds from operations; (xxx) regulatory body approval for commercialization of a product; (xxxi) debt levels or reduction or debt ratios; (xxxii) economic value; (xxxiii) operating efficiency; (xxxiv) research and development achievements; or (xxxv) any combination of the forgoing business criteria;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 that such business criteria shall include any derivations of business criteria listed above ( </w:t>
      </w:r>
      <w:r>
        <w:rPr>
          <w:rFonts w:ascii="Arial" w:cs="Arial" w:eastAsia="Arial" w:hAnsi="Arial"/>
          <w:sz w:val="15"/>
          <w:szCs w:val="15"/>
          <w:i w:val="1"/>
          <w:iCs w:val="1"/>
          <w:color w:val="auto"/>
        </w:rPr>
        <w:t>e.g.</w:t>
      </w:r>
      <w:r>
        <w:rPr>
          <w:rFonts w:ascii="Arial" w:cs="Arial" w:eastAsia="Arial" w:hAnsi="Arial"/>
          <w:sz w:val="15"/>
          <w:szCs w:val="15"/>
          <w:color w:val="auto"/>
        </w:rPr>
        <w:t xml:space="preserve"> , income shall include pre-tax income, net income and operating income).</w:t>
      </w:r>
    </w:p>
    <w:p>
      <w:pPr>
        <w:spacing w:after="0" w:line="154" w:lineRule="exact"/>
        <w:rPr>
          <w:sz w:val="20"/>
          <w:szCs w:val="20"/>
          <w:color w:val="auto"/>
        </w:rPr>
      </w:pPr>
    </w:p>
    <w:p>
      <w:pPr>
        <w:ind w:left="1723"/>
        <w:spacing w:after="0"/>
        <w:tabs>
          <w:tab w:leader="none" w:pos="2703" w:val="left"/>
        </w:tabs>
        <w:rPr>
          <w:sz w:val="20"/>
          <w:szCs w:val="20"/>
          <w:color w:val="auto"/>
        </w:rPr>
      </w:pPr>
      <w:r>
        <w:rPr>
          <w:rFonts w:ascii="Arial" w:cs="Arial" w:eastAsia="Arial" w:hAnsi="Arial"/>
          <w:sz w:val="16"/>
          <w:szCs w:val="16"/>
          <w:b w:val="1"/>
          <w:bCs w:val="1"/>
          <w:color w:val="010000"/>
        </w:rPr>
        <w:t>12.2.3</w:t>
      </w:r>
      <w:r>
        <w:rPr>
          <w:sz w:val="20"/>
          <w:szCs w:val="20"/>
          <w:color w:val="auto"/>
        </w:rPr>
        <w:tab/>
      </w:r>
      <w:r>
        <w:rPr>
          <w:rFonts w:ascii="Arial" w:cs="Arial" w:eastAsia="Arial" w:hAnsi="Arial"/>
          <w:sz w:val="14"/>
          <w:szCs w:val="14"/>
          <w:b w:val="1"/>
          <w:bCs w:val="1"/>
          <w:color w:val="auto"/>
        </w:rPr>
        <w:t>Timing for Establishing Performance Goals</w:t>
      </w:r>
    </w:p>
    <w:p>
      <w:pPr>
        <w:spacing w:after="0" w:line="208" w:lineRule="exact"/>
        <w:rPr>
          <w:sz w:val="20"/>
          <w:szCs w:val="20"/>
          <w:color w:val="auto"/>
        </w:rPr>
      </w:pPr>
    </w:p>
    <w:p>
      <w:pPr>
        <w:ind w:left="3" w:right="80" w:firstLine="865"/>
        <w:spacing w:after="0" w:line="281" w:lineRule="auto"/>
        <w:rPr>
          <w:sz w:val="20"/>
          <w:szCs w:val="20"/>
          <w:color w:val="auto"/>
        </w:rPr>
      </w:pPr>
      <w:r>
        <w:rPr>
          <w:rFonts w:ascii="Arial" w:cs="Arial" w:eastAsia="Arial" w:hAnsi="Arial"/>
          <w:sz w:val="16"/>
          <w:szCs w:val="16"/>
          <w:color w:val="auto"/>
        </w:rPr>
        <w:t>Performance goals shall be established not later than 90 days after the beginning of any performance period applicable to Performance Awards, or at such other date as may be required or permitted for “performance-based compensation” under Section 162(m).</w:t>
      </w:r>
    </w:p>
    <w:p>
      <w:pPr>
        <w:spacing w:after="0" w:line="147" w:lineRule="exact"/>
        <w:rPr>
          <w:sz w:val="20"/>
          <w:szCs w:val="20"/>
          <w:color w:val="auto"/>
        </w:rPr>
      </w:pPr>
    </w:p>
    <w:p>
      <w:pPr>
        <w:ind w:left="1723"/>
        <w:spacing w:after="0"/>
        <w:tabs>
          <w:tab w:leader="none" w:pos="2703" w:val="left"/>
        </w:tabs>
        <w:rPr>
          <w:sz w:val="20"/>
          <w:szCs w:val="20"/>
          <w:color w:val="auto"/>
        </w:rPr>
      </w:pPr>
      <w:r>
        <w:rPr>
          <w:rFonts w:ascii="Arial" w:cs="Arial" w:eastAsia="Arial" w:hAnsi="Arial"/>
          <w:sz w:val="16"/>
          <w:szCs w:val="16"/>
          <w:b w:val="1"/>
          <w:bCs w:val="1"/>
          <w:color w:val="010000"/>
        </w:rPr>
        <w:t>12.2.4</w:t>
      </w:r>
      <w:r>
        <w:rPr>
          <w:sz w:val="20"/>
          <w:szCs w:val="20"/>
          <w:color w:val="auto"/>
        </w:rPr>
        <w:tab/>
      </w:r>
      <w:r>
        <w:rPr>
          <w:rFonts w:ascii="Arial" w:cs="Arial" w:eastAsia="Arial" w:hAnsi="Arial"/>
          <w:sz w:val="14"/>
          <w:szCs w:val="14"/>
          <w:b w:val="1"/>
          <w:bCs w:val="1"/>
          <w:color w:val="auto"/>
        </w:rPr>
        <w:t>Settlement of Performance Awards; Other Terms</w:t>
      </w:r>
    </w:p>
    <w:p>
      <w:pPr>
        <w:spacing w:after="0" w:line="208" w:lineRule="exact"/>
        <w:rPr>
          <w:sz w:val="20"/>
          <w:szCs w:val="20"/>
          <w:color w:val="auto"/>
        </w:rPr>
      </w:pPr>
    </w:p>
    <w:p>
      <w:pPr>
        <w:ind w:left="3" w:right="240" w:firstLine="865"/>
        <w:spacing w:after="0" w:line="281" w:lineRule="auto"/>
        <w:rPr>
          <w:sz w:val="20"/>
          <w:szCs w:val="20"/>
          <w:color w:val="auto"/>
        </w:rPr>
      </w:pPr>
      <w:r>
        <w:rPr>
          <w:rFonts w:ascii="Arial" w:cs="Arial" w:eastAsia="Arial" w:hAnsi="Arial"/>
          <w:sz w:val="16"/>
          <w:szCs w:val="16"/>
          <w:color w:val="auto"/>
        </w:rPr>
        <w:t>Settlement of Performance Awards may be in cash, Shares, other Awards or other property, as determined by the Committee. The Committee may reduce the amount of a settlement otherwise to be made in connection with Performance Awards.</w:t>
      </w:r>
    </w:p>
    <w:p>
      <w:pPr>
        <w:spacing w:after="0" w:line="147"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12.3</w:t>
      </w:r>
      <w:r>
        <w:rPr>
          <w:sz w:val="20"/>
          <w:szCs w:val="20"/>
          <w:color w:val="auto"/>
        </w:rPr>
        <w:tab/>
      </w:r>
      <w:r>
        <w:rPr>
          <w:rFonts w:ascii="Arial" w:cs="Arial" w:eastAsia="Arial" w:hAnsi="Arial"/>
          <w:sz w:val="15"/>
          <w:szCs w:val="15"/>
          <w:b w:val="1"/>
          <w:bCs w:val="1"/>
          <w:color w:val="auto"/>
        </w:rPr>
        <w:t>Written Determinations</w:t>
      </w:r>
    </w:p>
    <w:p>
      <w:pPr>
        <w:spacing w:after="0" w:line="208" w:lineRule="exact"/>
        <w:rPr>
          <w:sz w:val="20"/>
          <w:szCs w:val="20"/>
          <w:color w:val="auto"/>
        </w:rPr>
      </w:pPr>
    </w:p>
    <w:p>
      <w:pPr>
        <w:ind w:left="3" w:right="420" w:firstLine="865"/>
        <w:spacing w:after="0" w:line="281" w:lineRule="auto"/>
        <w:rPr>
          <w:sz w:val="20"/>
          <w:szCs w:val="20"/>
          <w:color w:val="auto"/>
        </w:rPr>
      </w:pPr>
      <w:r>
        <w:rPr>
          <w:rFonts w:ascii="Arial" w:cs="Arial" w:eastAsia="Arial" w:hAnsi="Arial"/>
          <w:sz w:val="16"/>
          <w:szCs w:val="16"/>
          <w:color w:val="auto"/>
        </w:rPr>
        <w:t>All determinations by the Committee as to the establishment of performance goals, the amount of any Performance Award pool or individual Performance Awards and as to the achievement of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90805</wp:posOffset>
            </wp:positionV>
            <wp:extent cx="718693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127" w:right="339" w:bottom="1440" w:gutter="0" w:footer="0" w:header="0"/>
        </w:sectPr>
      </w:pPr>
    </w:p>
    <w:bookmarkStart w:id="62" w:name="page63"/>
    <w:bookmarkEnd w:id="62"/>
    <w:p>
      <w:pPr>
        <w:ind w:left="3" w:right="480"/>
        <w:spacing w:after="0" w:line="355" w:lineRule="auto"/>
        <w:rPr>
          <w:sz w:val="20"/>
          <w:szCs w:val="20"/>
          <w:color w:val="auto"/>
        </w:rPr>
      </w:pPr>
      <w:r>
        <w:rPr>
          <w:rFonts w:ascii="Arial" w:cs="Arial" w:eastAsia="Arial" w:hAnsi="Arial"/>
          <w:sz w:val="14"/>
          <w:szCs w:val="14"/>
          <w:color w:val="auto"/>
        </w:rPr>
        <w:t>relating to Performance Awards, shall be made in writing in the case of any Award intended to qualify as “performance-based compensation” under Section 162(m) as required by Section 162(m). To the extent permitted by Section 162(m), the Committee may delegate any responsibility relating to such Performance Awards.</w:t>
      </w:r>
    </w:p>
    <w:p>
      <w:pPr>
        <w:spacing w:after="0" w:line="101"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12.4</w:t>
      </w:r>
      <w:r>
        <w:rPr>
          <w:sz w:val="20"/>
          <w:szCs w:val="20"/>
          <w:color w:val="auto"/>
        </w:rPr>
        <w:tab/>
      </w:r>
      <w:r>
        <w:rPr>
          <w:rFonts w:ascii="Arial" w:cs="Arial" w:eastAsia="Arial" w:hAnsi="Arial"/>
          <w:sz w:val="14"/>
          <w:szCs w:val="14"/>
          <w:color w:val="auto"/>
        </w:rPr>
        <w:t>Status of Section 12.2 Awards under Section 162(m)</w:t>
      </w:r>
    </w:p>
    <w:p>
      <w:pPr>
        <w:spacing w:after="0" w:line="204" w:lineRule="exact"/>
        <w:rPr>
          <w:sz w:val="20"/>
          <w:szCs w:val="20"/>
          <w:color w:val="auto"/>
        </w:rPr>
      </w:pPr>
    </w:p>
    <w:p>
      <w:pPr>
        <w:ind w:left="3" w:right="20" w:firstLine="865"/>
        <w:spacing w:after="0" w:line="277" w:lineRule="auto"/>
        <w:rPr>
          <w:sz w:val="20"/>
          <w:szCs w:val="20"/>
          <w:color w:val="auto"/>
        </w:rPr>
      </w:pPr>
      <w:r>
        <w:rPr>
          <w:rFonts w:ascii="Arial" w:cs="Arial" w:eastAsia="Arial" w:hAnsi="Arial"/>
          <w:sz w:val="15"/>
          <w:szCs w:val="15"/>
          <w:color w:val="auto"/>
        </w:rPr>
        <w:t xml:space="preserve">It is the intent of the Company that Performance Awards under </w:t>
      </w:r>
      <w:r>
        <w:rPr>
          <w:rFonts w:ascii="Arial" w:cs="Arial" w:eastAsia="Arial" w:hAnsi="Arial"/>
          <w:sz w:val="15"/>
          <w:szCs w:val="15"/>
          <w:b w:val="1"/>
          <w:bCs w:val="1"/>
          <w:color w:val="auto"/>
        </w:rPr>
        <w:t>Section 12.2</w:t>
      </w:r>
      <w:r>
        <w:rPr>
          <w:rFonts w:ascii="Arial" w:cs="Arial" w:eastAsia="Arial" w:hAnsi="Arial"/>
          <w:sz w:val="15"/>
          <w:szCs w:val="15"/>
          <w:color w:val="auto"/>
        </w:rPr>
        <w:t xml:space="preserve"> granted to persons who are designated by the Committee as likely to be Covered Employees within the meaning of Section 162(m) shall, if so designated by the Committee, qualify as “performance-based compensation” within the meaning of Section 162(m). Accordingly, the terms and conditions of </w:t>
      </w:r>
      <w:r>
        <w:rPr>
          <w:rFonts w:ascii="Arial" w:cs="Arial" w:eastAsia="Arial" w:hAnsi="Arial"/>
          <w:sz w:val="15"/>
          <w:szCs w:val="15"/>
          <w:b w:val="1"/>
          <w:bCs w:val="1"/>
          <w:color w:val="auto"/>
        </w:rPr>
        <w:t>Section 12.2</w:t>
      </w:r>
      <w:r>
        <w:rPr>
          <w:rFonts w:ascii="Arial" w:cs="Arial" w:eastAsia="Arial" w:hAnsi="Arial"/>
          <w:sz w:val="15"/>
          <w:szCs w:val="15"/>
          <w:color w:val="auto"/>
        </w:rPr>
        <w:t xml:space="preserve"> , including the definitions of Covered Employee and other terms used therein, shall be interpreted in a manner consistent with Section 162(m). The foregoing notwithstanding, because the Committee cannot determine with certainty whether a given Grantee will be a Covered Employee with respect to a fiscal year that has not yet been completed, the term Covered Employee as used herein shall mean only a person designated by the Committee, at the time of grant of Performance Awards, as likely to be a Covered Employee with respect to that fiscal year or any subsequent fiscal year. If any provision of the Plan or any agreement relating to such Performance Awards does not comply or is inconsistent with the requirements of Section 162(m), such provision shall be construed or deemed amended to the extent necessary to conform to such requirements.</w:t>
      </w:r>
    </w:p>
    <w:p>
      <w:pPr>
        <w:spacing w:after="0" w:line="152" w:lineRule="exact"/>
        <w:rPr>
          <w:sz w:val="20"/>
          <w:szCs w:val="20"/>
          <w:color w:val="auto"/>
        </w:rPr>
      </w:pPr>
    </w:p>
    <w:p>
      <w:pPr>
        <w:ind w:left="783" w:hanging="783"/>
        <w:spacing w:after="0"/>
        <w:tabs>
          <w:tab w:leader="none" w:pos="783"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OTHER SHARE-BASED AWARDS</w:t>
      </w:r>
    </w:p>
    <w:p>
      <w:pPr>
        <w:spacing w:after="0" w:line="20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13.1</w:t>
      </w:r>
      <w:r>
        <w:rPr>
          <w:sz w:val="20"/>
          <w:szCs w:val="20"/>
          <w:color w:val="auto"/>
        </w:rPr>
        <w:tab/>
      </w:r>
      <w:r>
        <w:rPr>
          <w:rFonts w:ascii="Arial" w:cs="Arial" w:eastAsia="Arial" w:hAnsi="Arial"/>
          <w:sz w:val="14"/>
          <w:szCs w:val="14"/>
          <w:b w:val="1"/>
          <w:bCs w:val="1"/>
          <w:color w:val="auto"/>
        </w:rPr>
        <w:t>Grant of Other Share-based Awards</w:t>
      </w:r>
    </w:p>
    <w:p>
      <w:pPr>
        <w:spacing w:after="0" w:line="208" w:lineRule="exact"/>
        <w:rPr>
          <w:sz w:val="20"/>
          <w:szCs w:val="20"/>
          <w:color w:val="auto"/>
        </w:rPr>
      </w:pPr>
    </w:p>
    <w:p>
      <w:pPr>
        <w:ind w:left="3" w:firstLine="865"/>
        <w:spacing w:after="0" w:line="278" w:lineRule="auto"/>
        <w:rPr>
          <w:sz w:val="20"/>
          <w:szCs w:val="20"/>
          <w:color w:val="auto"/>
        </w:rPr>
      </w:pPr>
      <w:r>
        <w:rPr>
          <w:rFonts w:ascii="Arial" w:cs="Arial" w:eastAsia="Arial" w:hAnsi="Arial"/>
          <w:sz w:val="15"/>
          <w:szCs w:val="15"/>
          <w:color w:val="auto"/>
        </w:rPr>
        <w:t>Other Share-based Awards may be granted either alone or in addition to or in conjunction with other Awards. Other Share-based Awards may be granted in lieu of other cash or other compensation to which a Service Provider is entitled from the Company or may be used in the settlement of amounts payable in Shares under any other compensation plan or arrangement of the Company. Subject to the provisions of the Plan, the Committee shall have the authority to determine the persons to whom and the time or times at which such Awards will be made, the number of Shares to be granted pursuant to such Awards, and all other terms and conditions of such Awards. Unless the Committee determines otherwise, any such Award shall be confirmed by an Award Agreement, which shall contain such provisions as the Committee determines to be necessary or appropriate to carry out the intent of the Plan with respect to such Award.</w:t>
      </w:r>
    </w:p>
    <w:p>
      <w:pPr>
        <w:spacing w:after="0" w:line="15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13.2</w:t>
      </w:r>
      <w:r>
        <w:rPr>
          <w:sz w:val="20"/>
          <w:szCs w:val="20"/>
          <w:color w:val="auto"/>
        </w:rPr>
        <w:tab/>
      </w:r>
      <w:r>
        <w:rPr>
          <w:rFonts w:ascii="Arial" w:cs="Arial" w:eastAsia="Arial" w:hAnsi="Arial"/>
          <w:sz w:val="14"/>
          <w:szCs w:val="14"/>
          <w:b w:val="1"/>
          <w:bCs w:val="1"/>
          <w:color w:val="auto"/>
        </w:rPr>
        <w:t>Terms of Other Share-based Awards</w:t>
      </w:r>
    </w:p>
    <w:p>
      <w:pPr>
        <w:spacing w:after="0" w:line="204" w:lineRule="exact"/>
        <w:rPr>
          <w:sz w:val="20"/>
          <w:szCs w:val="20"/>
          <w:color w:val="auto"/>
        </w:rPr>
      </w:pPr>
    </w:p>
    <w:p>
      <w:pPr>
        <w:ind w:left="3" w:firstLine="865"/>
        <w:spacing w:after="0" w:line="286" w:lineRule="auto"/>
        <w:rPr>
          <w:sz w:val="20"/>
          <w:szCs w:val="20"/>
          <w:color w:val="auto"/>
        </w:rPr>
      </w:pPr>
      <w:r>
        <w:rPr>
          <w:rFonts w:ascii="Arial" w:cs="Arial" w:eastAsia="Arial" w:hAnsi="Arial"/>
          <w:sz w:val="16"/>
          <w:szCs w:val="16"/>
          <w:color w:val="auto"/>
        </w:rPr>
        <w:t xml:space="preserve">Any Common Stock subject to Awards made under this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may not be sold, assigned, transferred, pledged or otherwise encumbered prior to the date on which the Shares are issued, or, if later, the date on which any applicable restriction, performance or deferral period lapses.</w:t>
      </w:r>
    </w:p>
    <w:p>
      <w:pPr>
        <w:spacing w:after="0" w:line="143" w:lineRule="exact"/>
        <w:rPr>
          <w:sz w:val="20"/>
          <w:szCs w:val="20"/>
          <w:color w:val="auto"/>
        </w:rPr>
      </w:pPr>
    </w:p>
    <w:p>
      <w:pPr>
        <w:ind w:left="783" w:hanging="783"/>
        <w:spacing w:after="0"/>
        <w:tabs>
          <w:tab w:leader="none" w:pos="783"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REQUIREMENTS OF LAW</w:t>
      </w:r>
    </w:p>
    <w:p>
      <w:pPr>
        <w:spacing w:after="0" w:line="20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14.1</w:t>
      </w:r>
      <w:r>
        <w:rPr>
          <w:sz w:val="20"/>
          <w:szCs w:val="20"/>
          <w:color w:val="auto"/>
        </w:rPr>
        <w:tab/>
      </w:r>
      <w:r>
        <w:rPr>
          <w:rFonts w:ascii="Arial" w:cs="Arial" w:eastAsia="Arial" w:hAnsi="Arial"/>
          <w:sz w:val="15"/>
          <w:szCs w:val="15"/>
          <w:b w:val="1"/>
          <w:bCs w:val="1"/>
          <w:color w:val="auto"/>
        </w:rPr>
        <w:t>General</w:t>
      </w:r>
    </w:p>
    <w:p>
      <w:pPr>
        <w:spacing w:after="0" w:line="208" w:lineRule="exact"/>
        <w:rPr>
          <w:sz w:val="20"/>
          <w:szCs w:val="20"/>
          <w:color w:val="auto"/>
        </w:rPr>
      </w:pPr>
    </w:p>
    <w:p>
      <w:pPr>
        <w:ind w:left="3" w:right="80" w:firstLine="865"/>
        <w:spacing w:after="0" w:line="256" w:lineRule="auto"/>
        <w:rPr>
          <w:sz w:val="20"/>
          <w:szCs w:val="20"/>
          <w:color w:val="auto"/>
        </w:rPr>
      </w:pPr>
      <w:r>
        <w:rPr>
          <w:rFonts w:ascii="Arial" w:cs="Arial" w:eastAsia="Arial" w:hAnsi="Arial"/>
          <w:sz w:val="16"/>
          <w:szCs w:val="16"/>
          <w:color w:val="auto"/>
        </w:rPr>
        <w:t>The Company shall not be required to sell or issue any Shares under any Award if the sale or issuance of such Shares would constitute a violation by the Grantee, any other individual exercising an Option or the Company of any provision of any law or regulation of any governmental authority, including any federal or state securities laws or regulations. If at any time the Committee determines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underlying an Award, unless a registration statement under such Act is in effect with respect to the Shares covered by such Award, the Company shall not be required to sell or issue such Shares unless the Committee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104775</wp:posOffset>
            </wp:positionV>
            <wp:extent cx="718693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23"/>
          </w:cols>
          <w:pgMar w:left="317" w:top="127" w:right="359" w:bottom="1440" w:gutter="0" w:footer="0" w:header="0"/>
        </w:sectPr>
      </w:pPr>
    </w:p>
    <w:bookmarkStart w:id="63" w:name="page64"/>
    <w:bookmarkEnd w:id="63"/>
    <w:p>
      <w:pPr>
        <w:ind w:left="3" w:right="100"/>
        <w:spacing w:after="0" w:line="278" w:lineRule="auto"/>
        <w:rPr>
          <w:sz w:val="20"/>
          <w:szCs w:val="20"/>
          <w:color w:val="auto"/>
        </w:rPr>
      </w:pPr>
      <w:r>
        <w:rPr>
          <w:rFonts w:ascii="Arial" w:cs="Arial" w:eastAsia="Arial" w:hAnsi="Arial"/>
          <w:sz w:val="15"/>
          <w:szCs w:val="15"/>
          <w:color w:val="auto"/>
        </w:rPr>
        <w:t>received evidence satisfactory to it that the Grantee or any other individual exercising an Option may acquire such Shares pursuant to an exemption from registration under the Securities Act. The Company may, but shall in no event be obligated to, register any securities covered hereby pursuant to the Securities Act. The Company shall not be obligated to take any affirmative action in order to cause the exercise of an Option or the issuance of Shares pursuant to the Plan to comply with any law or regulation of any governmental authority. As to any jurisdiction that expressly imposes the requirement that an Option shall not be exercisable until the Shares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15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14.2</w:t>
      </w:r>
      <w:r>
        <w:rPr>
          <w:sz w:val="20"/>
          <w:szCs w:val="20"/>
          <w:color w:val="auto"/>
        </w:rPr>
        <w:tab/>
      </w:r>
      <w:r>
        <w:rPr>
          <w:rFonts w:ascii="Arial" w:cs="Arial" w:eastAsia="Arial" w:hAnsi="Arial"/>
          <w:sz w:val="14"/>
          <w:szCs w:val="14"/>
          <w:b w:val="1"/>
          <w:bCs w:val="1"/>
          <w:color w:val="auto"/>
        </w:rPr>
        <w:t>Section 25102(o) of the California Corporations Code.</w:t>
      </w:r>
    </w:p>
    <w:p>
      <w:pPr>
        <w:spacing w:after="0" w:line="208" w:lineRule="exact"/>
        <w:rPr>
          <w:sz w:val="20"/>
          <w:szCs w:val="20"/>
          <w:color w:val="auto"/>
        </w:rPr>
      </w:pPr>
    </w:p>
    <w:p>
      <w:pPr>
        <w:ind w:left="3" w:right="200" w:firstLine="865"/>
        <w:spacing w:after="0" w:line="259" w:lineRule="auto"/>
        <w:rPr>
          <w:sz w:val="20"/>
          <w:szCs w:val="20"/>
          <w:color w:val="auto"/>
        </w:rPr>
      </w:pPr>
      <w:r>
        <w:rPr>
          <w:rFonts w:ascii="Arial" w:cs="Arial" w:eastAsia="Arial" w:hAnsi="Arial"/>
          <w:sz w:val="16"/>
          <w:szCs w:val="16"/>
          <w:color w:val="auto"/>
        </w:rPr>
        <w:t>The Plan is intended to comply with Section 25102(o) of the California Corporations Code. In that regard, to the extent required by Section 25102(o), (i) the terms of any Options or SARs, to the extent vested and exercisable upon a Grantee’s Separation from Service, shall include any minimum exercise periods following Separation from Service specified by Section 25102(o), and (ii) any repurchase right of the Company with respect to Shares issued under the Plan shall include a minimum 90-day notice requirement. Any provision of the Plan that is inconsistent with Section 25102(o) shall, without further act or amendment by the Company, be reformed to comply with the requirements of Section 25102(o).</w:t>
      </w:r>
    </w:p>
    <w:p>
      <w:pPr>
        <w:spacing w:after="0" w:line="166"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14.3</w:t>
      </w:r>
      <w:r>
        <w:rPr>
          <w:sz w:val="20"/>
          <w:szCs w:val="20"/>
          <w:color w:val="auto"/>
        </w:rPr>
        <w:tab/>
      </w:r>
      <w:r>
        <w:rPr>
          <w:rFonts w:ascii="Arial" w:cs="Arial" w:eastAsia="Arial" w:hAnsi="Arial"/>
          <w:sz w:val="15"/>
          <w:szCs w:val="15"/>
          <w:b w:val="1"/>
          <w:bCs w:val="1"/>
          <w:color w:val="auto"/>
        </w:rPr>
        <w:t>Rule 16b-3</w:t>
      </w:r>
    </w:p>
    <w:p>
      <w:pPr>
        <w:spacing w:after="0" w:line="208" w:lineRule="exact"/>
        <w:rPr>
          <w:sz w:val="20"/>
          <w:szCs w:val="20"/>
          <w:color w:val="auto"/>
        </w:rPr>
      </w:pPr>
    </w:p>
    <w:p>
      <w:pPr>
        <w:ind w:left="3" w:right="100" w:firstLine="865"/>
        <w:spacing w:after="0" w:line="281" w:lineRule="auto"/>
        <w:rPr>
          <w:sz w:val="20"/>
          <w:szCs w:val="20"/>
          <w:color w:val="auto"/>
        </w:rPr>
      </w:pPr>
      <w:r>
        <w:rPr>
          <w:rFonts w:ascii="Arial" w:cs="Arial" w:eastAsia="Arial" w:hAnsi="Arial"/>
          <w:sz w:val="15"/>
          <w:szCs w:val="15"/>
          <w:color w:val="auto"/>
        </w:rPr>
        <w:t>During any time when the Company has a class of equity security registered under Section 12 of the Exchange Act, it is the intent of the Company that Awards and the exercise of Options granted hereunder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Committee, and shall not affect the validity of the Plan. In the event that Rule 16b-3 is revised or replaced, the Committee may modify the Plan in any respect necessary to satisfy the requirements of, or to take advantage of any features of, the revised exemption or its replacement.</w:t>
      </w:r>
    </w:p>
    <w:p>
      <w:pPr>
        <w:spacing w:after="0" w:line="149" w:lineRule="exact"/>
        <w:rPr>
          <w:sz w:val="20"/>
          <w:szCs w:val="20"/>
          <w:color w:val="auto"/>
        </w:rPr>
      </w:pPr>
    </w:p>
    <w:p>
      <w:pPr>
        <w:ind w:left="783" w:hanging="783"/>
        <w:spacing w:after="0"/>
        <w:tabs>
          <w:tab w:leader="none" w:pos="783"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EFFECT OF CHANGES IN CAPITALIZATION</w:t>
      </w:r>
    </w:p>
    <w:p>
      <w:pPr>
        <w:spacing w:after="0" w:line="20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15.1</w:t>
      </w:r>
      <w:r>
        <w:rPr>
          <w:sz w:val="20"/>
          <w:szCs w:val="20"/>
          <w:color w:val="auto"/>
        </w:rPr>
        <w:tab/>
      </w:r>
      <w:r>
        <w:rPr>
          <w:rFonts w:ascii="Arial" w:cs="Arial" w:eastAsia="Arial" w:hAnsi="Arial"/>
          <w:sz w:val="14"/>
          <w:szCs w:val="14"/>
          <w:b w:val="1"/>
          <w:bCs w:val="1"/>
          <w:color w:val="auto"/>
        </w:rPr>
        <w:t>Adjustments for Changes in Capital Structure</w:t>
      </w:r>
    </w:p>
    <w:p>
      <w:pPr>
        <w:spacing w:after="0" w:line="208" w:lineRule="exact"/>
        <w:rPr>
          <w:sz w:val="20"/>
          <w:szCs w:val="20"/>
          <w:color w:val="auto"/>
        </w:rPr>
      </w:pPr>
    </w:p>
    <w:p>
      <w:pPr>
        <w:ind w:left="3" w:firstLine="865"/>
        <w:spacing w:after="0" w:line="294" w:lineRule="auto"/>
        <w:rPr>
          <w:sz w:val="20"/>
          <w:szCs w:val="20"/>
          <w:color w:val="auto"/>
        </w:rPr>
      </w:pPr>
      <w:r>
        <w:rPr>
          <w:rFonts w:ascii="Arial" w:cs="Arial" w:eastAsia="Arial" w:hAnsi="Arial"/>
          <w:sz w:val="14"/>
          <w:szCs w:val="14"/>
          <w:color w:val="auto"/>
        </w:rPr>
        <w:t xml:space="preserve">Subject to any required action by the Stockholders, in the event of any change in the Shares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in a form other than Shares (excepting normal cash dividends) that has a material effect on the Fair Market Value of Shares, appropriate and proportionate adjustments shall be made in the number and class of shares subject to the Plan and to any outstanding Awards, and in the Option Price, SAR Exercise Price or Purchase Price per Share of any outstanding Awards in order to prevent dilution or enlargement of Grantees’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 Change in Control) shares of another corporation (the “ </w:t>
      </w:r>
      <w:r>
        <w:rPr>
          <w:rFonts w:ascii="Arial" w:cs="Arial" w:eastAsia="Arial" w:hAnsi="Arial"/>
          <w:sz w:val="14"/>
          <w:szCs w:val="14"/>
          <w:b w:val="1"/>
          <w:bCs w:val="1"/>
          <w:color w:val="auto"/>
        </w:rPr>
        <w:t>New Shares</w:t>
      </w:r>
      <w:r>
        <w:rPr>
          <w:rFonts w:ascii="Arial" w:cs="Arial" w:eastAsia="Arial" w:hAnsi="Arial"/>
          <w:sz w:val="14"/>
          <w:szCs w:val="14"/>
          <w:color w:val="auto"/>
        </w:rPr>
        <w:t xml:space="preserve"> ”), the Committee may unilaterally amend the outstanding Awards to provide that such Awards are for New Shares. In the event of any such amendment, the number of Shares subject to, and the Option Price, SAR Exercise Price or Purchase Price per Share of, the outstanding Awards shall be adjusted in a fair and equitable manner as determined by the Committee. Any fractional share resulting from an adjustment pursuant to this </w:t>
      </w:r>
      <w:r>
        <w:rPr>
          <w:rFonts w:ascii="Arial" w:cs="Arial" w:eastAsia="Arial" w:hAnsi="Arial"/>
          <w:sz w:val="14"/>
          <w:szCs w:val="14"/>
          <w:b w:val="1"/>
          <w:bCs w:val="1"/>
          <w:color w:val="auto"/>
        </w:rPr>
        <w:t>Section 15.1</w:t>
      </w:r>
      <w:r>
        <w:rPr>
          <w:rFonts w:ascii="Arial" w:cs="Arial" w:eastAsia="Arial" w:hAnsi="Arial"/>
          <w:sz w:val="14"/>
          <w:szCs w:val="14"/>
          <w:color w:val="auto"/>
        </w:rPr>
        <w:t xml:space="preserve"> shall be rounded down to the nearest whole number and the Option Price, SAR Exercise Price or Purchase Price per share shall be rounded up to the nearest whole cent. In no event may the exercise price of any Award be decreased to an amount less than the par value, if any, of the stock subject to the Award. The Committee may also make such adjustments in the terms of any Award to reflect, or related to, such changes in the capital structure of the Company or distributions as it deems appropriate. Adjustments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18693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7" w:right="319" w:bottom="1440" w:gutter="0" w:footer="0" w:header="0"/>
        </w:sectPr>
      </w:pPr>
    </w:p>
    <w:bookmarkStart w:id="64" w:name="page65"/>
    <w:bookmarkEnd w:id="64"/>
    <w:p>
      <w:pPr>
        <w:ind w:left="3"/>
        <w:spacing w:after="0"/>
        <w:rPr>
          <w:sz w:val="20"/>
          <w:szCs w:val="20"/>
          <w:color w:val="auto"/>
        </w:rPr>
      </w:pPr>
      <w:r>
        <w:rPr>
          <w:rFonts w:ascii="Arial" w:cs="Arial" w:eastAsia="Arial" w:hAnsi="Arial"/>
          <w:sz w:val="16"/>
          <w:szCs w:val="16"/>
          <w:color w:val="auto"/>
        </w:rPr>
        <w:t xml:space="preserve">the Committee pursuant to this </w:t>
      </w:r>
      <w:r>
        <w:rPr>
          <w:rFonts w:ascii="Arial" w:cs="Arial" w:eastAsia="Arial" w:hAnsi="Arial"/>
          <w:sz w:val="16"/>
          <w:szCs w:val="16"/>
          <w:b w:val="1"/>
          <w:bCs w:val="1"/>
          <w:color w:val="auto"/>
        </w:rPr>
        <w:t>Section 15.1</w:t>
      </w:r>
      <w:r>
        <w:rPr>
          <w:rFonts w:ascii="Arial" w:cs="Arial" w:eastAsia="Arial" w:hAnsi="Arial"/>
          <w:sz w:val="16"/>
          <w:szCs w:val="16"/>
          <w:color w:val="auto"/>
        </w:rPr>
        <w:t xml:space="preserve"> shall be made in accordance with Section 409A to the extent applicable.</w:t>
      </w:r>
    </w:p>
    <w:p>
      <w:pPr>
        <w:spacing w:after="0" w:line="204" w:lineRule="exact"/>
        <w:rPr>
          <w:sz w:val="20"/>
          <w:szCs w:val="20"/>
          <w:color w:val="auto"/>
        </w:rPr>
      </w:pPr>
    </w:p>
    <w:tbl>
      <w:tblPr>
        <w:tblLayout w:type="fixed"/>
        <w:tblInd w:w="863" w:type="dxa"/>
        <w:tblCellMar>
          <w:top w:w="0" w:type="dxa"/>
          <w:left w:w="0" w:type="dxa"/>
          <w:bottom w:w="0" w:type="dxa"/>
          <w:right w:w="0" w:type="dxa"/>
        </w:tblCellMar>
      </w:tblPr>
      <w:tr>
        <w:trPr>
          <w:trHeight w:val="210"/>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15.2</w:t>
            </w:r>
          </w:p>
        </w:tc>
        <w:tc>
          <w:tcPr>
            <w:tcW w:w="386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 in Control</w:t>
            </w:r>
          </w:p>
        </w:tc>
      </w:tr>
      <w:tr>
        <w:trPr>
          <w:trHeight w:val="388"/>
        </w:trPr>
        <w:tc>
          <w:tcPr>
            <w:tcW w:w="58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6"/>
                <w:szCs w:val="16"/>
                <w:b w:val="1"/>
                <w:bCs w:val="1"/>
                <w:color w:val="010000"/>
              </w:rPr>
              <w:t>15.2.1</w:t>
            </w:r>
          </w:p>
        </w:tc>
        <w:tc>
          <w:tcPr>
            <w:tcW w:w="2880" w:type="dxa"/>
            <w:vAlign w:val="bottom"/>
          </w:tcPr>
          <w:p>
            <w:pPr>
              <w:ind w:left="300"/>
              <w:spacing w:after="0"/>
              <w:rPr>
                <w:sz w:val="20"/>
                <w:szCs w:val="20"/>
                <w:color w:val="auto"/>
              </w:rPr>
            </w:pPr>
            <w:r>
              <w:rPr>
                <w:rFonts w:ascii="Arial" w:cs="Arial" w:eastAsia="Arial" w:hAnsi="Arial"/>
                <w:sz w:val="16"/>
                <w:szCs w:val="16"/>
                <w:b w:val="1"/>
                <w:bCs w:val="1"/>
                <w:color w:val="auto"/>
                <w:w w:val="88"/>
              </w:rPr>
              <w:t>Consequences of a Change in Control</w:t>
            </w:r>
          </w:p>
        </w:tc>
      </w:tr>
    </w:tbl>
    <w:p>
      <w:pPr>
        <w:spacing w:after="0" w:line="182" w:lineRule="exact"/>
        <w:rPr>
          <w:sz w:val="20"/>
          <w:szCs w:val="20"/>
          <w:color w:val="auto"/>
        </w:rPr>
      </w:pPr>
    </w:p>
    <w:p>
      <w:pPr>
        <w:ind w:left="863"/>
        <w:spacing w:after="0"/>
        <w:rPr>
          <w:sz w:val="20"/>
          <w:szCs w:val="20"/>
          <w:color w:val="auto"/>
        </w:rPr>
      </w:pPr>
      <w:r>
        <w:rPr>
          <w:rFonts w:ascii="Arial" w:cs="Arial" w:eastAsia="Arial" w:hAnsi="Arial"/>
          <w:sz w:val="14"/>
          <w:szCs w:val="14"/>
          <w:color w:val="auto"/>
        </w:rPr>
        <w:t>Subject to the requirements and limitations of Section 409A if applicable, the Committee may provide for any one or more of the following in connection with a</w:t>
      </w:r>
    </w:p>
    <w:p>
      <w:pPr>
        <w:spacing w:after="0" w:line="45" w:lineRule="exact"/>
        <w:rPr>
          <w:sz w:val="20"/>
          <w:szCs w:val="20"/>
          <w:color w:val="auto"/>
        </w:rPr>
      </w:pPr>
    </w:p>
    <w:p>
      <w:pPr>
        <w:ind w:left="3"/>
        <w:spacing w:after="0"/>
        <w:rPr>
          <w:sz w:val="20"/>
          <w:szCs w:val="20"/>
          <w:color w:val="auto"/>
        </w:rPr>
      </w:pPr>
      <w:r>
        <w:rPr>
          <w:rFonts w:ascii="Arial" w:cs="Arial" w:eastAsia="Arial" w:hAnsi="Arial"/>
          <w:sz w:val="16"/>
          <w:szCs w:val="16"/>
          <w:color w:val="auto"/>
        </w:rPr>
        <w:t>Change in Control:</w:t>
      </w:r>
    </w:p>
    <w:p>
      <w:pPr>
        <w:spacing w:after="0" w:line="188" w:lineRule="exact"/>
        <w:rPr>
          <w:sz w:val="20"/>
          <w:szCs w:val="20"/>
          <w:color w:val="auto"/>
        </w:rPr>
      </w:pPr>
    </w:p>
    <w:p>
      <w:pPr>
        <w:jc w:val="both"/>
        <w:ind w:left="3" w:right="40" w:firstLine="2594"/>
        <w:spacing w:after="0" w:line="264" w:lineRule="auto"/>
        <w:tabs>
          <w:tab w:leader="none" w:pos="3334" w:val="left"/>
        </w:tabs>
        <w:numPr>
          <w:ilvl w:val="1"/>
          <w:numId w:val="46"/>
        </w:numPr>
        <w:rPr>
          <w:rFonts w:ascii="Arial" w:cs="Arial" w:eastAsia="Arial" w:hAnsi="Arial"/>
          <w:sz w:val="16"/>
          <w:szCs w:val="16"/>
          <w:color w:val="010000"/>
        </w:rPr>
      </w:pPr>
      <w:r>
        <w:rPr>
          <w:rFonts w:ascii="Arial" w:cs="Arial" w:eastAsia="Arial" w:hAnsi="Arial"/>
          <w:sz w:val="16"/>
          <w:szCs w:val="16"/>
          <w:b w:val="1"/>
          <w:bCs w:val="1"/>
          <w:color w:val="auto"/>
        </w:rPr>
        <w:t>Accelerated Vesting</w:t>
      </w:r>
      <w:r>
        <w:rPr>
          <w:rFonts w:ascii="Arial" w:cs="Arial" w:eastAsia="Arial" w:hAnsi="Arial"/>
          <w:sz w:val="16"/>
          <w:szCs w:val="16"/>
          <w:color w:val="auto"/>
        </w:rPr>
        <w:t>. The Committee may provide in any Award Agreement or, in the event of a Change in Control, may</w:t>
      </w:r>
      <w:r>
        <w:rPr>
          <w:rFonts w:ascii="Arial" w:cs="Arial" w:eastAsia="Arial" w:hAnsi="Arial"/>
          <w:sz w:val="16"/>
          <w:szCs w:val="16"/>
          <w:b w:val="1"/>
          <w:bCs w:val="1"/>
          <w:color w:val="auto"/>
        </w:rPr>
        <w:t xml:space="preserve"> </w:t>
      </w:r>
      <w:r>
        <w:rPr>
          <w:rFonts w:ascii="Arial" w:cs="Arial" w:eastAsia="Arial" w:hAnsi="Arial"/>
          <w:sz w:val="16"/>
          <w:szCs w:val="16"/>
          <w:color w:val="auto"/>
        </w:rPr>
        <w:t>take such actions as it deems appropriate to provide for the acceleration of the exercisability, vesting and/or settlement in connection with such Change in Control of each or any outstanding Award or portion thereof and shares acquired pursuant thereto upon such conditions, including termination of the Grantee’s Service prior to, upon, or following such Change in Control, to such extent as the Committee shall determine</w:t>
      </w:r>
    </w:p>
    <w:p>
      <w:pPr>
        <w:spacing w:after="0" w:line="159" w:lineRule="exact"/>
        <w:rPr>
          <w:rFonts w:ascii="Arial" w:cs="Arial" w:eastAsia="Arial" w:hAnsi="Arial"/>
          <w:sz w:val="16"/>
          <w:szCs w:val="16"/>
          <w:color w:val="010000"/>
        </w:rPr>
      </w:pPr>
    </w:p>
    <w:p>
      <w:pPr>
        <w:ind w:left="3" w:firstLine="2594"/>
        <w:spacing w:after="0" w:line="292" w:lineRule="auto"/>
        <w:tabs>
          <w:tab w:leader="none" w:pos="3379" w:val="left"/>
        </w:tabs>
        <w:numPr>
          <w:ilvl w:val="1"/>
          <w:numId w:val="46"/>
        </w:numPr>
        <w:rPr>
          <w:rFonts w:ascii="Arial" w:cs="Arial" w:eastAsia="Arial" w:hAnsi="Arial"/>
          <w:sz w:val="14"/>
          <w:szCs w:val="14"/>
          <w:color w:val="010000"/>
        </w:rPr>
      </w:pPr>
      <w:r>
        <w:rPr>
          <w:rFonts w:ascii="Arial" w:cs="Arial" w:eastAsia="Arial" w:hAnsi="Arial"/>
          <w:sz w:val="14"/>
          <w:szCs w:val="14"/>
          <w:b w:val="1"/>
          <w:bCs w:val="1"/>
          <w:color w:val="auto"/>
        </w:rPr>
        <w:t>Assumption, Continuation or Substitution</w:t>
      </w:r>
      <w:r>
        <w:rPr>
          <w:rFonts w:ascii="Arial" w:cs="Arial" w:eastAsia="Arial" w:hAnsi="Arial"/>
          <w:sz w:val="14"/>
          <w:szCs w:val="14"/>
          <w:color w:val="auto"/>
        </w:rPr>
        <w:t>. In the event of a Change in Control, the surviving, continuing, successor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purchasing corporation or other business entity or parent thereof, as the case may be (the “ </w:t>
      </w:r>
      <w:r>
        <w:rPr>
          <w:rFonts w:ascii="Arial" w:cs="Arial" w:eastAsia="Arial" w:hAnsi="Arial"/>
          <w:sz w:val="14"/>
          <w:szCs w:val="14"/>
          <w:b w:val="1"/>
          <w:bCs w:val="1"/>
          <w:color w:val="auto"/>
        </w:rPr>
        <w:t>Acquiror</w:t>
      </w:r>
      <w:r>
        <w:rPr>
          <w:rFonts w:ascii="Arial" w:cs="Arial" w:eastAsia="Arial" w:hAnsi="Arial"/>
          <w:sz w:val="14"/>
          <w:szCs w:val="14"/>
          <w:color w:val="auto"/>
        </w:rPr>
        <w:t xml:space="preserve"> ”), may, without the consent of any Grantee,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w:t>
      </w:r>
      <w:r>
        <w:rPr>
          <w:rFonts w:ascii="Arial" w:cs="Arial" w:eastAsia="Arial" w:hAnsi="Arial"/>
          <w:sz w:val="14"/>
          <w:szCs w:val="14"/>
          <w:b w:val="1"/>
          <w:bCs w:val="1"/>
          <w:color w:val="auto"/>
        </w:rPr>
        <w:t>Section 15.2</w:t>
      </w:r>
      <w:r>
        <w:rPr>
          <w:rFonts w:ascii="Arial" w:cs="Arial" w:eastAsia="Arial" w:hAnsi="Arial"/>
          <w:sz w:val="14"/>
          <w:szCs w:val="14"/>
          <w:color w:val="auto"/>
        </w:rPr>
        <w:t xml:space="preserve"> , if so determined by the Committee, an Award denominated in Shares shall be deemed assumed if, following the Change in Control, the Award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 </w:t>
      </w:r>
      <w:r>
        <w:rPr>
          <w:rFonts w:ascii="Arial" w:cs="Arial" w:eastAsia="Arial" w:hAnsi="Arial"/>
          <w:sz w:val="14"/>
          <w:szCs w:val="14"/>
          <w:i w:val="1"/>
          <w:iCs w:val="1"/>
          <w:color w:val="auto"/>
        </w:rPr>
        <w:t>however</w:t>
      </w:r>
    </w:p>
    <w:p>
      <w:pPr>
        <w:spacing w:after="0" w:line="1" w:lineRule="exact"/>
        <w:rPr>
          <w:rFonts w:ascii="Arial" w:cs="Arial" w:eastAsia="Arial" w:hAnsi="Arial"/>
          <w:sz w:val="14"/>
          <w:szCs w:val="14"/>
          <w:color w:val="010000"/>
        </w:rPr>
      </w:pPr>
    </w:p>
    <w:p>
      <w:pPr>
        <w:ind w:left="3" w:right="220" w:hanging="3"/>
        <w:spacing w:after="0" w:line="274" w:lineRule="auto"/>
        <w:tabs>
          <w:tab w:leader="none" w:pos="84"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that if such consideration is not solely common stock of the Acquiror, the Committee may, with the consent of the Acquiror, provide for the consideration to be received upon the exercise or settlement of the Award, for each Share subject to the Award, to consist solely of common stock of the Acquiror equal in Fair Market Value to the per share consideration received by Stockholders pursuant to the Change in Control. If any portion of such consideration may be received by Stockholders pursuant to the Change in Control on a contingent or delayed basis, the Committee may determine such Fair Market Value as of the time of the Change in Control on the basis of the Committee’s good faith estimate of the present value of the probable future payment of such consideration.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56" w:lineRule="exact"/>
        <w:rPr>
          <w:rFonts w:ascii="Arial" w:cs="Arial" w:eastAsia="Arial" w:hAnsi="Arial"/>
          <w:sz w:val="15"/>
          <w:szCs w:val="15"/>
          <w:color w:val="auto"/>
        </w:rPr>
      </w:pPr>
    </w:p>
    <w:p>
      <w:pPr>
        <w:ind w:left="3" w:right="40" w:firstLine="2594"/>
        <w:spacing w:after="0" w:line="274" w:lineRule="auto"/>
        <w:tabs>
          <w:tab w:leader="none" w:pos="3424" w:val="left"/>
        </w:tabs>
        <w:numPr>
          <w:ilvl w:val="1"/>
          <w:numId w:val="47"/>
        </w:numPr>
        <w:rPr>
          <w:rFonts w:ascii="Arial" w:cs="Arial" w:eastAsia="Arial" w:hAnsi="Arial"/>
          <w:sz w:val="15"/>
          <w:szCs w:val="15"/>
          <w:color w:val="010000"/>
        </w:rPr>
      </w:pPr>
      <w:r>
        <w:rPr>
          <w:rFonts w:ascii="Arial" w:cs="Arial" w:eastAsia="Arial" w:hAnsi="Arial"/>
          <w:sz w:val="15"/>
          <w:szCs w:val="15"/>
          <w:b w:val="1"/>
          <w:bCs w:val="1"/>
          <w:color w:val="auto"/>
        </w:rPr>
        <w:t>Cash-Out of Awards</w:t>
      </w:r>
      <w:r>
        <w:rPr>
          <w:rFonts w:ascii="Arial" w:cs="Arial" w:eastAsia="Arial" w:hAnsi="Arial"/>
          <w:sz w:val="15"/>
          <w:szCs w:val="15"/>
          <w:color w:val="auto"/>
        </w:rPr>
        <w:t>. The Committee may, in its discretion and without the consent of any Grantee, determine that,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upon the occurrence of a Change in Control, each or any Award or a portion thereof outstanding immediately prior to the Change in Control and not previously exercised or settled shall be canceled in exchange for a payment with respect to each vested Share (and each unvested Share, if so determined by the Committee)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If any portion of such consideration may be received by Stockholders pursuant to the Change in Control on a contingent or delayed basis, the Committee may determine such Fair Market Value as of the time of the Change in Control on the basis of the Committee’s good faith estimate of the present value of the probable future payment of such consideration. In the event such determination is made by the Committee, the amount of such payment (reduced by applicable withholding taxes, if any) shall be paid to Grantees in respect of the vested portions of their canceled Awards as soon as practicable following the date of the Change in Control and in respect of the unvested portions of their canceled Awards in accordance with the vesting schedules applicable to such Awards. For avoidance of doubt, if the amount determined pursuant to this </w:t>
      </w:r>
      <w:r>
        <w:rPr>
          <w:rFonts w:ascii="Arial" w:cs="Arial" w:eastAsia="Arial" w:hAnsi="Arial"/>
          <w:sz w:val="15"/>
          <w:szCs w:val="15"/>
          <w:b w:val="1"/>
          <w:bCs w:val="1"/>
          <w:color w:val="auto"/>
        </w:rPr>
        <w:t>Section 15.2</w:t>
      </w:r>
      <w:r>
        <w:rPr>
          <w:rFonts w:ascii="Arial" w:cs="Arial" w:eastAsia="Arial" w:hAnsi="Arial"/>
          <w:sz w:val="15"/>
          <w:szCs w:val="15"/>
          <w:color w:val="auto"/>
        </w:rPr>
        <w:t xml:space="preserve"> for an Option or SAR is zero or less, the affected Option or SAR may be cancelled without any payment therefore.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97155</wp:posOffset>
            </wp:positionV>
            <wp:extent cx="718693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23"/>
          </w:cols>
          <w:pgMar w:left="317" w:top="123" w:right="359" w:bottom="1440" w:gutter="0" w:footer="0" w:header="0"/>
        </w:sectPr>
      </w:pPr>
    </w:p>
    <w:bookmarkStart w:id="65" w:name="page66"/>
    <w:bookmarkEnd w:id="65"/>
    <w:p>
      <w:pPr>
        <w:ind w:left="1723"/>
        <w:spacing w:after="0"/>
        <w:tabs>
          <w:tab w:leader="none" w:pos="2703" w:val="left"/>
        </w:tabs>
        <w:rPr>
          <w:sz w:val="20"/>
          <w:szCs w:val="20"/>
          <w:color w:val="auto"/>
        </w:rPr>
      </w:pPr>
      <w:r>
        <w:rPr>
          <w:rFonts w:ascii="Arial" w:cs="Arial" w:eastAsia="Arial" w:hAnsi="Arial"/>
          <w:sz w:val="16"/>
          <w:szCs w:val="16"/>
          <w:b w:val="1"/>
          <w:bCs w:val="1"/>
          <w:color w:val="010000"/>
        </w:rPr>
        <w:t>15.2.2</w:t>
      </w:r>
      <w:r>
        <w:rPr>
          <w:sz w:val="20"/>
          <w:szCs w:val="20"/>
          <w:color w:val="auto"/>
        </w:rPr>
        <w:tab/>
      </w:r>
      <w:r>
        <w:rPr>
          <w:rFonts w:ascii="Arial" w:cs="Arial" w:eastAsia="Arial" w:hAnsi="Arial"/>
          <w:sz w:val="14"/>
          <w:szCs w:val="14"/>
          <w:b w:val="1"/>
          <w:bCs w:val="1"/>
          <w:color w:val="auto"/>
        </w:rPr>
        <w:t>Change in Control Defined</w:t>
      </w:r>
    </w:p>
    <w:p>
      <w:pPr>
        <w:spacing w:after="0" w:line="20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Unless otherwise provided in the applicable Award Agreement, a “</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consummation of any of the following events:</w:t>
      </w:r>
    </w:p>
    <w:p>
      <w:pPr>
        <w:spacing w:after="0" w:line="208" w:lineRule="exact"/>
        <w:rPr>
          <w:sz w:val="20"/>
          <w:szCs w:val="20"/>
          <w:color w:val="auto"/>
        </w:rPr>
      </w:pPr>
    </w:p>
    <w:p>
      <w:pPr>
        <w:ind w:left="3" w:right="40" w:firstLine="2594"/>
        <w:spacing w:after="0" w:line="285" w:lineRule="auto"/>
        <w:tabs>
          <w:tab w:leader="none" w:pos="3334" w:val="left"/>
        </w:tabs>
        <w:numPr>
          <w:ilvl w:val="0"/>
          <w:numId w:val="48"/>
        </w:numPr>
        <w:rPr>
          <w:rFonts w:ascii="Arial" w:cs="Arial" w:eastAsia="Arial" w:hAnsi="Arial"/>
          <w:sz w:val="15"/>
          <w:szCs w:val="15"/>
          <w:color w:val="010000"/>
        </w:rPr>
      </w:pPr>
      <w:r>
        <w:rPr>
          <w:rFonts w:ascii="Arial" w:cs="Arial" w:eastAsia="Arial" w:hAnsi="Arial"/>
          <w:sz w:val="15"/>
          <w:szCs w:val="15"/>
          <w:color w:val="auto"/>
        </w:rPr>
        <w:t>The acquisition, other than from the Company, by any individual, entity or group (within the meaning of Section 13(d)(3) or Section 14(d)(2) of the Exchange Act), other than the Company or any subsidiary, affiliate (within the meaning of Rule 144 promulgated under the Securities Act) or employee benefit plan of the Company, of beneficial ownership (within the meaning of Rule 13d-3 promulgated under the Exchange Act) of more than 50% of the combined voting power of the then outstanding voting securities of the Company entitled to vote generally in the election of directors (the “ Voting Securities ”);</w:t>
      </w:r>
    </w:p>
    <w:p>
      <w:pPr>
        <w:spacing w:after="0" w:line="149" w:lineRule="exact"/>
        <w:rPr>
          <w:rFonts w:ascii="Arial" w:cs="Arial" w:eastAsia="Arial" w:hAnsi="Arial"/>
          <w:sz w:val="15"/>
          <w:szCs w:val="15"/>
          <w:color w:val="010000"/>
        </w:rPr>
      </w:pPr>
    </w:p>
    <w:p>
      <w:pPr>
        <w:ind w:left="3" w:right="80" w:firstLine="2594"/>
        <w:spacing w:after="0" w:line="292" w:lineRule="auto"/>
        <w:tabs>
          <w:tab w:leader="none" w:pos="3379" w:val="left"/>
        </w:tabs>
        <w:numPr>
          <w:ilvl w:val="0"/>
          <w:numId w:val="48"/>
        </w:numPr>
        <w:rPr>
          <w:rFonts w:ascii="Arial" w:cs="Arial" w:eastAsia="Arial" w:hAnsi="Arial"/>
          <w:sz w:val="15"/>
          <w:szCs w:val="15"/>
          <w:color w:val="010000"/>
        </w:rPr>
      </w:pPr>
      <w:r>
        <w:rPr>
          <w:rFonts w:ascii="Arial" w:cs="Arial" w:eastAsia="Arial" w:hAnsi="Arial"/>
          <w:sz w:val="15"/>
          <w:szCs w:val="15"/>
          <w:color w:val="auto"/>
        </w:rPr>
        <w:t>A reorganization, merger, consolidation or recapitalization of the Company (a “ Business Combination ”), other than a Business Combination in which more than 50% of the combined voting power of the outstanding voting securities of the surviving or resulting entity immediately following the Business Combination is held by the Persons who, immediately prior to the Business Combination, were the holders of the Voting Securities; or</w:t>
      </w:r>
    </w:p>
    <w:p>
      <w:pPr>
        <w:spacing w:after="0" w:line="145" w:lineRule="exact"/>
        <w:rPr>
          <w:rFonts w:ascii="Arial" w:cs="Arial" w:eastAsia="Arial" w:hAnsi="Arial"/>
          <w:sz w:val="15"/>
          <w:szCs w:val="15"/>
          <w:color w:val="010000"/>
        </w:rPr>
      </w:pPr>
    </w:p>
    <w:p>
      <w:pPr>
        <w:ind w:left="3423" w:hanging="826"/>
        <w:spacing w:after="0"/>
        <w:tabs>
          <w:tab w:leader="none" w:pos="3423" w:val="left"/>
        </w:tabs>
        <w:numPr>
          <w:ilvl w:val="0"/>
          <w:numId w:val="48"/>
        </w:numPr>
        <w:rPr>
          <w:rFonts w:ascii="Arial" w:cs="Arial" w:eastAsia="Arial" w:hAnsi="Arial"/>
          <w:sz w:val="15"/>
          <w:szCs w:val="15"/>
          <w:color w:val="010000"/>
        </w:rPr>
      </w:pPr>
      <w:r>
        <w:rPr>
          <w:rFonts w:ascii="Arial" w:cs="Arial" w:eastAsia="Arial" w:hAnsi="Arial"/>
          <w:sz w:val="15"/>
          <w:szCs w:val="15"/>
          <w:color w:val="auto"/>
        </w:rPr>
        <w:t>A complete liquidation or dissolution of the Company, or a sale of all or substantially all of the assets of the Company;</w:t>
      </w:r>
    </w:p>
    <w:p>
      <w:pPr>
        <w:spacing w:after="0" w:line="33" w:lineRule="exact"/>
        <w:rPr>
          <w:rFonts w:ascii="Arial" w:cs="Arial" w:eastAsia="Arial" w:hAnsi="Arial"/>
          <w:sz w:val="15"/>
          <w:szCs w:val="15"/>
          <w:color w:val="010000"/>
        </w:rPr>
      </w:pPr>
    </w:p>
    <w:p>
      <w:pPr>
        <w:ind w:left="3"/>
        <w:spacing w:after="0"/>
        <w:rPr>
          <w:rFonts w:ascii="Arial" w:cs="Arial" w:eastAsia="Arial" w:hAnsi="Arial"/>
          <w:sz w:val="15"/>
          <w:szCs w:val="15"/>
          <w:color w:val="010000"/>
        </w:rPr>
      </w:pPr>
      <w:r>
        <w:rPr>
          <w:rFonts w:ascii="Arial" w:cs="Arial" w:eastAsia="Arial" w:hAnsi="Arial"/>
          <w:sz w:val="16"/>
          <w:szCs w:val="16"/>
          <w:color w:val="auto"/>
        </w:rPr>
        <w:t>or</w:t>
      </w:r>
    </w:p>
    <w:p>
      <w:pPr>
        <w:spacing w:after="0" w:line="191" w:lineRule="exact"/>
        <w:rPr>
          <w:rFonts w:ascii="Arial" w:cs="Arial" w:eastAsia="Arial" w:hAnsi="Arial"/>
          <w:sz w:val="15"/>
          <w:szCs w:val="15"/>
          <w:color w:val="010000"/>
        </w:rPr>
      </w:pPr>
    </w:p>
    <w:p>
      <w:pPr>
        <w:jc w:val="both"/>
        <w:ind w:left="3" w:firstLine="2594"/>
        <w:spacing w:after="0" w:line="262" w:lineRule="auto"/>
        <w:tabs>
          <w:tab w:leader="none" w:pos="3415" w:val="left"/>
        </w:tabs>
        <w:numPr>
          <w:ilvl w:val="0"/>
          <w:numId w:val="48"/>
        </w:numPr>
        <w:rPr>
          <w:rFonts w:ascii="Arial" w:cs="Arial" w:eastAsia="Arial" w:hAnsi="Arial"/>
          <w:sz w:val="16"/>
          <w:szCs w:val="16"/>
          <w:color w:val="010000"/>
        </w:rPr>
      </w:pPr>
      <w:r>
        <w:rPr>
          <w:rFonts w:ascii="Arial" w:cs="Arial" w:eastAsia="Arial" w:hAnsi="Arial"/>
          <w:sz w:val="16"/>
          <w:szCs w:val="16"/>
          <w:color w:val="auto"/>
        </w:rPr>
        <w:t>During any period of 24 consecutive months, the Incumbent Directors cease to constitute a majority of the Board; “ Incumbent Directors ” means individuals who were members of the Board at the beginning of such period or individuals whose election or nomination for election to the Board by the Stockholders was approved by a vote of at least a majority of the then Incumbent Directors (but excluding any individual whose initial election or nomination is in connection with an actual or threatened proxy contest relating to the election of directors).</w:t>
      </w:r>
    </w:p>
    <w:p>
      <w:pPr>
        <w:spacing w:after="0" w:line="166" w:lineRule="exact"/>
        <w:rPr>
          <w:sz w:val="20"/>
          <w:szCs w:val="20"/>
          <w:color w:val="auto"/>
        </w:rPr>
      </w:pPr>
    </w:p>
    <w:p>
      <w:pPr>
        <w:ind w:left="3" w:right="80" w:firstLine="865"/>
        <w:spacing w:after="0" w:line="267" w:lineRule="auto"/>
        <w:rPr>
          <w:sz w:val="20"/>
          <w:szCs w:val="20"/>
          <w:color w:val="auto"/>
        </w:rPr>
      </w:pPr>
      <w:r>
        <w:rPr>
          <w:rFonts w:ascii="Arial" w:cs="Arial" w:eastAsia="Arial" w:hAnsi="Arial"/>
          <w:sz w:val="16"/>
          <w:szCs w:val="16"/>
          <w:color w:val="auto"/>
        </w:rPr>
        <w:t>Notwithstanding the foregoing, if it is determined that an Award is subject to the requirements of Section 409A and payable upon a Change in Control, the Company will not be deemed to have undergone a Change in Control for purposes of the Plan unless the Company is deemed to have undergone a “change in control event” pursuant to the definition of such term in Section 409A.</w:t>
      </w:r>
    </w:p>
    <w:p>
      <w:pPr>
        <w:spacing w:after="0" w:line="157"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15.3</w:t>
      </w:r>
      <w:r>
        <w:rPr>
          <w:sz w:val="20"/>
          <w:szCs w:val="20"/>
          <w:color w:val="auto"/>
        </w:rPr>
        <w:tab/>
      </w:r>
      <w:r>
        <w:rPr>
          <w:rFonts w:ascii="Arial" w:cs="Arial" w:eastAsia="Arial" w:hAnsi="Arial"/>
          <w:sz w:val="14"/>
          <w:szCs w:val="14"/>
          <w:b w:val="1"/>
          <w:bCs w:val="1"/>
          <w:color w:val="auto"/>
        </w:rPr>
        <w:t>Adjustments</w:t>
      </w:r>
    </w:p>
    <w:p>
      <w:pPr>
        <w:spacing w:after="0" w:line="204" w:lineRule="exact"/>
        <w:rPr>
          <w:sz w:val="20"/>
          <w:szCs w:val="20"/>
          <w:color w:val="auto"/>
        </w:rPr>
      </w:pPr>
    </w:p>
    <w:p>
      <w:pPr>
        <w:jc w:val="both"/>
        <w:ind w:left="3" w:right="20" w:firstLine="865"/>
        <w:spacing w:after="0" w:line="269" w:lineRule="auto"/>
        <w:rPr>
          <w:sz w:val="20"/>
          <w:szCs w:val="20"/>
          <w:color w:val="auto"/>
        </w:rPr>
      </w:pPr>
      <w:r>
        <w:rPr>
          <w:rFonts w:ascii="Arial" w:cs="Arial" w:eastAsia="Arial" w:hAnsi="Arial"/>
          <w:sz w:val="16"/>
          <w:szCs w:val="16"/>
          <w:color w:val="auto"/>
        </w:rPr>
        <w:t xml:space="preserve">Adjustments under this </w:t>
      </w:r>
      <w:r>
        <w:rPr>
          <w:rFonts w:ascii="Arial" w:cs="Arial" w:eastAsia="Arial" w:hAnsi="Arial"/>
          <w:sz w:val="16"/>
          <w:szCs w:val="16"/>
          <w:b w:val="1"/>
          <w:bCs w:val="1"/>
          <w:color w:val="auto"/>
        </w:rPr>
        <w:t>Section 15</w:t>
      </w:r>
      <w:r>
        <w:rPr>
          <w:rFonts w:ascii="Arial" w:cs="Arial" w:eastAsia="Arial" w:hAnsi="Arial"/>
          <w:sz w:val="16"/>
          <w:szCs w:val="16"/>
          <w:color w:val="auto"/>
        </w:rPr>
        <w:t xml:space="preserve"> related to Shares or securities of the Company shall be made by the Committee. No fractional Shares or other securities shall be issued pursuant to any such adjustment, and any fractions resulting from any such adjustment shall be eliminated in each case by rounding downward to the nearest whole Share.</w:t>
      </w:r>
    </w:p>
    <w:p>
      <w:pPr>
        <w:spacing w:after="0" w:line="157" w:lineRule="exact"/>
        <w:rPr>
          <w:sz w:val="20"/>
          <w:szCs w:val="20"/>
          <w:color w:val="auto"/>
        </w:rPr>
      </w:pPr>
    </w:p>
    <w:p>
      <w:pPr>
        <w:ind w:left="783" w:hanging="783"/>
        <w:spacing w:after="0"/>
        <w:tabs>
          <w:tab w:leader="none" w:pos="783"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NO LIMITATIONS ON COMPANY</w:t>
      </w:r>
    </w:p>
    <w:p>
      <w:pPr>
        <w:spacing w:after="0" w:line="208" w:lineRule="exact"/>
        <w:rPr>
          <w:sz w:val="20"/>
          <w:szCs w:val="20"/>
          <w:color w:val="auto"/>
        </w:rPr>
      </w:pPr>
    </w:p>
    <w:p>
      <w:pPr>
        <w:ind w:left="3" w:right="40" w:firstLine="865"/>
        <w:spacing w:after="0" w:line="316" w:lineRule="auto"/>
        <w:rPr>
          <w:sz w:val="20"/>
          <w:szCs w:val="20"/>
          <w:color w:val="auto"/>
        </w:rPr>
      </w:pPr>
      <w:r>
        <w:rPr>
          <w:rFonts w:ascii="Arial" w:cs="Arial" w:eastAsia="Arial" w:hAnsi="Arial"/>
          <w:sz w:val="15"/>
          <w:szCs w:val="15"/>
          <w:color w:val="auto"/>
        </w:rPr>
        <w:t>The making of Awards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23" w:lineRule="exact"/>
        <w:rPr>
          <w:sz w:val="20"/>
          <w:szCs w:val="20"/>
          <w:color w:val="auto"/>
        </w:rPr>
      </w:pPr>
    </w:p>
    <w:p>
      <w:pPr>
        <w:ind w:left="783" w:hanging="783"/>
        <w:spacing w:after="0"/>
        <w:tabs>
          <w:tab w:leader="none" w:pos="783"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TERMS APPLICABLE GENERALLY TO AWARDS</w:t>
      </w:r>
    </w:p>
    <w:p>
      <w:pPr>
        <w:spacing w:after="0" w:line="20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010000"/>
        </w:rPr>
        <w:t>17.1</w:t>
      </w:r>
      <w:r>
        <w:rPr>
          <w:sz w:val="20"/>
          <w:szCs w:val="20"/>
          <w:color w:val="auto"/>
        </w:rPr>
        <w:tab/>
      </w:r>
      <w:r>
        <w:rPr>
          <w:rFonts w:ascii="Arial" w:cs="Arial" w:eastAsia="Arial" w:hAnsi="Arial"/>
          <w:sz w:val="14"/>
          <w:szCs w:val="14"/>
          <w:b w:val="1"/>
          <w:bCs w:val="1"/>
          <w:color w:val="auto"/>
        </w:rPr>
        <w:t>Disclaimer of Rights</w:t>
      </w:r>
    </w:p>
    <w:p>
      <w:pPr>
        <w:spacing w:after="0" w:line="208" w:lineRule="exact"/>
        <w:rPr>
          <w:sz w:val="20"/>
          <w:szCs w:val="20"/>
          <w:color w:val="auto"/>
        </w:rPr>
      </w:pPr>
    </w:p>
    <w:p>
      <w:pPr>
        <w:jc w:val="both"/>
        <w:ind w:left="3" w:right="540" w:firstLine="865"/>
        <w:spacing w:after="0" w:line="262" w:lineRule="auto"/>
        <w:rPr>
          <w:sz w:val="20"/>
          <w:szCs w:val="20"/>
          <w:color w:val="auto"/>
        </w:rPr>
      </w:pPr>
      <w:r>
        <w:rPr>
          <w:rFonts w:ascii="Arial" w:cs="Arial" w:eastAsia="Arial" w:hAnsi="Arial"/>
          <w:sz w:val="16"/>
          <w:szCs w:val="16"/>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or any Affiliate either to increase or decrease the compensation or other payments to any individual at any time, or to terminate any employment or other relationship between any individual and the Company or any Affiliate. In addition, notwithstanding anything contained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wp:posOffset>
            </wp:positionV>
            <wp:extent cx="718693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23"/>
          </w:cols>
          <w:pgMar w:left="317" w:top="123" w:right="359" w:bottom="1440" w:gutter="0" w:footer="0" w:header="0"/>
        </w:sectPr>
      </w:pPr>
    </w:p>
    <w:bookmarkStart w:id="66" w:name="page67"/>
    <w:bookmarkEnd w:id="66"/>
    <w:p>
      <w:pPr>
        <w:spacing w:after="0" w:line="311" w:lineRule="auto"/>
        <w:rPr>
          <w:sz w:val="20"/>
          <w:szCs w:val="20"/>
          <w:color w:val="auto"/>
        </w:rPr>
      </w:pPr>
      <w:r>
        <w:rPr>
          <w:rFonts w:ascii="Arial" w:cs="Arial" w:eastAsia="Arial" w:hAnsi="Arial"/>
          <w:sz w:val="14"/>
          <w:szCs w:val="14"/>
          <w:color w:val="auto"/>
        </w:rPr>
        <w:t>Plan to the contrary, unless otherwise provided in the applicable Award Agreement, no Award shall be affected by any change of duties or position of the Grantee, so long as such Grantee continues to be a Service Provider. The obligation of the Company to pay any benefits pursuant to the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and conditions of the Plan.</w:t>
      </w:r>
    </w:p>
    <w:p>
      <w:pPr>
        <w:spacing w:after="0" w:line="13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17.2</w:t>
      </w:r>
      <w:r>
        <w:rPr>
          <w:sz w:val="20"/>
          <w:szCs w:val="20"/>
          <w:color w:val="auto"/>
        </w:rPr>
        <w:tab/>
      </w:r>
      <w:r>
        <w:rPr>
          <w:rFonts w:ascii="Arial" w:cs="Arial" w:eastAsia="Arial" w:hAnsi="Arial"/>
          <w:sz w:val="15"/>
          <w:szCs w:val="15"/>
          <w:color w:val="auto"/>
        </w:rPr>
        <w:t>Nonexclusivity of the Plan</w:t>
      </w:r>
    </w:p>
    <w:p>
      <w:pPr>
        <w:spacing w:after="0" w:line="208" w:lineRule="exact"/>
        <w:rPr>
          <w:sz w:val="20"/>
          <w:szCs w:val="20"/>
          <w:color w:val="auto"/>
        </w:rPr>
      </w:pPr>
    </w:p>
    <w:p>
      <w:pPr>
        <w:ind w:right="20" w:firstLine="865"/>
        <w:spacing w:after="0" w:line="281" w:lineRule="auto"/>
        <w:rPr>
          <w:sz w:val="20"/>
          <w:szCs w:val="20"/>
          <w:color w:val="auto"/>
        </w:rPr>
      </w:pPr>
      <w:r>
        <w:rPr>
          <w:rFonts w:ascii="Arial" w:cs="Arial" w:eastAsia="Arial" w:hAnsi="Arial"/>
          <w:sz w:val="16"/>
          <w:szCs w:val="16"/>
          <w:color w:val="auto"/>
        </w:rPr>
        <w:t>Neither the adoption of the Plan nor the submission of the Plan to the Stockholders for approval shall be construed as creating any limitations upon the right and authority of the Board or its delegate to adopt such other compensation arrangements as the Board or its delegate determines desirable.</w:t>
      </w:r>
    </w:p>
    <w:p>
      <w:pPr>
        <w:spacing w:after="0" w:line="14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17.3</w:t>
      </w:r>
      <w:r>
        <w:rPr>
          <w:sz w:val="20"/>
          <w:szCs w:val="20"/>
          <w:color w:val="auto"/>
        </w:rPr>
        <w:tab/>
      </w:r>
      <w:r>
        <w:rPr>
          <w:rFonts w:ascii="Arial" w:cs="Arial" w:eastAsia="Arial" w:hAnsi="Arial"/>
          <w:sz w:val="15"/>
          <w:szCs w:val="15"/>
          <w:color w:val="auto"/>
        </w:rPr>
        <w:t>Withholding Taxes</w:t>
      </w:r>
    </w:p>
    <w:p>
      <w:pPr>
        <w:spacing w:after="0" w:line="208" w:lineRule="exact"/>
        <w:rPr>
          <w:sz w:val="20"/>
          <w:szCs w:val="20"/>
          <w:color w:val="auto"/>
        </w:rPr>
      </w:pPr>
    </w:p>
    <w:p>
      <w:pPr>
        <w:ind w:right="20" w:firstLine="865"/>
        <w:spacing w:after="0" w:line="296" w:lineRule="auto"/>
        <w:rPr>
          <w:sz w:val="20"/>
          <w:szCs w:val="20"/>
          <w:color w:val="auto"/>
        </w:rPr>
      </w:pPr>
      <w:r>
        <w:rPr>
          <w:rFonts w:ascii="Arial" w:cs="Arial" w:eastAsia="Arial" w:hAnsi="Arial"/>
          <w:sz w:val="14"/>
          <w:szCs w:val="14"/>
          <w:color w:val="auto"/>
        </w:rPr>
        <w:t xml:space="preserve">The Company or an Affiliate, as the case may be, shall have the right to deduct from payments of any kind otherwise due to a Grantee any federal, state or local taxes of any kind required by law to be withheld (i) with respect to the vesting of or other lapse of restrictions applicable to an Award, (ii) upon the issuance of any Shares upon the exercise of an Option or SAR or (iii) otherwise due in connection with an Award. At the time of such vesting, lapse or exercise, the Grantee shall pay to the Company or the Affiliate, as the case may be, any amount that the Company or the Affiliate may reasonably determine to be necessary to satisfy such withholding obligation. Subject to the prior approval of the Committee, the Grantee may elect to satisfy such obligations, or the Company may require such obligations to be satisfied, in whole or in part, (i) by causing the Company or the Affiliate to withhold the minimum required number of Shares otherwise issuable to the Grantee as may be necessary to satisfy such withholding obligation or (ii) by delivering to the Company or the Affiliate Shares already owned by the Grantee. The Shares so delivered or withheld shall have an aggregate Fair Market Value equal to such withholding obligations. The Fair Market Value used to satisfy such withholding obligation shall be determined by the Company or the Affiliate as of the date that the amount of tax to be withheld is to be determined. A Grantee who has made an election pursuant to this </w:t>
      </w:r>
      <w:r>
        <w:rPr>
          <w:rFonts w:ascii="Arial" w:cs="Arial" w:eastAsia="Arial" w:hAnsi="Arial"/>
          <w:sz w:val="14"/>
          <w:szCs w:val="14"/>
          <w:b w:val="1"/>
          <w:bCs w:val="1"/>
          <w:color w:val="auto"/>
        </w:rPr>
        <w:t>Section 17.3</w:t>
      </w:r>
      <w:r>
        <w:rPr>
          <w:rFonts w:ascii="Arial" w:cs="Arial" w:eastAsia="Arial" w:hAnsi="Arial"/>
          <w:sz w:val="14"/>
          <w:szCs w:val="14"/>
          <w:color w:val="auto"/>
        </w:rPr>
        <w:t xml:space="preserve"> may satisfy his or her withholding obligation only with Shares that are not subject to any repurchase, forfeiture, unfulfilled vesting or other similar requirements.</w:t>
      </w:r>
    </w:p>
    <w:p>
      <w:pPr>
        <w:spacing w:after="0" w:line="14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17.4</w:t>
      </w:r>
      <w:r>
        <w:rPr>
          <w:sz w:val="20"/>
          <w:szCs w:val="20"/>
          <w:color w:val="auto"/>
        </w:rPr>
        <w:tab/>
      </w:r>
      <w:r>
        <w:rPr>
          <w:rFonts w:ascii="Arial" w:cs="Arial" w:eastAsia="Arial" w:hAnsi="Arial"/>
          <w:sz w:val="14"/>
          <w:szCs w:val="14"/>
          <w:b w:val="1"/>
          <w:bCs w:val="1"/>
          <w:color w:val="auto"/>
        </w:rPr>
        <w:t>Other Provisions</w:t>
      </w:r>
    </w:p>
    <w:p>
      <w:pPr>
        <w:spacing w:after="0" w:line="208" w:lineRule="exact"/>
        <w:rPr>
          <w:sz w:val="20"/>
          <w:szCs w:val="20"/>
          <w:color w:val="auto"/>
        </w:rPr>
      </w:pPr>
    </w:p>
    <w:p>
      <w:pPr>
        <w:ind w:right="20" w:firstLine="865"/>
        <w:spacing w:after="0" w:line="316" w:lineRule="auto"/>
        <w:rPr>
          <w:sz w:val="20"/>
          <w:szCs w:val="20"/>
          <w:color w:val="auto"/>
        </w:rPr>
      </w:pPr>
      <w:r>
        <w:rPr>
          <w:rFonts w:ascii="Arial" w:cs="Arial" w:eastAsia="Arial" w:hAnsi="Arial"/>
          <w:sz w:val="15"/>
          <w:szCs w:val="15"/>
          <w:color w:val="auto"/>
        </w:rPr>
        <w:t>Each Award Agreement may contain such other terms and conditions not inconsistent with the Plan as may be determined by the Committee. In the event of any conflict between the terms and conditions of an employment agreement and the Plan, the terms and conditions of the employment agreement shall govern.</w:t>
      </w:r>
    </w:p>
    <w:p>
      <w:pPr>
        <w:spacing w:after="0" w:line="12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17.5</w:t>
      </w:r>
      <w:r>
        <w:rPr>
          <w:sz w:val="20"/>
          <w:szCs w:val="20"/>
          <w:color w:val="auto"/>
        </w:rPr>
        <w:tab/>
      </w:r>
      <w:r>
        <w:rPr>
          <w:rFonts w:ascii="Arial" w:cs="Arial" w:eastAsia="Arial" w:hAnsi="Arial"/>
          <w:sz w:val="14"/>
          <w:szCs w:val="14"/>
          <w:b w:val="1"/>
          <w:bCs w:val="1"/>
          <w:color w:val="auto"/>
        </w:rPr>
        <w:t>Severability</w:t>
      </w:r>
    </w:p>
    <w:p>
      <w:pPr>
        <w:spacing w:after="0" w:line="208" w:lineRule="exact"/>
        <w:rPr>
          <w:sz w:val="20"/>
          <w:szCs w:val="20"/>
          <w:color w:val="auto"/>
        </w:rPr>
      </w:pPr>
    </w:p>
    <w:p>
      <w:pPr>
        <w:ind w:right="220" w:firstLine="865"/>
        <w:spacing w:after="0" w:line="267" w:lineRule="auto"/>
        <w:rPr>
          <w:sz w:val="20"/>
          <w:szCs w:val="20"/>
          <w:color w:val="auto"/>
        </w:rPr>
      </w:pPr>
      <w:r>
        <w:rPr>
          <w:rFonts w:ascii="Arial" w:cs="Arial" w:eastAsia="Arial" w:hAnsi="Arial"/>
          <w:sz w:val="16"/>
          <w:szCs w:val="16"/>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conditions, and all provisions shall remain enforceable in any other jurisdiction.</w:t>
      </w:r>
    </w:p>
    <w:p>
      <w:pPr>
        <w:spacing w:after="0" w:line="15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17.6</w:t>
      </w:r>
      <w:r>
        <w:rPr>
          <w:sz w:val="20"/>
          <w:szCs w:val="20"/>
          <w:color w:val="auto"/>
        </w:rPr>
        <w:tab/>
      </w:r>
      <w:r>
        <w:rPr>
          <w:rFonts w:ascii="Arial" w:cs="Arial" w:eastAsia="Arial" w:hAnsi="Arial"/>
          <w:sz w:val="14"/>
          <w:szCs w:val="14"/>
          <w:b w:val="1"/>
          <w:bCs w:val="1"/>
          <w:color w:val="auto"/>
        </w:rPr>
        <w:t>Governing Law</w:t>
      </w:r>
    </w:p>
    <w:p>
      <w:pPr>
        <w:spacing w:after="0" w:line="208" w:lineRule="exact"/>
        <w:rPr>
          <w:sz w:val="20"/>
          <w:szCs w:val="20"/>
          <w:color w:val="auto"/>
        </w:rPr>
      </w:pPr>
    </w:p>
    <w:p>
      <w:pPr>
        <w:ind w:right="40" w:firstLine="865"/>
        <w:spacing w:after="0" w:line="281" w:lineRule="auto"/>
        <w:rPr>
          <w:sz w:val="20"/>
          <w:szCs w:val="20"/>
          <w:color w:val="auto"/>
        </w:rPr>
      </w:pPr>
      <w:r>
        <w:rPr>
          <w:rFonts w:ascii="Arial" w:cs="Arial" w:eastAsia="Arial" w:hAnsi="Arial"/>
          <w:sz w:val="16"/>
          <w:szCs w:val="16"/>
          <w:color w:val="auto"/>
        </w:rPr>
        <w:t>The Plan shall be governed by and construed in accordance with the laws of the State of Delaware without giving effect to the principles of conflicts of law, and applicable Federal law.</w:t>
      </w:r>
    </w:p>
    <w:p>
      <w:pPr>
        <w:spacing w:after="0" w:line="14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17.7</w:t>
      </w:r>
      <w:r>
        <w:rPr>
          <w:sz w:val="20"/>
          <w:szCs w:val="20"/>
          <w:color w:val="auto"/>
        </w:rPr>
        <w:tab/>
      </w:r>
      <w:r>
        <w:rPr>
          <w:rFonts w:ascii="Arial" w:cs="Arial" w:eastAsia="Arial" w:hAnsi="Arial"/>
          <w:sz w:val="14"/>
          <w:szCs w:val="14"/>
          <w:b w:val="1"/>
          <w:bCs w:val="1"/>
          <w:color w:val="auto"/>
        </w:rPr>
        <w:t>Section 409A</w:t>
      </w:r>
    </w:p>
    <w:p>
      <w:pPr>
        <w:spacing w:after="0" w:line="208" w:lineRule="exact"/>
        <w:rPr>
          <w:sz w:val="20"/>
          <w:szCs w:val="20"/>
          <w:color w:val="auto"/>
        </w:rPr>
      </w:pPr>
    </w:p>
    <w:p>
      <w:pPr>
        <w:jc w:val="both"/>
        <w:ind w:firstLine="865"/>
        <w:spacing w:after="0" w:line="262" w:lineRule="auto"/>
        <w:rPr>
          <w:sz w:val="20"/>
          <w:szCs w:val="20"/>
          <w:color w:val="auto"/>
        </w:rPr>
      </w:pPr>
      <w:r>
        <w:rPr>
          <w:rFonts w:ascii="Arial" w:cs="Arial" w:eastAsia="Arial" w:hAnsi="Arial"/>
          <w:sz w:val="16"/>
          <w:szCs w:val="16"/>
          <w:color w:val="auto"/>
        </w:rPr>
        <w:t>The Plan is intended to comply with Section 409A to the extent subject thereto,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applicable laws require otherwise. Notwithstanding anything to the contrary in the Plan, to the extent required to avoid accelerated taxation and tax penalties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100330</wp:posOffset>
            </wp:positionV>
            <wp:extent cx="718693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line="311" w:lineRule="auto"/>
        <w:rPr>
          <w:sz w:val="20"/>
          <w:szCs w:val="20"/>
          <w:color w:val="auto"/>
        </w:rPr>
      </w:pPr>
      <w:r>
        <w:rPr>
          <w:rFonts w:ascii="Arial" w:cs="Arial" w:eastAsia="Arial" w:hAnsi="Arial"/>
          <w:sz w:val="14"/>
          <w:szCs w:val="14"/>
          <w:color w:val="auto"/>
        </w:rPr>
        <w:t>amounts that would otherwise be payable and benefits that would otherwise be provided pursuant to the Plan during the six-month period immediately following the Grantee’s Separation from Service shall instead be paid on the first payroll date after the six-month anniversary of the Grantee’s Separation from Service (or the Grantee’s death, if earlier). Notwithstanding the foregoing, neither the Company nor the Committee shall have any obligation to take any action to prevent the assessment of any excise tax or penalty on any Grantee under Section 409A and neither the Company nor the Committee shall have any liability to any Grantee for such tax or penalty.</w:t>
      </w:r>
    </w:p>
    <w:p>
      <w:pPr>
        <w:spacing w:after="0" w:line="13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010000"/>
        </w:rPr>
        <w:t>17.8</w:t>
      </w:r>
      <w:r>
        <w:rPr>
          <w:sz w:val="20"/>
          <w:szCs w:val="20"/>
          <w:color w:val="auto"/>
        </w:rPr>
        <w:tab/>
      </w:r>
      <w:r>
        <w:rPr>
          <w:rFonts w:ascii="Arial" w:cs="Arial" w:eastAsia="Arial" w:hAnsi="Arial"/>
          <w:sz w:val="14"/>
          <w:szCs w:val="14"/>
          <w:b w:val="1"/>
          <w:bCs w:val="1"/>
          <w:color w:val="auto"/>
        </w:rPr>
        <w:t>Separation from Service</w:t>
      </w:r>
    </w:p>
    <w:p>
      <w:pPr>
        <w:spacing w:after="0" w:line="208" w:lineRule="exact"/>
        <w:rPr>
          <w:sz w:val="20"/>
          <w:szCs w:val="20"/>
          <w:color w:val="auto"/>
        </w:rPr>
      </w:pPr>
    </w:p>
    <w:p>
      <w:pPr>
        <w:ind w:right="60" w:firstLine="865"/>
        <w:spacing w:after="0" w:line="262" w:lineRule="auto"/>
        <w:rPr>
          <w:sz w:val="20"/>
          <w:szCs w:val="20"/>
          <w:color w:val="auto"/>
        </w:rPr>
      </w:pPr>
      <w:r>
        <w:rPr>
          <w:rFonts w:ascii="Arial" w:cs="Arial" w:eastAsia="Arial" w:hAnsi="Arial"/>
          <w:sz w:val="16"/>
          <w:szCs w:val="16"/>
          <w:color w:val="auto"/>
        </w:rPr>
        <w:t>The Committee shall determine the effect of a Separation from Service upon Awards, and such effect shall be set forth in the applicable Award Agreement. Without limiting the foregoing, the Committee may provide in the Award Agreements at the time of grant, or any time thereafter with the consent of the Grantee, the actions that will be taken upon the occurrence of a Separation from Service, including accelerated vesting or termination, depending upon the circumstances surrounding the Separation from Service.</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17.9</w:t>
            </w:r>
          </w:p>
        </w:tc>
        <w:tc>
          <w:tcPr>
            <w:tcW w:w="2700" w:type="dxa"/>
            <w:vAlign w:val="bottom"/>
            <w:gridSpan w:val="2"/>
          </w:tcPr>
          <w:p>
            <w:pPr>
              <w:ind w:left="280"/>
              <w:spacing w:after="0"/>
              <w:rPr>
                <w:sz w:val="20"/>
                <w:szCs w:val="20"/>
                <w:color w:val="auto"/>
              </w:rPr>
            </w:pPr>
            <w:r>
              <w:rPr>
                <w:rFonts w:ascii="Arial" w:cs="Arial" w:eastAsia="Arial" w:hAnsi="Arial"/>
                <w:sz w:val="16"/>
                <w:szCs w:val="16"/>
                <w:b w:val="1"/>
                <w:bCs w:val="1"/>
                <w:color w:val="auto"/>
              </w:rPr>
              <w:t>Transferability of Awards</w:t>
            </w:r>
          </w:p>
        </w:tc>
      </w:tr>
      <w:tr>
        <w:trPr>
          <w:trHeight w:val="388"/>
        </w:trPr>
        <w:tc>
          <w:tcPr>
            <w:tcW w:w="58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6"/>
                <w:szCs w:val="16"/>
                <w:b w:val="1"/>
                <w:bCs w:val="1"/>
                <w:color w:val="010000"/>
              </w:rPr>
              <w:t>17.9.1</w:t>
            </w:r>
          </w:p>
        </w:tc>
        <w:tc>
          <w:tcPr>
            <w:tcW w:w="1720" w:type="dxa"/>
            <w:vAlign w:val="bottom"/>
          </w:tcPr>
          <w:p>
            <w:pPr>
              <w:ind w:left="300"/>
              <w:spacing w:after="0"/>
              <w:rPr>
                <w:sz w:val="20"/>
                <w:szCs w:val="20"/>
                <w:color w:val="auto"/>
              </w:rPr>
            </w:pPr>
            <w:r>
              <w:rPr>
                <w:rFonts w:ascii="Arial" w:cs="Arial" w:eastAsia="Arial" w:hAnsi="Arial"/>
                <w:sz w:val="16"/>
                <w:szCs w:val="16"/>
                <w:b w:val="1"/>
                <w:bCs w:val="1"/>
                <w:color w:val="auto"/>
                <w:w w:val="89"/>
              </w:rPr>
              <w:t>Transfers in General</w:t>
            </w:r>
          </w:p>
        </w:tc>
      </w:tr>
    </w:tbl>
    <w:p>
      <w:pPr>
        <w:spacing w:after="0" w:line="178" w:lineRule="exact"/>
        <w:rPr>
          <w:sz w:val="20"/>
          <w:szCs w:val="20"/>
          <w:color w:val="auto"/>
        </w:rPr>
      </w:pPr>
    </w:p>
    <w:p>
      <w:pPr>
        <w:ind w:right="220" w:firstLine="865"/>
        <w:spacing w:after="0" w:line="321" w:lineRule="auto"/>
        <w:rPr>
          <w:sz w:val="20"/>
          <w:szCs w:val="20"/>
          <w:color w:val="auto"/>
        </w:rPr>
      </w:pPr>
      <w:r>
        <w:rPr>
          <w:rFonts w:ascii="Arial" w:cs="Arial" w:eastAsia="Arial" w:hAnsi="Arial"/>
          <w:sz w:val="15"/>
          <w:szCs w:val="15"/>
          <w:color w:val="auto"/>
        </w:rPr>
        <w:t xml:space="preserve">Except as provided in </w:t>
      </w:r>
      <w:r>
        <w:rPr>
          <w:rFonts w:ascii="Arial" w:cs="Arial" w:eastAsia="Arial" w:hAnsi="Arial"/>
          <w:sz w:val="15"/>
          <w:szCs w:val="15"/>
          <w:b w:val="1"/>
          <w:bCs w:val="1"/>
          <w:color w:val="auto"/>
        </w:rPr>
        <w:t>Section 17.9.2</w:t>
      </w:r>
      <w:r>
        <w:rPr>
          <w:rFonts w:ascii="Arial" w:cs="Arial" w:eastAsia="Arial" w:hAnsi="Arial"/>
          <w:sz w:val="15"/>
          <w:szCs w:val="15"/>
          <w:color w:val="auto"/>
        </w:rPr>
        <w:t xml:space="preserve"> , no Award shall be assignable or transferable by the Grantee, other than by will or the laws of descent and distribution, and, during the lifetime of the Grantee, only the Grantee personally (or the Grantee’s personal representative) may exercise rights under the Plan.</w:t>
      </w:r>
    </w:p>
    <w:p>
      <w:pPr>
        <w:spacing w:after="0" w:line="120" w:lineRule="exact"/>
        <w:rPr>
          <w:sz w:val="20"/>
          <w:szCs w:val="20"/>
          <w:color w:val="auto"/>
        </w:rPr>
      </w:pPr>
    </w:p>
    <w:p>
      <w:pPr>
        <w:ind w:left="1720"/>
        <w:spacing w:after="0"/>
        <w:tabs>
          <w:tab w:leader="none" w:pos="2700" w:val="left"/>
        </w:tabs>
        <w:rPr>
          <w:sz w:val="20"/>
          <w:szCs w:val="20"/>
          <w:color w:val="auto"/>
        </w:rPr>
      </w:pPr>
      <w:r>
        <w:rPr>
          <w:rFonts w:ascii="Arial" w:cs="Arial" w:eastAsia="Arial" w:hAnsi="Arial"/>
          <w:sz w:val="16"/>
          <w:szCs w:val="16"/>
          <w:b w:val="1"/>
          <w:bCs w:val="1"/>
          <w:color w:val="010000"/>
        </w:rPr>
        <w:t>17.9.2</w:t>
      </w:r>
      <w:r>
        <w:rPr>
          <w:sz w:val="20"/>
          <w:szCs w:val="20"/>
          <w:color w:val="auto"/>
        </w:rPr>
        <w:tab/>
      </w:r>
      <w:r>
        <w:rPr>
          <w:rFonts w:ascii="Arial" w:cs="Arial" w:eastAsia="Arial" w:hAnsi="Arial"/>
          <w:sz w:val="14"/>
          <w:szCs w:val="14"/>
          <w:b w:val="1"/>
          <w:bCs w:val="1"/>
          <w:color w:val="auto"/>
        </w:rPr>
        <w:t>Family Transfers</w:t>
      </w:r>
    </w:p>
    <w:p>
      <w:pPr>
        <w:spacing w:after="0" w:line="208" w:lineRule="exact"/>
        <w:rPr>
          <w:sz w:val="20"/>
          <w:szCs w:val="20"/>
          <w:color w:val="auto"/>
        </w:rPr>
      </w:pPr>
    </w:p>
    <w:p>
      <w:pPr>
        <w:ind w:right="20" w:firstLine="865"/>
        <w:spacing w:after="0" w:line="258" w:lineRule="auto"/>
        <w:rPr>
          <w:sz w:val="20"/>
          <w:szCs w:val="20"/>
          <w:color w:val="auto"/>
        </w:rPr>
      </w:pPr>
      <w:r>
        <w:rPr>
          <w:rFonts w:ascii="Arial" w:cs="Arial" w:eastAsia="Arial" w:hAnsi="Arial"/>
          <w:sz w:val="16"/>
          <w:szCs w:val="16"/>
          <w:color w:val="auto"/>
        </w:rPr>
        <w:t xml:space="preserve">If authorized in the applicable Award Agreement, a Grantee may transfer, not for value, all or part of an Award (other than Incentive Stock Options) to any Family Member. For the purpose of this </w:t>
      </w:r>
      <w:r>
        <w:rPr>
          <w:rFonts w:ascii="Arial" w:cs="Arial" w:eastAsia="Arial" w:hAnsi="Arial"/>
          <w:sz w:val="16"/>
          <w:szCs w:val="16"/>
          <w:b w:val="1"/>
          <w:bCs w:val="1"/>
          <w:color w:val="auto"/>
        </w:rPr>
        <w:t>Section 17.9.2</w:t>
      </w:r>
      <w:r>
        <w:rPr>
          <w:rFonts w:ascii="Arial" w:cs="Arial" w:eastAsia="Arial" w:hAnsi="Arial"/>
          <w:sz w:val="16"/>
          <w:szCs w:val="16"/>
          <w:color w:val="auto"/>
        </w:rPr>
        <w:t xml:space="preserve"> , a “not for value” transfer is a transfer that is (i) a gift, (ii) a transfer under a domestic relations order in settlement of marital property rights or (iii) a transfer to an entity in which more than 50% of the voting interests are owned by Family Members (or the Grantee) in exchange for an interest in that entity. Following a transfer under this </w:t>
      </w:r>
      <w:r>
        <w:rPr>
          <w:rFonts w:ascii="Arial" w:cs="Arial" w:eastAsia="Arial" w:hAnsi="Arial"/>
          <w:sz w:val="16"/>
          <w:szCs w:val="16"/>
          <w:b w:val="1"/>
          <w:bCs w:val="1"/>
          <w:color w:val="auto"/>
        </w:rPr>
        <w:t>Section 17.9.2</w:t>
      </w:r>
      <w:r>
        <w:rPr>
          <w:rFonts w:ascii="Arial" w:cs="Arial" w:eastAsia="Arial" w:hAnsi="Arial"/>
          <w:sz w:val="16"/>
          <w:szCs w:val="16"/>
          <w:color w:val="auto"/>
        </w:rPr>
        <w:t xml:space="preserve">, any such Award shall continue to be subject to the same terms and conditions as were applicable immediately prior to transfer. Subsequent transfers of transferred Awards are prohibited except to Family Members of the original Grantee in accordance with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17.9.2 </w:t>
      </w:r>
      <w:r>
        <w:rPr>
          <w:rFonts w:ascii="Arial" w:cs="Arial" w:eastAsia="Arial" w:hAnsi="Arial"/>
          <w:sz w:val="16"/>
          <w:szCs w:val="16"/>
          <w:color w:val="auto"/>
        </w:rPr>
        <w:t>or by will or the laws of descent and distribution.</w:t>
      </w:r>
    </w:p>
    <w:p>
      <w:pPr>
        <w:spacing w:after="0" w:line="166"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6"/>
          <w:szCs w:val="16"/>
          <w:b w:val="1"/>
          <w:bCs w:val="1"/>
          <w:color w:val="010000"/>
        </w:rPr>
        <w:t>17.10</w:t>
      </w:r>
      <w:r>
        <w:rPr>
          <w:sz w:val="20"/>
          <w:szCs w:val="20"/>
          <w:color w:val="auto"/>
        </w:rPr>
        <w:tab/>
      </w:r>
      <w:r>
        <w:rPr>
          <w:rFonts w:ascii="Arial" w:cs="Arial" w:eastAsia="Arial" w:hAnsi="Arial"/>
          <w:sz w:val="14"/>
          <w:szCs w:val="14"/>
          <w:b w:val="1"/>
          <w:bCs w:val="1"/>
          <w:color w:val="auto"/>
        </w:rPr>
        <w:t>Dividends and Dividend Equivalent Rights</w:t>
      </w:r>
    </w:p>
    <w:p>
      <w:pPr>
        <w:spacing w:after="0" w:line="208" w:lineRule="exact"/>
        <w:rPr>
          <w:sz w:val="20"/>
          <w:szCs w:val="20"/>
          <w:color w:val="auto"/>
        </w:rPr>
      </w:pPr>
    </w:p>
    <w:p>
      <w:pPr>
        <w:ind w:right="20" w:firstLine="865"/>
        <w:spacing w:after="0" w:line="258" w:lineRule="auto"/>
        <w:rPr>
          <w:sz w:val="20"/>
          <w:szCs w:val="20"/>
          <w:color w:val="auto"/>
        </w:rPr>
      </w:pPr>
      <w:r>
        <w:rPr>
          <w:rFonts w:ascii="Arial" w:cs="Arial" w:eastAsia="Arial" w:hAnsi="Arial"/>
          <w:sz w:val="16"/>
          <w:szCs w:val="16"/>
          <w:color w:val="auto"/>
        </w:rPr>
        <w:t>If specified in the Award Agreement, the recipient of an Award may be entitled to receive, currently or on a deferred basis, dividends or dividend equivalents with respect to the Common Stock or other securities covered by an Award. The terms and conditions of a dividend equivalent right may be set forth in the Award Agreement. Dividend equivalents credited to a Grantee may be paid currently or may be deemed to be reinvested in additional Shares or other securities of the Company at a price per unit equal to the Fair Market Value on the date that such dividend was paid to Stockholders, as determined by the Committee. Notwithstanding the foregoing, in no event will dividends or dividend equivalents on any Award that is subject to the achievement of performance criteria be payable before the Award has become earned and payable.</w:t>
      </w:r>
    </w:p>
    <w:p>
      <w:pPr>
        <w:spacing w:after="0" w:line="166"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6"/>
          <w:szCs w:val="16"/>
          <w:b w:val="1"/>
          <w:bCs w:val="1"/>
          <w:color w:val="010000"/>
        </w:rPr>
        <w:t>17.11</w:t>
      </w:r>
      <w:r>
        <w:rPr>
          <w:sz w:val="20"/>
          <w:szCs w:val="20"/>
          <w:color w:val="auto"/>
        </w:rPr>
        <w:tab/>
      </w:r>
      <w:r>
        <w:rPr>
          <w:rFonts w:ascii="Arial" w:cs="Arial" w:eastAsia="Arial" w:hAnsi="Arial"/>
          <w:sz w:val="14"/>
          <w:szCs w:val="14"/>
          <w:b w:val="1"/>
          <w:bCs w:val="1"/>
          <w:color w:val="auto"/>
        </w:rPr>
        <w:t>Plan Construction</w:t>
      </w:r>
    </w:p>
    <w:p>
      <w:pPr>
        <w:spacing w:after="0" w:line="208" w:lineRule="exact"/>
        <w:rPr>
          <w:sz w:val="20"/>
          <w:szCs w:val="20"/>
          <w:color w:val="auto"/>
        </w:rPr>
      </w:pPr>
    </w:p>
    <w:p>
      <w:pPr>
        <w:ind w:firstLine="865"/>
        <w:spacing w:after="0" w:line="258" w:lineRule="auto"/>
        <w:rPr>
          <w:sz w:val="20"/>
          <w:szCs w:val="20"/>
          <w:color w:val="auto"/>
        </w:rPr>
      </w:pPr>
      <w:r>
        <w:rPr>
          <w:rFonts w:ascii="Arial" w:cs="Arial" w:eastAsia="Arial" w:hAnsi="Arial"/>
          <w:sz w:val="16"/>
          <w:szCs w:val="16"/>
          <w:color w:val="auto"/>
        </w:rPr>
        <w:t>In the Plan, unless otherwise stated, the following uses apply: (i) references to a statute or law refer to the statute or law and any amendments and any successor statutes or laws, and to all valid and binding governmental regulations, court decisions and other regulatory and judicial authority issued or rendered thereunder, as amended, or their successors, as in effect at the relevant time; (ii) in computing periods from a specified date to a later specified date, the words “from” and “commencing on” (and the like) mean “from and including,” and the words “to,” “until” and “ending on” (and the like) mean “to and including”; (iii) indications of time of day shall be based upon the time applicable to the location of the principal headquarters of the Company; (iv) the words “include,” “includes” and “including” (and the like) mean “include, without limitation,” “includes, without limitation” and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103505</wp:posOffset>
            </wp:positionV>
            <wp:extent cx="718693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8" w:name="page69"/>
    <w:bookmarkEnd w:id="68"/>
    <w:p>
      <w:pPr>
        <w:spacing w:after="0" w:line="302" w:lineRule="auto"/>
        <w:rPr>
          <w:sz w:val="20"/>
          <w:szCs w:val="20"/>
          <w:color w:val="auto"/>
        </w:rPr>
      </w:pPr>
      <w:r>
        <w:rPr>
          <w:rFonts w:ascii="Arial" w:cs="Arial" w:eastAsia="Arial" w:hAnsi="Arial"/>
          <w:sz w:val="14"/>
          <w:szCs w:val="14"/>
          <w:color w:val="auto"/>
        </w:rPr>
        <w:t>limitation” (and the like), respectively; (v) all references to articles and sections are to articles and sections in the Plan; (vi) all words used shall be construed to be of such gender or number as the circumstances and context require; (vii) the captions and headings of articles and sections have been inserted solely for convenience of reference and shall not be considered a part of the Plan, nor shall any of them affect the meaning or interpretation of the Plan or any of its provisions; (viii) any reference to an agreement, plan, policy, form, document or set of documents, and the rights and obligations of the parties under any such agreement, plan, policy, form, document or set of documents, shall mean such agreement, plan, policy, form, document or set of documents as amended from time to time, and any and all modifications, extensions, renewals, substitutions or replacements thereof; and (ix) all accounting terms not specifically defined shall be construed in accordance with generally accepted accounting principles.</w:t>
      </w:r>
    </w:p>
    <w:p>
      <w:pPr>
        <w:sectPr>
          <w:pgSz w:w="11900" w:h="16838" w:orient="portrait"/>
          <w:cols w:equalWidth="0" w:num="1">
            <w:col w:w="11220"/>
          </w:cols>
          <w:pgMar w:left="320" w:top="127" w:right="35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u w:val="single" w:color="auto"/>
          <w:color w:val="auto"/>
        </w:rPr>
        <w:t>EXHIBIT 10.3</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ENERGOUS CORPORATION</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EMPLOYEE STOCK PURCHASE PLAN</w:t>
      </w:r>
    </w:p>
    <w:p>
      <w:pPr>
        <w:spacing w:after="0" w:line="10" w:lineRule="exact"/>
        <w:rPr>
          <w:sz w:val="20"/>
          <w:szCs w:val="20"/>
          <w:color w:val="auto"/>
        </w:rPr>
      </w:pPr>
    </w:p>
    <w:p>
      <w:pPr>
        <w:ind w:left="703" w:hanging="703"/>
        <w:spacing w:after="0"/>
        <w:tabs>
          <w:tab w:leader="none" w:pos="703"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192" w:lineRule="exact"/>
        <w:rPr>
          <w:sz w:val="20"/>
          <w:szCs w:val="20"/>
          <w:color w:val="auto"/>
        </w:rPr>
      </w:pPr>
    </w:p>
    <w:p>
      <w:pPr>
        <w:jc w:val="both"/>
        <w:ind w:left="3" w:firstLine="865"/>
        <w:spacing w:after="0" w:line="267" w:lineRule="auto"/>
        <w:rPr>
          <w:sz w:val="20"/>
          <w:szCs w:val="20"/>
          <w:color w:val="auto"/>
        </w:rPr>
      </w:pPr>
      <w:r>
        <w:rPr>
          <w:rFonts w:ascii="Arial" w:cs="Arial" w:eastAsia="Arial" w:hAnsi="Arial"/>
          <w:sz w:val="16"/>
          <w:szCs w:val="16"/>
          <w:color w:val="auto"/>
        </w:rPr>
        <w:t>This Energous Corporation Employee Stock Purchase Plan is intended to provide employees of the Company and its Participating Subsidiaries with an opportunity to acquire a proprietary interest in the Company through the purchase of shares of Common Stock. The Company intends that this Plan qualify as an “employee stock purchase plan” under Code Section 423 and this Plan shall be interpreted in a manner that is consistent with that intent.</w:t>
      </w:r>
    </w:p>
    <w:p>
      <w:pPr>
        <w:spacing w:after="0" w:line="157" w:lineRule="exact"/>
        <w:rPr>
          <w:sz w:val="20"/>
          <w:szCs w:val="20"/>
          <w:color w:val="auto"/>
        </w:rPr>
      </w:pPr>
    </w:p>
    <w:p>
      <w:pPr>
        <w:ind w:left="703" w:hanging="703"/>
        <w:spacing w:after="0"/>
        <w:tabs>
          <w:tab w:leader="none" w:pos="703"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0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U. S. Internal Revenue Code of 1986.</w:t>
      </w:r>
    </w:p>
    <w:p>
      <w:pPr>
        <w:spacing w:after="0" w:line="204" w:lineRule="exact"/>
        <w:rPr>
          <w:sz w:val="20"/>
          <w:szCs w:val="20"/>
          <w:color w:val="auto"/>
        </w:rPr>
      </w:pPr>
    </w:p>
    <w:p>
      <w:pPr>
        <w:jc w:val="both"/>
        <w:ind w:left="3" w:firstLine="86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committee appointed by the Board to administer this Plan from time to time. As of the Effective Date, the Compensation Committee of the Board shall be the Committee.</w:t>
      </w:r>
    </w:p>
    <w:p>
      <w:pPr>
        <w:spacing w:after="0" w:line="143" w:lineRule="exact"/>
        <w:rPr>
          <w:sz w:val="20"/>
          <w:szCs w:val="20"/>
          <w:color w:val="auto"/>
        </w:rPr>
      </w:pPr>
    </w:p>
    <w:p>
      <w:pPr>
        <w:ind w:left="86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 par value $0.00001 per share.</w:t>
      </w:r>
    </w:p>
    <w:p>
      <w:pPr>
        <w:spacing w:after="0" w:line="20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Energous Corporation, a Delaware corporation.</w:t>
      </w:r>
    </w:p>
    <w:p>
      <w:pPr>
        <w:spacing w:after="0" w:line="204" w:lineRule="exact"/>
        <w:rPr>
          <w:sz w:val="20"/>
          <w:szCs w:val="20"/>
          <w:color w:val="auto"/>
        </w:rPr>
      </w:pPr>
    </w:p>
    <w:p>
      <w:pPr>
        <w:jc w:val="both"/>
        <w:ind w:left="3" w:firstLine="865"/>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w:t>
      </w:r>
      <w:r>
        <w:rPr>
          <w:rFonts w:ascii="Arial" w:cs="Arial" w:eastAsia="Arial" w:hAnsi="Arial"/>
          <w:sz w:val="16"/>
          <w:szCs w:val="16"/>
          <w:color w:val="auto"/>
        </w:rPr>
        <w:t>” means base salary, wages, annual and recurring bonuses, and commissions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and income received in connection with stock options or other equity-based awards.</w:t>
      </w:r>
    </w:p>
    <w:p>
      <w:pPr>
        <w:spacing w:after="0" w:line="163" w:lineRule="exact"/>
        <w:rPr>
          <w:sz w:val="20"/>
          <w:szCs w:val="20"/>
          <w:color w:val="auto"/>
        </w:rPr>
      </w:pPr>
    </w:p>
    <w:p>
      <w:pPr>
        <w:jc w:val="both"/>
        <w:ind w:left="3" w:right="20" w:firstLine="86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Transaction</w:t>
      </w:r>
      <w:r>
        <w:rPr>
          <w:rFonts w:ascii="Arial" w:cs="Arial" w:eastAsia="Arial" w:hAnsi="Arial"/>
          <w:sz w:val="16"/>
          <w:szCs w:val="16"/>
          <w:color w:val="auto"/>
        </w:rPr>
        <w:t>” means a merger, consolidation, acquisition of property or stock, separation, reorganization, or other corporate event described in Code Section 424.</w:t>
      </w:r>
    </w:p>
    <w:p>
      <w:pPr>
        <w:spacing w:after="0" w:line="143" w:lineRule="exact"/>
        <w:rPr>
          <w:sz w:val="20"/>
          <w:szCs w:val="20"/>
          <w:color w:val="auto"/>
        </w:rPr>
      </w:pPr>
    </w:p>
    <w:p>
      <w:pPr>
        <w:jc w:val="both"/>
        <w:ind w:left="3" w:right="20" w:firstLine="86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Broker</w:t>
      </w:r>
      <w:r>
        <w:rPr>
          <w:rFonts w:ascii="Arial" w:cs="Arial" w:eastAsia="Arial" w:hAnsi="Arial"/>
          <w:sz w:val="16"/>
          <w:szCs w:val="16"/>
          <w:color w:val="auto"/>
        </w:rPr>
        <w:t>” means the financial services firm or other agent designated by the Company to maintain ESPP Share Accounts on behalf of Participants who have purchased shares of Common Stock under this Plan.</w:t>
      </w:r>
    </w:p>
    <w:p>
      <w:pPr>
        <w:spacing w:after="0" w:line="143" w:lineRule="exact"/>
        <w:rPr>
          <w:sz w:val="20"/>
          <w:szCs w:val="20"/>
          <w:color w:val="auto"/>
        </w:rPr>
      </w:pPr>
    </w:p>
    <w:p>
      <w:pPr>
        <w:jc w:val="both"/>
        <w:ind w:left="3" w:right="20" w:firstLine="865"/>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Disability</w:t>
      </w:r>
      <w:r>
        <w:rPr>
          <w:rFonts w:ascii="Arial" w:cs="Arial" w:eastAsia="Arial" w:hAnsi="Arial"/>
          <w:sz w:val="15"/>
          <w:szCs w:val="15"/>
          <w:color w:val="auto"/>
        </w:rPr>
        <w:t>” means the Participant is unable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20" w:lineRule="exact"/>
        <w:rPr>
          <w:sz w:val="20"/>
          <w:szCs w:val="20"/>
          <w:color w:val="auto"/>
        </w:rPr>
      </w:pPr>
    </w:p>
    <w:p>
      <w:pPr>
        <w:jc w:val="both"/>
        <w:ind w:left="3" w:right="20" w:firstLine="86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means the date as of which this Plan is adopted by the Board, subject to this Plan obtaining stockholder approval in accordance with Section 19.11 </w:t>
      </w:r>
      <w:r>
        <w:rPr>
          <w:rFonts w:ascii="Arial" w:cs="Arial" w:eastAsia="Arial" w:hAnsi="Arial"/>
          <w:sz w:val="16"/>
          <w:szCs w:val="16"/>
          <w:i w:val="1"/>
          <w:iCs w:val="1"/>
          <w:color w:val="auto"/>
        </w:rPr>
        <w:t>(Stockholder Approval)</w:t>
      </w:r>
      <w:r>
        <w:rPr>
          <w:rFonts w:ascii="Arial" w:cs="Arial" w:eastAsia="Arial" w:hAnsi="Arial"/>
          <w:sz w:val="16"/>
          <w:szCs w:val="16"/>
          <w:color w:val="auto"/>
        </w:rPr>
        <w:t>.</w:t>
      </w:r>
    </w:p>
    <w:p>
      <w:pPr>
        <w:spacing w:after="0" w:line="143" w:lineRule="exact"/>
        <w:rPr>
          <w:sz w:val="20"/>
          <w:szCs w:val="20"/>
          <w:color w:val="auto"/>
        </w:rPr>
      </w:pPr>
    </w:p>
    <w:p>
      <w:pPr>
        <w:jc w:val="both"/>
        <w:ind w:left="3" w:firstLine="865"/>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person who renders services to the Company or a Participating Subsidiary as an employee pursuant to an employment relationship with such employer. For purposes of this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after such three (3)-month period, or such other period specified in Treasury Regulation Section 1.421-1(h)(2).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102870</wp:posOffset>
            </wp:positionV>
            <wp:extent cx="718693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70" w:name="page71"/>
    <w:bookmarkEnd w:id="70"/>
    <w:p>
      <w:pPr>
        <w:jc w:val="both"/>
        <w:ind w:right="20" w:firstLine="865"/>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Employee</w:t>
      </w:r>
      <w:r>
        <w:rPr>
          <w:rFonts w:ascii="Arial" w:cs="Arial" w:eastAsia="Arial" w:hAnsi="Arial"/>
          <w:sz w:val="15"/>
          <w:szCs w:val="15"/>
          <w:color w:val="auto"/>
        </w:rPr>
        <w:t xml:space="preserve">” means each Employee;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Committee may exclude from participation in this Plan or any Offering any Employee who (i) has been employed by the Company or a Participating Subsidiary for less than two (2) years, (ii) is customarily employed by the Company or a Participating Subsidiary for twenty (20) hours per week or less, (iii) is customarily employed by the Company or a Participating Subsidiary for not more than five (5) months per calendar year, or (iv) is a “highly compensated employee” of the Company or a Participating Subsidiary (within the meaning of Code Section 414(q)).</w:t>
      </w:r>
    </w:p>
    <w:p>
      <w:pPr>
        <w:spacing w:after="0" w:line="144" w:lineRule="exact"/>
        <w:rPr>
          <w:sz w:val="20"/>
          <w:szCs w:val="20"/>
          <w:color w:val="auto"/>
        </w:rPr>
      </w:pPr>
    </w:p>
    <w:p>
      <w:pPr>
        <w:jc w:val="both"/>
        <w:ind w:right="20" w:firstLine="86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Enrollment Form</w:t>
      </w:r>
      <w:r>
        <w:rPr>
          <w:rFonts w:ascii="Arial" w:cs="Arial" w:eastAsia="Arial" w:hAnsi="Arial"/>
          <w:sz w:val="16"/>
          <w:szCs w:val="16"/>
          <w:color w:val="auto"/>
        </w:rPr>
        <w:t>” means an agreement authorized by the Committee (which may be electronic) pursuant to which an Eligible Employee may elect to enroll in this Plan, to authorize a new level of payroll deductions, or to stop payroll deductions and withdraw from an Offering Period.</w:t>
      </w:r>
    </w:p>
    <w:p>
      <w:pPr>
        <w:spacing w:after="0" w:line="143" w:lineRule="exact"/>
        <w:rPr>
          <w:sz w:val="20"/>
          <w:szCs w:val="20"/>
          <w:color w:val="auto"/>
        </w:rPr>
      </w:pPr>
    </w:p>
    <w:p>
      <w:pPr>
        <w:jc w:val="both"/>
        <w:ind w:right="20" w:firstLine="86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ESPP Share Account</w:t>
      </w:r>
      <w:r>
        <w:rPr>
          <w:rFonts w:ascii="Arial" w:cs="Arial" w:eastAsia="Arial" w:hAnsi="Arial"/>
          <w:sz w:val="16"/>
          <w:szCs w:val="16"/>
          <w:color w:val="auto"/>
        </w:rPr>
        <w:t>” means an account into which Common Stock purchased with accumulated payroll deductions at the end of an Offering Period are held on behalf of a Participant.</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U.S. Securities Exchange Act of 1934.</w:t>
      </w:r>
    </w:p>
    <w:p>
      <w:pPr>
        <w:spacing w:after="0" w:line="204" w:lineRule="exact"/>
        <w:rPr>
          <w:sz w:val="20"/>
          <w:szCs w:val="20"/>
          <w:color w:val="auto"/>
        </w:rPr>
      </w:pPr>
    </w:p>
    <w:p>
      <w:pPr>
        <w:jc w:val="both"/>
        <w:ind w:firstLine="865"/>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means, as of any date, the value of the shares of Common Stock as determined in the immediately following sentences. If the shares are listed on any established stock exchange or a national market system, the Fair Market Value shall be the closing price of a share (or if no sales were reported, the closing price on the Trading Day immediately preceding such date) as quoted on such exchange or system on the day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In the absence of an established market for the shares, the Fair Market Value shall be determined in good faith by the Committee and such determination shall be conclusive and binding on all persons.</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 Date</w:t>
      </w:r>
      <w:r>
        <w:rPr>
          <w:rFonts w:ascii="Arial" w:cs="Arial" w:eastAsia="Arial" w:hAnsi="Arial"/>
          <w:sz w:val="16"/>
          <w:szCs w:val="16"/>
          <w:color w:val="auto"/>
        </w:rPr>
        <w:t>” means the first Trading Day of each Offering Period as designated by the Committee.</w:t>
      </w:r>
    </w:p>
    <w:p>
      <w:pPr>
        <w:spacing w:after="0" w:line="204" w:lineRule="exact"/>
        <w:rPr>
          <w:sz w:val="20"/>
          <w:szCs w:val="20"/>
          <w:color w:val="auto"/>
        </w:rPr>
      </w:pPr>
    </w:p>
    <w:p>
      <w:pPr>
        <w:jc w:val="both"/>
        <w:ind w:right="20" w:firstLine="86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Offering or Offering Period</w:t>
      </w:r>
      <w:r>
        <w:rPr>
          <w:rFonts w:ascii="Arial" w:cs="Arial" w:eastAsia="Arial" w:hAnsi="Arial"/>
          <w:sz w:val="16"/>
          <w:szCs w:val="16"/>
          <w:color w:val="auto"/>
        </w:rPr>
        <w:t xml:space="preserve">” means a period of six (6) months beginning January 1 and July 1 of each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pursuant to Section 5, the Committee may change the duration of future Offering Periods (subject to a maximum Offering Period of twenty-seven (27) months) and/or the start and end dates of future Offering Periods.</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Eligible Employee who is actively participating in this Plan.</w:t>
      </w:r>
    </w:p>
    <w:p>
      <w:pPr>
        <w:spacing w:after="0" w:line="204" w:lineRule="exact"/>
        <w:rPr>
          <w:sz w:val="20"/>
          <w:szCs w:val="20"/>
          <w:color w:val="auto"/>
        </w:rPr>
      </w:pPr>
    </w:p>
    <w:p>
      <w:pPr>
        <w:jc w:val="both"/>
        <w:ind w:right="20" w:firstLine="86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Participating Subsidiaries</w:t>
      </w:r>
      <w:r>
        <w:rPr>
          <w:rFonts w:ascii="Arial" w:cs="Arial" w:eastAsia="Arial" w:hAnsi="Arial"/>
          <w:sz w:val="16"/>
          <w:szCs w:val="16"/>
          <w:color w:val="auto"/>
        </w:rPr>
        <w:t>” means the Subsidiaries that have been designated as eligible to participate in this Plan, and such other Subsidiaries that may be designated by the Committee from time to time in its sole discretion.</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Energous Corporation Employee Stock Purchase Plan.</w:t>
      </w:r>
    </w:p>
    <w:p>
      <w:pPr>
        <w:spacing w:after="0" w:line="20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Date</w:t>
      </w:r>
      <w:r>
        <w:rPr>
          <w:rFonts w:ascii="Arial" w:cs="Arial" w:eastAsia="Arial" w:hAnsi="Arial"/>
          <w:sz w:val="16"/>
          <w:szCs w:val="16"/>
          <w:color w:val="auto"/>
        </w:rPr>
        <w:t>” means the last Trading Day of each Offering Period.</w:t>
      </w:r>
    </w:p>
    <w:p>
      <w:pPr>
        <w:spacing w:after="0" w:line="204" w:lineRule="exact"/>
        <w:rPr>
          <w:sz w:val="20"/>
          <w:szCs w:val="20"/>
          <w:color w:val="auto"/>
        </w:rPr>
      </w:pPr>
    </w:p>
    <w:p>
      <w:pPr>
        <w:jc w:val="both"/>
        <w:ind w:firstLine="865"/>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xml:space="preserve">” means an amount equal to the lesser of (i) eighty-five percent (85%) (or such greater percentage as designated by the Committee for an Offering Period) of the Fair Market Value of a share of Common Stock on the Grant Date or (ii) eighty-five percent (85%) (or such greater percentage as designated by the Committee for an Offering Period) of the Fair Market Value of a share of Common Stock on the 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Purchase Price per share of Common Stock shall in no event be less than the par value of the Common Stock.</w:t>
      </w:r>
    </w:p>
    <w:p>
      <w:pPr>
        <w:spacing w:after="0" w:line="160" w:lineRule="exact"/>
        <w:rPr>
          <w:sz w:val="20"/>
          <w:szCs w:val="20"/>
          <w:color w:val="auto"/>
        </w:rPr>
      </w:pPr>
    </w:p>
    <w:p>
      <w:pPr>
        <w:jc w:val="both"/>
        <w:ind w:right="20" w:firstLine="86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Retirement</w:t>
      </w:r>
      <w:r>
        <w:rPr>
          <w:rFonts w:ascii="Arial" w:cs="Arial" w:eastAsia="Arial" w:hAnsi="Arial"/>
          <w:sz w:val="16"/>
          <w:szCs w:val="16"/>
          <w:color w:val="auto"/>
        </w:rPr>
        <w:t>” means the Participant’s voluntary termination of employment from the Company and each Participating Subsidiary after having attained age sixty-five (65).</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U.S. Securities Act of 1933.</w:t>
      </w:r>
    </w:p>
    <w:p>
      <w:pPr>
        <w:spacing w:after="0" w:line="204" w:lineRule="exact"/>
        <w:rPr>
          <w:sz w:val="20"/>
          <w:szCs w:val="20"/>
          <w:color w:val="auto"/>
        </w:rPr>
      </w:pPr>
    </w:p>
    <w:p>
      <w:pPr>
        <w:jc w:val="both"/>
        <w:ind w:right="20" w:firstLine="86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domestic or foreign, of which not less than fifty percent (50%) of the combined voting power is held by the Company or a Subsidiary, whether or not such corporation exists now or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88265</wp:posOffset>
            </wp:positionV>
            <wp:extent cx="718693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1" w:name="page72"/>
    <w:bookmarkEnd w:id="71"/>
    <w:p>
      <w:pPr>
        <w:ind w:left="3" w:right="20"/>
        <w:spacing w:after="0" w:line="281" w:lineRule="auto"/>
        <w:rPr>
          <w:sz w:val="20"/>
          <w:szCs w:val="20"/>
          <w:color w:val="auto"/>
        </w:rPr>
      </w:pPr>
      <w:r>
        <w:rPr>
          <w:rFonts w:ascii="Arial" w:cs="Arial" w:eastAsia="Arial" w:hAnsi="Arial"/>
          <w:sz w:val="16"/>
          <w:szCs w:val="16"/>
          <w:color w:val="auto"/>
        </w:rPr>
        <w:t>hereafter organized or acquired by the Company or a Subsidiary. In all cases, the determination of whether an entity is a Subsidiary shall be made in accordance with Code Section 424(f).</w:t>
      </w:r>
    </w:p>
    <w:p>
      <w:pPr>
        <w:spacing w:after="0" w:line="147" w:lineRule="exact"/>
        <w:rPr>
          <w:sz w:val="20"/>
          <w:szCs w:val="20"/>
          <w:color w:val="auto"/>
        </w:rPr>
      </w:pPr>
    </w:p>
    <w:p>
      <w:pPr>
        <w:ind w:left="3" w:firstLine="865"/>
        <w:spacing w:after="0" w:line="32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Trading Day</w:t>
      </w:r>
      <w:r>
        <w:rPr>
          <w:rFonts w:ascii="Arial" w:cs="Arial" w:eastAsia="Arial" w:hAnsi="Arial"/>
          <w:sz w:val="15"/>
          <w:szCs w:val="15"/>
          <w:color w:val="auto"/>
        </w:rPr>
        <w:t>” means any day on which the established stock exchange or national market system upon which the Common Stock is listed is open for trading or, if the Common Stock is not listed on an established stock exchange or national market system, a business day, as determined by the Committee in good faith.</w:t>
      </w:r>
    </w:p>
    <w:p>
      <w:pPr>
        <w:spacing w:after="0" w:line="120" w:lineRule="exact"/>
        <w:rPr>
          <w:sz w:val="20"/>
          <w:szCs w:val="20"/>
          <w:color w:val="auto"/>
        </w:rPr>
      </w:pPr>
    </w:p>
    <w:p>
      <w:pPr>
        <w:ind w:left="703" w:hanging="703"/>
        <w:spacing w:after="0"/>
        <w:tabs>
          <w:tab w:leader="none" w:pos="70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w:t>
      </w:r>
    </w:p>
    <w:p>
      <w:pPr>
        <w:spacing w:after="0" w:line="204" w:lineRule="exact"/>
        <w:rPr>
          <w:sz w:val="20"/>
          <w:szCs w:val="20"/>
          <w:color w:val="auto"/>
        </w:rPr>
      </w:pPr>
    </w:p>
    <w:p>
      <w:pPr>
        <w:jc w:val="both"/>
        <w:ind w:left="3" w:right="20" w:firstLine="865"/>
        <w:spacing w:after="0" w:line="280" w:lineRule="auto"/>
        <w:rPr>
          <w:sz w:val="20"/>
          <w:szCs w:val="20"/>
          <w:color w:val="auto"/>
        </w:rPr>
      </w:pPr>
      <w:r>
        <w:rPr>
          <w:rFonts w:ascii="Arial" w:cs="Arial" w:eastAsia="Arial" w:hAnsi="Arial"/>
          <w:sz w:val="15"/>
          <w:szCs w:val="15"/>
          <w:b w:val="1"/>
          <w:bCs w:val="1"/>
          <w:color w:val="010000"/>
        </w:rPr>
        <w:t xml:space="preserve">3.1 </w:t>
      </w:r>
      <w:r>
        <w:rPr>
          <w:rFonts w:ascii="Arial" w:cs="Arial" w:eastAsia="Arial" w:hAnsi="Arial"/>
          <w:sz w:val="15"/>
          <w:szCs w:val="15"/>
          <w:b w:val="1"/>
          <w:bCs w:val="1"/>
          <w:color w:val="000000"/>
        </w:rPr>
        <w:t>General.</w:t>
      </w:r>
      <w:r>
        <w:rPr>
          <w:rFonts w:ascii="Arial" w:cs="Arial" w:eastAsia="Arial" w:hAnsi="Arial"/>
          <w:sz w:val="15"/>
          <w:szCs w:val="15"/>
          <w:b w:val="1"/>
          <w:bCs w:val="1"/>
          <w:color w:val="010000"/>
        </w:rPr>
        <w:t xml:space="preserve"> </w:t>
      </w:r>
      <w:r>
        <w:rPr>
          <w:rFonts w:ascii="Arial" w:cs="Arial" w:eastAsia="Arial" w:hAnsi="Arial"/>
          <w:sz w:val="15"/>
          <w:szCs w:val="15"/>
          <w:color w:val="000000"/>
        </w:rPr>
        <w:t>This Plan shall be administered by the Committee, which shall have the authority to construe and interpret this Plan, prescribe, amend, and</w:t>
      </w:r>
      <w:r>
        <w:rPr>
          <w:rFonts w:ascii="Arial" w:cs="Arial" w:eastAsia="Arial" w:hAnsi="Arial"/>
          <w:sz w:val="15"/>
          <w:szCs w:val="15"/>
          <w:b w:val="1"/>
          <w:bCs w:val="1"/>
          <w:color w:val="010000"/>
        </w:rPr>
        <w:t xml:space="preserve"> </w:t>
      </w:r>
      <w:r>
        <w:rPr>
          <w:rFonts w:ascii="Arial" w:cs="Arial" w:eastAsia="Arial" w:hAnsi="Arial"/>
          <w:sz w:val="15"/>
          <w:szCs w:val="15"/>
          <w:color w:val="000000"/>
        </w:rPr>
        <w:t>rescind rules relating to this Plan’s administration, and take any other actions necessary or desirable for the administration of this Plan, including adopting sub-plans applicable to particular Participating Subsidiaries or locations, which sub-plans may be designed to be outside the scope of Code Section 423. The Committee may correct any defect or supply any omission or reconcile any inconsistency or ambiguity in this Plan. All decisions of the Committee in connection with the administration of this Plan shall be in the Committee’s sole discretion, and such decisions shall be final and binding on all persons. All expenses of administering this Plan shall be borne by the Company. The Board may take any action under this Plan that would otherwise be the responsibility of the Committee.</w:t>
      </w:r>
    </w:p>
    <w:p>
      <w:pPr>
        <w:spacing w:after="0" w:line="149" w:lineRule="exact"/>
        <w:rPr>
          <w:sz w:val="20"/>
          <w:szCs w:val="20"/>
          <w:color w:val="auto"/>
        </w:rPr>
      </w:pPr>
    </w:p>
    <w:p>
      <w:pPr>
        <w:jc w:val="both"/>
        <w:ind w:left="3" w:firstLine="865"/>
        <w:spacing w:after="0" w:line="264" w:lineRule="auto"/>
        <w:rPr>
          <w:sz w:val="20"/>
          <w:szCs w:val="20"/>
          <w:color w:val="auto"/>
        </w:rPr>
      </w:pPr>
      <w:r>
        <w:rPr>
          <w:rFonts w:ascii="Arial" w:cs="Arial" w:eastAsia="Arial" w:hAnsi="Arial"/>
          <w:sz w:val="16"/>
          <w:szCs w:val="16"/>
          <w:b w:val="1"/>
          <w:bCs w:val="1"/>
          <w:color w:val="010000"/>
        </w:rPr>
        <w:t xml:space="preserve">3.2 </w:t>
      </w:r>
      <w:r>
        <w:rPr>
          <w:rFonts w:ascii="Arial" w:cs="Arial" w:eastAsia="Arial" w:hAnsi="Arial"/>
          <w:sz w:val="16"/>
          <w:szCs w:val="16"/>
          <w:b w:val="1"/>
          <w:bCs w:val="1"/>
          <w:color w:val="000000"/>
        </w:rPr>
        <w:t>Delegation.</w:t>
      </w:r>
      <w:r>
        <w:rPr>
          <w:rFonts w:ascii="Arial" w:cs="Arial" w:eastAsia="Arial" w:hAnsi="Arial"/>
          <w:sz w:val="16"/>
          <w:szCs w:val="16"/>
          <w:b w:val="1"/>
          <w:bCs w:val="1"/>
          <w:color w:val="010000"/>
        </w:rPr>
        <w:t xml:space="preserve"> </w:t>
      </w:r>
      <w:r>
        <w:rPr>
          <w:rFonts w:ascii="Arial" w:cs="Arial" w:eastAsia="Arial" w:hAnsi="Arial"/>
          <w:sz w:val="16"/>
          <w:szCs w:val="16"/>
          <w:color w:val="000000"/>
        </w:rPr>
        <w:t>To the extent necessary or appropriate, the Committee may delegate any of its duties or responsibilities under the Plan as they pertain to</w:t>
      </w:r>
      <w:r>
        <w:rPr>
          <w:rFonts w:ascii="Arial" w:cs="Arial" w:eastAsia="Arial" w:hAnsi="Arial"/>
          <w:sz w:val="16"/>
          <w:szCs w:val="16"/>
          <w:b w:val="1"/>
          <w:bCs w:val="1"/>
          <w:color w:val="010000"/>
        </w:rPr>
        <w:t xml:space="preserve"> </w:t>
      </w:r>
      <w:r>
        <w:rPr>
          <w:rFonts w:ascii="Arial" w:cs="Arial" w:eastAsia="Arial" w:hAnsi="Arial"/>
          <w:sz w:val="16"/>
          <w:szCs w:val="16"/>
          <w:color w:val="000000"/>
        </w:rPr>
        <w:t>a Participating Subsidiary to such Participating Subsidiary. The Committee (or any Participating Subsidiary with the consent of the Committee) may appoint or engage any person or persons as a third party administrator to perform ministerial functions pertaining to the issuance, accounting, recordkeeping, forfeiture, exercise, communication, transfer, or any other functions or activities necessary or appropriate to administer and operate this Plan.</w:t>
      </w:r>
    </w:p>
    <w:p>
      <w:pPr>
        <w:spacing w:after="0" w:line="160" w:lineRule="exact"/>
        <w:rPr>
          <w:sz w:val="20"/>
          <w:szCs w:val="20"/>
          <w:color w:val="auto"/>
        </w:rPr>
      </w:pPr>
    </w:p>
    <w:p>
      <w:pPr>
        <w:ind w:left="703" w:hanging="703"/>
        <w:spacing w:after="0"/>
        <w:tabs>
          <w:tab w:leader="none" w:pos="703"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w:t>
      </w:r>
    </w:p>
    <w:p>
      <w:pPr>
        <w:spacing w:after="0" w:line="204" w:lineRule="exact"/>
        <w:rPr>
          <w:sz w:val="20"/>
          <w:szCs w:val="20"/>
          <w:color w:val="auto"/>
        </w:rPr>
      </w:pPr>
    </w:p>
    <w:p>
      <w:pPr>
        <w:jc w:val="both"/>
        <w:ind w:left="3" w:right="20" w:firstLine="865"/>
        <w:spacing w:after="0" w:line="269" w:lineRule="auto"/>
        <w:rPr>
          <w:sz w:val="20"/>
          <w:szCs w:val="20"/>
          <w:color w:val="auto"/>
        </w:rPr>
      </w:pPr>
      <w:r>
        <w:rPr>
          <w:rFonts w:ascii="Arial" w:cs="Arial" w:eastAsia="Arial" w:hAnsi="Arial"/>
          <w:sz w:val="16"/>
          <w:szCs w:val="16"/>
          <w:b w:val="1"/>
          <w:bCs w:val="1"/>
          <w:color w:val="010000"/>
        </w:rPr>
        <w:t xml:space="preserve">4.1 </w:t>
      </w:r>
      <w:r>
        <w:rPr>
          <w:rFonts w:ascii="Arial" w:cs="Arial" w:eastAsia="Arial" w:hAnsi="Arial"/>
          <w:sz w:val="16"/>
          <w:szCs w:val="16"/>
          <w:color w:val="000000"/>
        </w:rPr>
        <w:t>General. Unless otherwise determined by the Committee in a manner that is consistent with Code Section 423, any individual who is an Eligible</w:t>
      </w:r>
      <w:r>
        <w:rPr>
          <w:rFonts w:ascii="Arial" w:cs="Arial" w:eastAsia="Arial" w:hAnsi="Arial"/>
          <w:sz w:val="16"/>
          <w:szCs w:val="16"/>
          <w:b w:val="1"/>
          <w:bCs w:val="1"/>
          <w:color w:val="010000"/>
        </w:rPr>
        <w:t xml:space="preserve"> </w:t>
      </w:r>
      <w:r>
        <w:rPr>
          <w:rFonts w:ascii="Arial" w:cs="Arial" w:eastAsia="Arial" w:hAnsi="Arial"/>
          <w:sz w:val="16"/>
          <w:szCs w:val="16"/>
          <w:color w:val="000000"/>
        </w:rPr>
        <w:t>Employee as of the first day of the enrollment period designated by the Committee for a particular Offering Period shall be eligible to participate in such Offering Period, subject to the requirements of Code Section 423.</w:t>
      </w:r>
    </w:p>
    <w:p>
      <w:pPr>
        <w:spacing w:after="0" w:line="157" w:lineRule="exact"/>
        <w:rPr>
          <w:sz w:val="20"/>
          <w:szCs w:val="20"/>
          <w:color w:val="auto"/>
        </w:rPr>
      </w:pPr>
    </w:p>
    <w:p>
      <w:pPr>
        <w:jc w:val="both"/>
        <w:ind w:left="3" w:right="20" w:firstLine="865"/>
        <w:spacing w:after="0" w:line="280" w:lineRule="auto"/>
        <w:rPr>
          <w:sz w:val="20"/>
          <w:szCs w:val="20"/>
          <w:color w:val="auto"/>
        </w:rPr>
      </w:pPr>
      <w:r>
        <w:rPr>
          <w:rFonts w:ascii="Arial" w:cs="Arial" w:eastAsia="Arial" w:hAnsi="Arial"/>
          <w:sz w:val="15"/>
          <w:szCs w:val="15"/>
          <w:b w:val="1"/>
          <w:bCs w:val="1"/>
          <w:color w:val="010000"/>
        </w:rPr>
        <w:t xml:space="preserve">4.2 </w:t>
      </w:r>
      <w:r>
        <w:rPr>
          <w:rFonts w:ascii="Arial" w:cs="Arial" w:eastAsia="Arial" w:hAnsi="Arial"/>
          <w:sz w:val="15"/>
          <w:szCs w:val="15"/>
          <w:b w:val="1"/>
          <w:bCs w:val="1"/>
          <w:color w:val="000000"/>
        </w:rPr>
        <w:t>Eligibility Restrictions.</w:t>
      </w:r>
      <w:r>
        <w:rPr>
          <w:rFonts w:ascii="Arial" w:cs="Arial" w:eastAsia="Arial" w:hAnsi="Arial"/>
          <w:sz w:val="15"/>
          <w:szCs w:val="15"/>
          <w:b w:val="1"/>
          <w:bCs w:val="1"/>
          <w:color w:val="010000"/>
        </w:rPr>
        <w:t xml:space="preserve"> </w:t>
      </w:r>
      <w:r>
        <w:rPr>
          <w:rFonts w:ascii="Arial" w:cs="Arial" w:eastAsia="Arial" w:hAnsi="Arial"/>
          <w:sz w:val="15"/>
          <w:szCs w:val="15"/>
          <w:color w:val="000000"/>
        </w:rPr>
        <w:t>Notwithstanding any provision of this Plan to the contrary, no Eligible Employee shall be granted an option under this Plan</w:t>
      </w:r>
      <w:r>
        <w:rPr>
          <w:rFonts w:ascii="Arial" w:cs="Arial" w:eastAsia="Arial" w:hAnsi="Arial"/>
          <w:sz w:val="15"/>
          <w:szCs w:val="15"/>
          <w:b w:val="1"/>
          <w:bCs w:val="1"/>
          <w:color w:val="010000"/>
        </w:rPr>
        <w:t xml:space="preserve"> </w:t>
      </w:r>
      <w:r>
        <w:rPr>
          <w:rFonts w:ascii="Arial" w:cs="Arial" w:eastAsia="Arial" w:hAnsi="Arial"/>
          <w:sz w:val="15"/>
          <w:szCs w:val="15"/>
          <w:color w:val="000000"/>
        </w:rPr>
        <w:t>if (i) immediately after the grant of the option, such Eligible Employee (or any other person whose stock would be attributed to such Eligible Employee pursuant to Code Section 424(d)) would own capital stock of the Company or hold outstanding options to purchase stock possessing five percent (5%) or more of the total combined voting power or value of all classes of stock of the Company or any Subsidiary or (ii) such option would permit his or her rights to purchase stock under all employee stock purchase plans (described in Code Section 423) of the Company and its Subsidiaries to accrue at a rate that exceeds twenty-five thousand dollars ($25,000) of the Fair Market Value of such stock (determined at the time the option is granted) for each calendar year in which such option is outstanding.</w:t>
      </w:r>
    </w:p>
    <w:p>
      <w:pPr>
        <w:spacing w:after="0" w:line="149" w:lineRule="exact"/>
        <w:rPr>
          <w:sz w:val="20"/>
          <w:szCs w:val="20"/>
          <w:color w:val="auto"/>
        </w:rPr>
      </w:pPr>
    </w:p>
    <w:p>
      <w:pPr>
        <w:ind w:left="703" w:hanging="703"/>
        <w:spacing w:after="0"/>
        <w:tabs>
          <w:tab w:leader="none" w:pos="703"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OFFERING PERIODS</w:t>
      </w:r>
    </w:p>
    <w:p>
      <w:pPr>
        <w:spacing w:after="0" w:line="208" w:lineRule="exact"/>
        <w:rPr>
          <w:sz w:val="20"/>
          <w:szCs w:val="20"/>
          <w:color w:val="auto"/>
        </w:rPr>
      </w:pPr>
    </w:p>
    <w:p>
      <w:pPr>
        <w:jc w:val="both"/>
        <w:ind w:left="3" w:right="20" w:firstLine="865"/>
        <w:spacing w:after="0" w:line="267" w:lineRule="auto"/>
        <w:rPr>
          <w:sz w:val="20"/>
          <w:szCs w:val="20"/>
          <w:color w:val="auto"/>
        </w:rPr>
      </w:pPr>
      <w:r>
        <w:rPr>
          <w:rFonts w:ascii="Arial" w:cs="Arial" w:eastAsia="Arial" w:hAnsi="Arial"/>
          <w:sz w:val="16"/>
          <w:szCs w:val="16"/>
          <w:color w:val="auto"/>
        </w:rPr>
        <w:t>This Plan shall be implemented by a series of Offering Periods, each of which shall be six (6) months in duration, with new Offering Periods commencing on or about January 1 and July 1 of each year (or such other times as determined by the Committee). The Committee shall have the authority to change the duration, frequency, start date, and end date of Offering Periods.</w:t>
      </w:r>
    </w:p>
    <w:p>
      <w:pPr>
        <w:spacing w:after="0" w:line="157" w:lineRule="exact"/>
        <w:rPr>
          <w:sz w:val="20"/>
          <w:szCs w:val="20"/>
          <w:color w:val="auto"/>
        </w:rPr>
      </w:pPr>
    </w:p>
    <w:p>
      <w:pPr>
        <w:ind w:left="703" w:hanging="703"/>
        <w:spacing w:after="0"/>
        <w:tabs>
          <w:tab w:leader="none" w:pos="703"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PARTICIPATION</w:t>
      </w:r>
    </w:p>
    <w:p>
      <w:pPr>
        <w:spacing w:after="0" w:line="204" w:lineRule="exact"/>
        <w:rPr>
          <w:sz w:val="20"/>
          <w:szCs w:val="20"/>
          <w:color w:val="auto"/>
        </w:rPr>
      </w:pPr>
    </w:p>
    <w:p>
      <w:pPr>
        <w:jc w:val="both"/>
        <w:ind w:left="3" w:right="20" w:firstLine="865"/>
        <w:spacing w:after="0" w:line="257" w:lineRule="auto"/>
        <w:rPr>
          <w:sz w:val="20"/>
          <w:szCs w:val="20"/>
          <w:color w:val="auto"/>
        </w:rPr>
      </w:pPr>
      <w:r>
        <w:rPr>
          <w:rFonts w:ascii="Arial" w:cs="Arial" w:eastAsia="Arial" w:hAnsi="Arial"/>
          <w:sz w:val="16"/>
          <w:szCs w:val="16"/>
          <w:b w:val="1"/>
          <w:bCs w:val="1"/>
          <w:color w:val="010000"/>
        </w:rPr>
        <w:t xml:space="preserve">6.1 </w:t>
      </w:r>
      <w:r>
        <w:rPr>
          <w:rFonts w:ascii="Arial" w:cs="Arial" w:eastAsia="Arial" w:hAnsi="Arial"/>
          <w:sz w:val="16"/>
          <w:szCs w:val="16"/>
          <w:color w:val="000000"/>
        </w:rPr>
        <w:t>Enrollment; Payroll Deductions. An Eligible Employee may elect to participate in this Plan by properly completing an Enrollment Form, which may</w:t>
      </w:r>
      <w:r>
        <w:rPr>
          <w:rFonts w:ascii="Arial" w:cs="Arial" w:eastAsia="Arial" w:hAnsi="Arial"/>
          <w:sz w:val="16"/>
          <w:szCs w:val="16"/>
          <w:b w:val="1"/>
          <w:bCs w:val="1"/>
          <w:color w:val="010000"/>
        </w:rPr>
        <w:t xml:space="preserve"> </w:t>
      </w:r>
      <w:r>
        <w:rPr>
          <w:rFonts w:ascii="Arial" w:cs="Arial" w:eastAsia="Arial" w:hAnsi="Arial"/>
          <w:sz w:val="16"/>
          <w:szCs w:val="16"/>
          <w:color w:val="000000"/>
        </w:rPr>
        <w:t>be electronic, and submitting it to the Company, in accordance with the enrollment procedures established by the Committee. Participation in this Plan is entirely voluntary. By submitting an Enrollment Form, the Eligible Employee authorizes payroll deductions from his or her paycheck in an amount equal to at least one percent (1%), but not more than ten percent (10%) (or such other maximum percentage as the Committee may establish from time to time before an Offering Period begins), of his or her Compensation on each pay day occurring during an Offering Period. Payroll deductions shall commence on the first payroll date after the Grant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104775</wp:posOffset>
            </wp:positionV>
            <wp:extent cx="718693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7" w:right="319" w:bottom="1440" w:gutter="0" w:footer="0" w:header="0"/>
        </w:sectPr>
      </w:pPr>
    </w:p>
    <w:bookmarkStart w:id="72" w:name="page73"/>
    <w:bookmarkEnd w:id="72"/>
    <w:p>
      <w:pPr>
        <w:ind w:left="3" w:right="20" w:firstLine="865"/>
        <w:spacing w:after="0" w:line="280" w:lineRule="auto"/>
        <w:rPr>
          <w:sz w:val="20"/>
          <w:szCs w:val="20"/>
          <w:color w:val="auto"/>
        </w:rPr>
      </w:pPr>
      <w:r>
        <w:rPr>
          <w:rFonts w:ascii="Arial" w:cs="Arial" w:eastAsia="Arial" w:hAnsi="Arial"/>
          <w:sz w:val="15"/>
          <w:szCs w:val="15"/>
          <w:b w:val="1"/>
          <w:bCs w:val="1"/>
          <w:color w:val="010000"/>
        </w:rPr>
        <w:t xml:space="preserve">6.2 </w:t>
      </w:r>
      <w:r>
        <w:rPr>
          <w:rFonts w:ascii="Arial" w:cs="Arial" w:eastAsia="Arial" w:hAnsi="Arial"/>
          <w:sz w:val="15"/>
          <w:szCs w:val="15"/>
          <w:color w:val="000000"/>
        </w:rPr>
        <w:t>Election Changes. During an Offering Period, a Participant may decrease or increase his or her rate of payroll deductions applicable to such</w:t>
      </w:r>
      <w:r>
        <w:rPr>
          <w:rFonts w:ascii="Arial" w:cs="Arial" w:eastAsia="Arial" w:hAnsi="Arial"/>
          <w:sz w:val="15"/>
          <w:szCs w:val="15"/>
          <w:b w:val="1"/>
          <w:bCs w:val="1"/>
          <w:color w:val="010000"/>
        </w:rPr>
        <w:t xml:space="preserve"> </w:t>
      </w:r>
      <w:r>
        <w:rPr>
          <w:rFonts w:ascii="Arial" w:cs="Arial" w:eastAsia="Arial" w:hAnsi="Arial"/>
          <w:sz w:val="15"/>
          <w:szCs w:val="15"/>
          <w:color w:val="000000"/>
        </w:rPr>
        <w:t>Offering Period only one (1) time. To make such a change, the Participant must submit a new Enrollment Form authorizing the new rate of payroll deductions at least fifteen</w:t>
      </w:r>
    </w:p>
    <w:p>
      <w:pPr>
        <w:spacing w:after="0" w:line="1" w:lineRule="exact"/>
        <w:rPr>
          <w:sz w:val="20"/>
          <w:szCs w:val="20"/>
          <w:color w:val="auto"/>
        </w:rPr>
      </w:pPr>
    </w:p>
    <w:p>
      <w:pPr>
        <w:jc w:val="both"/>
        <w:ind w:left="3" w:hanging="3"/>
        <w:spacing w:after="0" w:line="259" w:lineRule="auto"/>
        <w:tabs>
          <w:tab w:leader="none" w:pos="3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days before the Purchase Date, with any permitted change to take effect as soon as administratively practicable. A Participant may decrease or increase his or her rate of payroll deductions for future Offering Periods by submitting a new Enrollment Form authorizing the new rate of payroll deductions at least fifteen (15) days before the start of the next Offering Period.</w:t>
      </w:r>
    </w:p>
    <w:p>
      <w:pPr>
        <w:spacing w:after="0" w:line="164" w:lineRule="exact"/>
        <w:rPr>
          <w:sz w:val="20"/>
          <w:szCs w:val="20"/>
          <w:color w:val="auto"/>
        </w:rPr>
      </w:pPr>
    </w:p>
    <w:p>
      <w:pPr>
        <w:jc w:val="both"/>
        <w:ind w:left="3" w:firstLine="865"/>
        <w:spacing w:after="0" w:line="269" w:lineRule="auto"/>
        <w:rPr>
          <w:sz w:val="20"/>
          <w:szCs w:val="20"/>
          <w:color w:val="auto"/>
        </w:rPr>
      </w:pPr>
      <w:r>
        <w:rPr>
          <w:rFonts w:ascii="Arial" w:cs="Arial" w:eastAsia="Arial" w:hAnsi="Arial"/>
          <w:sz w:val="16"/>
          <w:szCs w:val="16"/>
          <w:b w:val="1"/>
          <w:bCs w:val="1"/>
          <w:color w:val="010000"/>
        </w:rPr>
        <w:t xml:space="preserve">6.3 </w:t>
      </w:r>
      <w:r>
        <w:rPr>
          <w:rFonts w:ascii="Arial" w:cs="Arial" w:eastAsia="Arial" w:hAnsi="Arial"/>
          <w:sz w:val="16"/>
          <w:szCs w:val="16"/>
          <w:b w:val="1"/>
          <w:bCs w:val="1"/>
          <w:color w:val="000000"/>
        </w:rPr>
        <w:t>Automatic Re-enrollment.</w:t>
      </w:r>
      <w:r>
        <w:rPr>
          <w:rFonts w:ascii="Arial" w:cs="Arial" w:eastAsia="Arial" w:hAnsi="Arial"/>
          <w:sz w:val="16"/>
          <w:szCs w:val="16"/>
          <w:b w:val="1"/>
          <w:bCs w:val="1"/>
          <w:color w:val="010000"/>
        </w:rPr>
        <w:t xml:space="preserve"> </w:t>
      </w:r>
      <w:r>
        <w:rPr>
          <w:rFonts w:ascii="Arial" w:cs="Arial" w:eastAsia="Arial" w:hAnsi="Arial"/>
          <w:sz w:val="16"/>
          <w:szCs w:val="16"/>
          <w:color w:val="000000"/>
        </w:rPr>
        <w:t>The deduction rate selected in the Enrollment Form shall remain in effect for subsequent Offering Periods unless the</w:t>
      </w:r>
      <w:r>
        <w:rPr>
          <w:rFonts w:ascii="Arial" w:cs="Arial" w:eastAsia="Arial" w:hAnsi="Arial"/>
          <w:sz w:val="16"/>
          <w:szCs w:val="16"/>
          <w:b w:val="1"/>
          <w:bCs w:val="1"/>
          <w:color w:val="010000"/>
        </w:rPr>
        <w:t xml:space="preserve"> </w:t>
      </w:r>
      <w:r>
        <w:rPr>
          <w:rFonts w:ascii="Arial" w:cs="Arial" w:eastAsia="Arial" w:hAnsi="Arial"/>
          <w:sz w:val="16"/>
          <w:szCs w:val="16"/>
          <w:color w:val="000000"/>
        </w:rPr>
        <w:t xml:space="preserve">Participant (i) submits a new Enrollment Form authorizing a new level of payroll deductions in accordance with Section 6.2 </w:t>
      </w:r>
      <w:r>
        <w:rPr>
          <w:rFonts w:ascii="Arial" w:cs="Arial" w:eastAsia="Arial" w:hAnsi="Arial"/>
          <w:sz w:val="16"/>
          <w:szCs w:val="16"/>
          <w:i w:val="1"/>
          <w:iCs w:val="1"/>
          <w:color w:val="000000"/>
        </w:rPr>
        <w:t>(Election Changes)</w:t>
      </w:r>
      <w:r>
        <w:rPr>
          <w:rFonts w:ascii="Arial" w:cs="Arial" w:eastAsia="Arial" w:hAnsi="Arial"/>
          <w:sz w:val="16"/>
          <w:szCs w:val="16"/>
          <w:color w:val="000000"/>
        </w:rPr>
        <w:t>, (ii) withdraws from this Plan in accordance with Section 10, or (iii) terminates employment or otherwise becomes ineligible to participate in this Plan.</w:t>
      </w:r>
    </w:p>
    <w:p>
      <w:pPr>
        <w:spacing w:after="0" w:line="157" w:lineRule="exact"/>
        <w:rPr>
          <w:sz w:val="20"/>
          <w:szCs w:val="20"/>
          <w:color w:val="auto"/>
        </w:rPr>
      </w:pPr>
    </w:p>
    <w:p>
      <w:pPr>
        <w:ind w:left="703" w:hanging="703"/>
        <w:spacing w:after="0"/>
        <w:tabs>
          <w:tab w:leader="none" w:pos="703"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GRANT OF OPTION</w:t>
      </w:r>
    </w:p>
    <w:p>
      <w:pPr>
        <w:spacing w:after="0" w:line="208" w:lineRule="exact"/>
        <w:rPr>
          <w:sz w:val="20"/>
          <w:szCs w:val="20"/>
          <w:color w:val="auto"/>
        </w:rPr>
      </w:pPr>
    </w:p>
    <w:p>
      <w:pPr>
        <w:jc w:val="both"/>
        <w:ind w:left="3" w:firstLine="865"/>
        <w:spacing w:after="0" w:line="262" w:lineRule="auto"/>
        <w:rPr>
          <w:sz w:val="20"/>
          <w:szCs w:val="20"/>
          <w:color w:val="auto"/>
        </w:rPr>
      </w:pPr>
      <w:r>
        <w:rPr>
          <w:rFonts w:ascii="Arial" w:cs="Arial" w:eastAsia="Arial" w:hAnsi="Arial"/>
          <w:sz w:val="16"/>
          <w:szCs w:val="16"/>
          <w:color w:val="auto"/>
        </w:rPr>
        <w:t xml:space="preserve">On each Grant Date, each Participant in the applicable Offering Period shall be granted an option to purchase, on the Purchase Date, a number of shares of Common Stock determined by dividing the Participant’s accumulated payroll deductions by the applicable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any Participant purchase more than seven thousand five hundred (7,500) shares of Common Stock during an Offering Period (subject to adjustment in accordance with Section 18 and the limitations set forth in Sections 4.2 </w:t>
      </w:r>
      <w:r>
        <w:rPr>
          <w:rFonts w:ascii="Arial" w:cs="Arial" w:eastAsia="Arial" w:hAnsi="Arial"/>
          <w:sz w:val="16"/>
          <w:szCs w:val="16"/>
          <w:i w:val="1"/>
          <w:iCs w:val="1"/>
          <w:color w:val="auto"/>
        </w:rPr>
        <w:t>(Eligibility Restrictions)</w:t>
      </w:r>
      <w:r>
        <w:rPr>
          <w:rFonts w:ascii="Arial" w:cs="Arial" w:eastAsia="Arial" w:hAnsi="Arial"/>
          <w:sz w:val="16"/>
          <w:szCs w:val="16"/>
          <w:color w:val="auto"/>
        </w:rPr>
        <w:t xml:space="preserve"> and 13).</w:t>
      </w:r>
    </w:p>
    <w:p>
      <w:pPr>
        <w:spacing w:after="0" w:line="162" w:lineRule="exact"/>
        <w:rPr>
          <w:sz w:val="20"/>
          <w:szCs w:val="20"/>
          <w:color w:val="auto"/>
        </w:rPr>
      </w:pPr>
    </w:p>
    <w:p>
      <w:pPr>
        <w:ind w:left="703" w:hanging="703"/>
        <w:spacing w:after="0"/>
        <w:tabs>
          <w:tab w:leader="none" w:pos="703"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EXERCISE OF OPTION/PURCHASE OF SHARES</w:t>
      </w:r>
    </w:p>
    <w:p>
      <w:pPr>
        <w:spacing w:after="0" w:line="208" w:lineRule="exact"/>
        <w:rPr>
          <w:sz w:val="20"/>
          <w:szCs w:val="20"/>
          <w:color w:val="auto"/>
        </w:rPr>
      </w:pPr>
    </w:p>
    <w:p>
      <w:pPr>
        <w:jc w:val="both"/>
        <w:ind w:left="3" w:right="20" w:firstLine="865"/>
        <w:spacing w:after="0" w:line="302" w:lineRule="auto"/>
        <w:rPr>
          <w:sz w:val="20"/>
          <w:szCs w:val="20"/>
          <w:color w:val="auto"/>
        </w:rPr>
      </w:pPr>
      <w:r>
        <w:rPr>
          <w:rFonts w:ascii="Arial" w:cs="Arial" w:eastAsia="Arial" w:hAnsi="Arial"/>
          <w:sz w:val="14"/>
          <w:szCs w:val="14"/>
          <w:color w:val="auto"/>
        </w:rPr>
        <w:t xml:space="preserve">A Participant’s option to purchase shares of Common Stock shall be exercised automatically on the Purchase Date of each Offering Period. The Participant’s accumulated payroll deductions shall be used to purchase the maximum number of whole shares that can be purchased with the amounts in the Participant’s notional account, subject to the limitations set forth in this Plan. No fractional shares may be purchased but notional fractional shares of Common Stock shall be allocated to the Participant’s ESPP Share Account to be aggregated with other notional fractional shares of Common Stock on future Purchase Dates, subject to earlier withdrawal by the Participant in accordance with Section 10 or termination of employment in accordance with Section 11. Any accumulated payroll deductions that remain in a Participant’s notional account after applying the limitations of Section 4.2 </w:t>
      </w:r>
      <w:r>
        <w:rPr>
          <w:rFonts w:ascii="Arial" w:cs="Arial" w:eastAsia="Arial" w:hAnsi="Arial"/>
          <w:sz w:val="14"/>
          <w:szCs w:val="14"/>
          <w:i w:val="1"/>
          <w:iCs w:val="1"/>
          <w:color w:val="auto"/>
        </w:rPr>
        <w:t>(Eligibility Restrictions)</w:t>
      </w:r>
      <w:r>
        <w:rPr>
          <w:rFonts w:ascii="Arial" w:cs="Arial" w:eastAsia="Arial" w:hAnsi="Arial"/>
          <w:sz w:val="14"/>
          <w:szCs w:val="14"/>
          <w:color w:val="auto"/>
        </w:rPr>
        <w:t xml:space="preserve"> and Section 7 shall be returned to the Participant as soon as administratively practicable.</w:t>
      </w:r>
    </w:p>
    <w:p>
      <w:pPr>
        <w:spacing w:after="0" w:line="137" w:lineRule="exact"/>
        <w:rPr>
          <w:sz w:val="20"/>
          <w:szCs w:val="20"/>
          <w:color w:val="auto"/>
        </w:rPr>
      </w:pPr>
    </w:p>
    <w:p>
      <w:pPr>
        <w:ind w:left="703" w:hanging="703"/>
        <w:spacing w:after="0"/>
        <w:tabs>
          <w:tab w:leader="none" w:pos="703"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TRANSFER OF SHARES</w:t>
      </w:r>
    </w:p>
    <w:p>
      <w:pPr>
        <w:spacing w:after="0" w:line="208" w:lineRule="exact"/>
        <w:rPr>
          <w:sz w:val="20"/>
          <w:szCs w:val="20"/>
          <w:color w:val="auto"/>
        </w:rPr>
      </w:pPr>
    </w:p>
    <w:p>
      <w:pPr>
        <w:jc w:val="both"/>
        <w:ind w:left="3" w:right="20" w:firstLine="865"/>
        <w:spacing w:after="0" w:line="259" w:lineRule="auto"/>
        <w:rPr>
          <w:sz w:val="20"/>
          <w:szCs w:val="20"/>
          <w:color w:val="auto"/>
        </w:rPr>
      </w:pPr>
      <w:r>
        <w:rPr>
          <w:rFonts w:ascii="Arial" w:cs="Arial" w:eastAsia="Arial" w:hAnsi="Arial"/>
          <w:sz w:val="16"/>
          <w:szCs w:val="16"/>
          <w:color w:val="auto"/>
        </w:rPr>
        <w:t>As soon as reasonably practicable after each Purchase Date, the Company shall arrange for the delivery to each Participant of the shares of Common Stock purchased upon exercise of his or her option. The Committee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shall not have any voting, dividend, or other rights of a stockholder with respect to the shares of Common Stock subject to any option granted hereunder until such shares have been delivered pursuant to this Section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718693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73" w:name="page74"/>
    <w:bookmarkEnd w:id="73"/>
    <w:p>
      <w:pPr>
        <w:ind w:left="783" w:hanging="783"/>
        <w:spacing w:after="0"/>
        <w:tabs>
          <w:tab w:leader="none" w:pos="783"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WITHDRAWAL</w:t>
      </w:r>
    </w:p>
    <w:p>
      <w:pPr>
        <w:spacing w:after="0" w:line="204" w:lineRule="exact"/>
        <w:rPr>
          <w:sz w:val="20"/>
          <w:szCs w:val="20"/>
          <w:color w:val="auto"/>
        </w:rPr>
      </w:pPr>
    </w:p>
    <w:p>
      <w:pPr>
        <w:jc w:val="both"/>
        <w:ind w:left="3" w:firstLine="865"/>
        <w:spacing w:after="0" w:line="282" w:lineRule="auto"/>
        <w:rPr>
          <w:sz w:val="20"/>
          <w:szCs w:val="20"/>
          <w:color w:val="auto"/>
        </w:rPr>
      </w:pPr>
      <w:r>
        <w:rPr>
          <w:rFonts w:ascii="Arial" w:cs="Arial" w:eastAsia="Arial" w:hAnsi="Arial"/>
          <w:sz w:val="15"/>
          <w:szCs w:val="15"/>
          <w:b w:val="1"/>
          <w:bCs w:val="1"/>
          <w:color w:val="010000"/>
        </w:rPr>
        <w:t xml:space="preserve">10.1 </w:t>
      </w:r>
      <w:r>
        <w:rPr>
          <w:rFonts w:ascii="Arial" w:cs="Arial" w:eastAsia="Arial" w:hAnsi="Arial"/>
          <w:sz w:val="15"/>
          <w:szCs w:val="15"/>
          <w:b w:val="1"/>
          <w:bCs w:val="1"/>
          <w:color w:val="000000"/>
        </w:rPr>
        <w:t>Withdrawal Procedure.</w:t>
      </w:r>
      <w:r>
        <w:rPr>
          <w:rFonts w:ascii="Arial" w:cs="Arial" w:eastAsia="Arial" w:hAnsi="Arial"/>
          <w:sz w:val="15"/>
          <w:szCs w:val="15"/>
          <w:b w:val="1"/>
          <w:bCs w:val="1"/>
          <w:color w:val="010000"/>
        </w:rPr>
        <w:t xml:space="preserve"> </w:t>
      </w:r>
      <w:r>
        <w:rPr>
          <w:rFonts w:ascii="Arial" w:cs="Arial" w:eastAsia="Arial" w:hAnsi="Arial"/>
          <w:sz w:val="15"/>
          <w:szCs w:val="15"/>
          <w:color w:val="000000"/>
        </w:rPr>
        <w:t>A Participant may withdraw from an Offering by submitting to the Company a revised Enrollment Form indicating his or</w:t>
      </w:r>
      <w:r>
        <w:rPr>
          <w:rFonts w:ascii="Arial" w:cs="Arial" w:eastAsia="Arial" w:hAnsi="Arial"/>
          <w:sz w:val="15"/>
          <w:szCs w:val="15"/>
          <w:b w:val="1"/>
          <w:bCs w:val="1"/>
          <w:color w:val="010000"/>
        </w:rPr>
        <w:t xml:space="preserve"> </w:t>
      </w:r>
      <w:r>
        <w:rPr>
          <w:rFonts w:ascii="Arial" w:cs="Arial" w:eastAsia="Arial" w:hAnsi="Arial"/>
          <w:sz w:val="15"/>
          <w:szCs w:val="15"/>
          <w:color w:val="000000"/>
        </w:rPr>
        <w:t xml:space="preserve">her election to withdraw at least fifteen (15) days before the Purchase Date. The accumulated payroll deductions held on behalf of a Participant in his or her notional account (that have not been used to purchase shares of Common Stock) shall be paid to the Participant promptly after receipt of the Participant’s Enrollment Form indicating his or her election to withdraw and the Participant’s option shall be automatically terminated. If a Participant withdraws from an Offering Period, no payroll deductions shall be made during any succeeding Offering Period, unless the Participant re-enrolls in accordance with Section 6.1 </w:t>
      </w:r>
      <w:r>
        <w:rPr>
          <w:rFonts w:ascii="Arial" w:cs="Arial" w:eastAsia="Arial" w:hAnsi="Arial"/>
          <w:sz w:val="15"/>
          <w:szCs w:val="15"/>
          <w:i w:val="1"/>
          <w:iCs w:val="1"/>
          <w:color w:val="000000"/>
        </w:rPr>
        <w:t>(Enrollment; Payroll Deductions)</w:t>
      </w:r>
      <w:r>
        <w:rPr>
          <w:rFonts w:ascii="Arial" w:cs="Arial" w:eastAsia="Arial" w:hAnsi="Arial"/>
          <w:sz w:val="15"/>
          <w:szCs w:val="15"/>
          <w:color w:val="000000"/>
        </w:rPr>
        <w:t>.</w:t>
      </w:r>
    </w:p>
    <w:p>
      <w:pPr>
        <w:spacing w:after="0" w:line="150" w:lineRule="exact"/>
        <w:rPr>
          <w:sz w:val="20"/>
          <w:szCs w:val="20"/>
          <w:color w:val="auto"/>
        </w:rPr>
      </w:pPr>
    </w:p>
    <w:p>
      <w:pPr>
        <w:jc w:val="both"/>
        <w:ind w:left="3" w:firstLine="865"/>
        <w:spacing w:after="0" w:line="286" w:lineRule="auto"/>
        <w:rPr>
          <w:sz w:val="20"/>
          <w:szCs w:val="20"/>
          <w:color w:val="auto"/>
        </w:rPr>
      </w:pPr>
      <w:r>
        <w:rPr>
          <w:rFonts w:ascii="Arial" w:cs="Arial" w:eastAsia="Arial" w:hAnsi="Arial"/>
          <w:sz w:val="16"/>
          <w:szCs w:val="16"/>
          <w:b w:val="1"/>
          <w:bCs w:val="1"/>
          <w:color w:val="010000"/>
        </w:rPr>
        <w:t xml:space="preserve">10.2 </w:t>
      </w:r>
      <w:r>
        <w:rPr>
          <w:rFonts w:ascii="Arial" w:cs="Arial" w:eastAsia="Arial" w:hAnsi="Arial"/>
          <w:sz w:val="16"/>
          <w:szCs w:val="16"/>
          <w:b w:val="1"/>
          <w:bCs w:val="1"/>
          <w:color w:val="000000"/>
        </w:rPr>
        <w:t>Effect on Succeeding Offering Periods.</w:t>
      </w:r>
      <w:r>
        <w:rPr>
          <w:rFonts w:ascii="Arial" w:cs="Arial" w:eastAsia="Arial" w:hAnsi="Arial"/>
          <w:sz w:val="16"/>
          <w:szCs w:val="16"/>
          <w:b w:val="1"/>
          <w:bCs w:val="1"/>
          <w:color w:val="010000"/>
        </w:rPr>
        <w:t xml:space="preserve"> </w:t>
      </w:r>
      <w:r>
        <w:rPr>
          <w:rFonts w:ascii="Arial" w:cs="Arial" w:eastAsia="Arial" w:hAnsi="Arial"/>
          <w:sz w:val="16"/>
          <w:szCs w:val="16"/>
          <w:color w:val="000000"/>
        </w:rPr>
        <w:t>A Participant’s election to withdraw from an Offering Period shall not have any effect upon his or her</w:t>
      </w:r>
      <w:r>
        <w:rPr>
          <w:rFonts w:ascii="Arial" w:cs="Arial" w:eastAsia="Arial" w:hAnsi="Arial"/>
          <w:sz w:val="16"/>
          <w:szCs w:val="16"/>
          <w:b w:val="1"/>
          <w:bCs w:val="1"/>
          <w:color w:val="010000"/>
        </w:rPr>
        <w:t xml:space="preserve"> </w:t>
      </w:r>
      <w:r>
        <w:rPr>
          <w:rFonts w:ascii="Arial" w:cs="Arial" w:eastAsia="Arial" w:hAnsi="Arial"/>
          <w:sz w:val="16"/>
          <w:szCs w:val="16"/>
          <w:color w:val="000000"/>
        </w:rPr>
        <w:t>eligibility to participate in succeeding Offering Periods that commence after the completion of the Offering Period from which the Participant withdraws.</w:t>
      </w:r>
    </w:p>
    <w:p>
      <w:pPr>
        <w:spacing w:after="0" w:line="143" w:lineRule="exact"/>
        <w:rPr>
          <w:sz w:val="20"/>
          <w:szCs w:val="20"/>
          <w:color w:val="auto"/>
        </w:rPr>
      </w:pPr>
    </w:p>
    <w:p>
      <w:pPr>
        <w:ind w:left="783" w:hanging="783"/>
        <w:spacing w:after="0"/>
        <w:tabs>
          <w:tab w:leader="none" w:pos="783"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EMPLOYMENT; CHANGE IN EMPLOYMENT STATUS</w:t>
      </w:r>
    </w:p>
    <w:p>
      <w:pPr>
        <w:spacing w:after="0" w:line="208" w:lineRule="exact"/>
        <w:rPr>
          <w:sz w:val="20"/>
          <w:szCs w:val="20"/>
          <w:color w:val="auto"/>
        </w:rPr>
      </w:pPr>
    </w:p>
    <w:p>
      <w:pPr>
        <w:jc w:val="both"/>
        <w:ind w:left="3" w:firstLine="865"/>
        <w:spacing w:after="0" w:line="278" w:lineRule="auto"/>
        <w:rPr>
          <w:sz w:val="20"/>
          <w:szCs w:val="20"/>
          <w:color w:val="auto"/>
        </w:rPr>
      </w:pPr>
      <w:r>
        <w:rPr>
          <w:rFonts w:ascii="Arial" w:cs="Arial" w:eastAsia="Arial" w:hAnsi="Arial"/>
          <w:sz w:val="15"/>
          <w:szCs w:val="15"/>
          <w:color w:val="auto"/>
        </w:rPr>
        <w:t>In the event of a Participant’s termination of employment from the Company and the Participating Subsidiaries due to the Participant’s Retirement, Disability, or death within three (3) months before a Purchase Date, such Participant’s accumulated payroll deductions shall be used to purchase shares on the Purchase Date. Upon termination of a Participant’s employment from the Company and the Participating Subsidiaries for any other reason or at any other time, or a change in the Participant’s employment status after which the Participant is no longer an Eligible Employee, the Participant shall be deemed to have withdrawn from this Plan and the payroll deductions in the Participant’s notional account (that have not been used to purchase shares of Common Stock) shall be returned to the Participant, or in the case of the Participant’s death, to the person(s) entitled to such amounts under Section 17, and the Participant’s option shall be automatically terminated.</w:t>
      </w:r>
    </w:p>
    <w:p>
      <w:pPr>
        <w:spacing w:after="0" w:line="154" w:lineRule="exact"/>
        <w:rPr>
          <w:sz w:val="20"/>
          <w:szCs w:val="20"/>
          <w:color w:val="auto"/>
        </w:rPr>
      </w:pPr>
    </w:p>
    <w:p>
      <w:pPr>
        <w:ind w:left="783" w:hanging="783"/>
        <w:spacing w:after="0"/>
        <w:tabs>
          <w:tab w:leader="none" w:pos="783"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INTEREST</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No interest shall accrue on or be payable with respect to the payroll deductions of a Participant in this Plan.</w:t>
      </w:r>
    </w:p>
    <w:p>
      <w:pPr>
        <w:spacing w:after="0" w:line="200" w:lineRule="exact"/>
        <w:rPr>
          <w:sz w:val="20"/>
          <w:szCs w:val="20"/>
          <w:color w:val="auto"/>
        </w:rPr>
      </w:pPr>
    </w:p>
    <w:p>
      <w:pPr>
        <w:ind w:left="783" w:hanging="783"/>
        <w:spacing w:after="0"/>
        <w:tabs>
          <w:tab w:leader="none" w:pos="783"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SHARES RESERVED FOR PLAN</w:t>
      </w:r>
    </w:p>
    <w:p>
      <w:pPr>
        <w:spacing w:after="0" w:line="204" w:lineRule="exact"/>
        <w:rPr>
          <w:sz w:val="20"/>
          <w:szCs w:val="20"/>
          <w:color w:val="auto"/>
        </w:rPr>
      </w:pPr>
    </w:p>
    <w:p>
      <w:pPr>
        <w:jc w:val="both"/>
        <w:ind w:left="3" w:firstLine="865"/>
        <w:spacing w:after="0" w:line="325" w:lineRule="auto"/>
        <w:rPr>
          <w:sz w:val="20"/>
          <w:szCs w:val="20"/>
          <w:color w:val="auto"/>
        </w:rPr>
      </w:pPr>
      <w:r>
        <w:rPr>
          <w:rFonts w:ascii="Arial" w:cs="Arial" w:eastAsia="Arial" w:hAnsi="Arial"/>
          <w:sz w:val="14"/>
          <w:szCs w:val="14"/>
          <w:b w:val="1"/>
          <w:bCs w:val="1"/>
          <w:color w:val="010000"/>
        </w:rPr>
        <w:t xml:space="preserve">13.1 </w:t>
      </w:r>
      <w:r>
        <w:rPr>
          <w:rFonts w:ascii="Arial" w:cs="Arial" w:eastAsia="Arial" w:hAnsi="Arial"/>
          <w:sz w:val="14"/>
          <w:szCs w:val="14"/>
          <w:b w:val="1"/>
          <w:bCs w:val="1"/>
          <w:color w:val="000000"/>
        </w:rPr>
        <w:t>Number of Shares.</w:t>
      </w:r>
      <w:r>
        <w:rPr>
          <w:rFonts w:ascii="Arial" w:cs="Arial" w:eastAsia="Arial" w:hAnsi="Arial"/>
          <w:sz w:val="14"/>
          <w:szCs w:val="14"/>
          <w:b w:val="1"/>
          <w:bCs w:val="1"/>
          <w:color w:val="010000"/>
        </w:rPr>
        <w:t xml:space="preserve"> </w:t>
      </w:r>
      <w:r>
        <w:rPr>
          <w:rFonts w:ascii="Arial" w:cs="Arial" w:eastAsia="Arial" w:hAnsi="Arial"/>
          <w:sz w:val="14"/>
          <w:szCs w:val="14"/>
          <w:color w:val="000000"/>
        </w:rPr>
        <w:t>A total of one million five hundred fifty thousand (1,550,000) shares of Common Stock have been reserved as authorized for</w:t>
      </w:r>
      <w:r>
        <w:rPr>
          <w:rFonts w:ascii="Arial" w:cs="Arial" w:eastAsia="Arial" w:hAnsi="Arial"/>
          <w:sz w:val="14"/>
          <w:szCs w:val="14"/>
          <w:b w:val="1"/>
          <w:bCs w:val="1"/>
          <w:color w:val="010000"/>
        </w:rPr>
        <w:t xml:space="preserve"> </w:t>
      </w:r>
      <w:r>
        <w:rPr>
          <w:rFonts w:ascii="Arial" w:cs="Arial" w:eastAsia="Arial" w:hAnsi="Arial"/>
          <w:sz w:val="14"/>
          <w:szCs w:val="14"/>
          <w:color w:val="000000"/>
        </w:rPr>
        <w:t>the grant of options under this Plan. The shares of Common Stock may be newly issued shares, treasury shares, or shares acquired on the open market. If an option under this Plan expires or is terminated unexercised for any reason, the shares as to which such option so expired or terminated again may be made subject to an option under this Plan.</w:t>
      </w:r>
    </w:p>
    <w:p>
      <w:pPr>
        <w:spacing w:after="0" w:line="121" w:lineRule="exact"/>
        <w:rPr>
          <w:sz w:val="20"/>
          <w:szCs w:val="20"/>
          <w:color w:val="auto"/>
        </w:rPr>
      </w:pPr>
    </w:p>
    <w:p>
      <w:pPr>
        <w:jc w:val="both"/>
        <w:ind w:left="3" w:firstLine="865"/>
        <w:spacing w:after="0" w:line="280" w:lineRule="auto"/>
        <w:rPr>
          <w:sz w:val="20"/>
          <w:szCs w:val="20"/>
          <w:color w:val="auto"/>
        </w:rPr>
      </w:pPr>
      <w:r>
        <w:rPr>
          <w:rFonts w:ascii="Arial" w:cs="Arial" w:eastAsia="Arial" w:hAnsi="Arial"/>
          <w:sz w:val="15"/>
          <w:szCs w:val="15"/>
          <w:b w:val="1"/>
          <w:bCs w:val="1"/>
          <w:color w:val="010000"/>
        </w:rPr>
        <w:t xml:space="preserve">13.2 </w:t>
      </w:r>
      <w:r>
        <w:rPr>
          <w:rFonts w:ascii="Arial" w:cs="Arial" w:eastAsia="Arial" w:hAnsi="Arial"/>
          <w:sz w:val="15"/>
          <w:szCs w:val="15"/>
          <w:b w:val="1"/>
          <w:bCs w:val="1"/>
          <w:color w:val="000000"/>
        </w:rPr>
        <w:t>Oversubscribed Offerings.</w:t>
      </w:r>
      <w:r>
        <w:rPr>
          <w:rFonts w:ascii="Arial" w:cs="Arial" w:eastAsia="Arial" w:hAnsi="Arial"/>
          <w:sz w:val="15"/>
          <w:szCs w:val="15"/>
          <w:b w:val="1"/>
          <w:bCs w:val="1"/>
          <w:color w:val="010000"/>
        </w:rPr>
        <w:t xml:space="preserve"> </w:t>
      </w:r>
      <w:r>
        <w:rPr>
          <w:rFonts w:ascii="Arial" w:cs="Arial" w:eastAsia="Arial" w:hAnsi="Arial"/>
          <w:sz w:val="15"/>
          <w:szCs w:val="15"/>
          <w:color w:val="000000"/>
        </w:rPr>
        <w:t>The number of shares of Common Stock that a Participant may purchase in an Offering under this Plan may be</w:t>
      </w:r>
      <w:r>
        <w:rPr>
          <w:rFonts w:ascii="Arial" w:cs="Arial" w:eastAsia="Arial" w:hAnsi="Arial"/>
          <w:sz w:val="15"/>
          <w:szCs w:val="15"/>
          <w:b w:val="1"/>
          <w:bCs w:val="1"/>
          <w:color w:val="010000"/>
        </w:rPr>
        <w:t xml:space="preserve"> </w:t>
      </w:r>
      <w:r>
        <w:rPr>
          <w:rFonts w:ascii="Arial" w:cs="Arial" w:eastAsia="Arial" w:hAnsi="Arial"/>
          <w:sz w:val="15"/>
          <w:szCs w:val="15"/>
          <w:color w:val="000000"/>
        </w:rPr>
        <w:t>reduced if the Offering is oversubscribed. No option granted under this Plan shall permit a Participant to purchase shares of Common Stock that, if added together with the total number of shares of Common Stock purchased by all other Participants in such Offering, would exceed the total number of shares of Common Stock remaining available under this Plan. If the Committee determines that, on a particular Purchase Date, the number of shares of Common Stock with respect to which options are to be exercised exceeds the number of shares of Common Stock then available under this Plan, the Company shall make a pro rata allocation of the shares of Common Stock remaining available for purchase in as uniform a manner as practicable and as the Committee determines to be equitable.</w:t>
      </w:r>
    </w:p>
    <w:p>
      <w:pPr>
        <w:spacing w:after="0" w:line="149" w:lineRule="exact"/>
        <w:rPr>
          <w:sz w:val="20"/>
          <w:szCs w:val="20"/>
          <w:color w:val="auto"/>
        </w:rPr>
      </w:pPr>
    </w:p>
    <w:p>
      <w:pPr>
        <w:ind w:left="783" w:hanging="783"/>
        <w:spacing w:after="0"/>
        <w:tabs>
          <w:tab w:leader="none" w:pos="783"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w:t>
      </w:r>
    </w:p>
    <w:p>
      <w:pPr>
        <w:spacing w:after="0" w:line="208" w:lineRule="exact"/>
        <w:rPr>
          <w:sz w:val="20"/>
          <w:szCs w:val="20"/>
          <w:color w:val="auto"/>
        </w:rPr>
      </w:pPr>
    </w:p>
    <w:p>
      <w:pPr>
        <w:jc w:val="both"/>
        <w:ind w:left="3" w:firstLine="865"/>
        <w:spacing w:after="0" w:line="267" w:lineRule="auto"/>
        <w:rPr>
          <w:sz w:val="20"/>
          <w:szCs w:val="20"/>
          <w:color w:val="auto"/>
        </w:rPr>
      </w:pPr>
      <w:r>
        <w:rPr>
          <w:rFonts w:ascii="Arial" w:cs="Arial" w:eastAsia="Arial" w:hAnsi="Arial"/>
          <w:sz w:val="16"/>
          <w:szCs w:val="16"/>
          <w:color w:val="auto"/>
        </w:rPr>
        <w:t>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Section 17) by the Participant. Any attempt to assign, transfer, pledge, or otherwise dispose of such rights or amounts shall be without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97790</wp:posOffset>
            </wp:positionV>
            <wp:extent cx="718693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123" w:right="339" w:bottom="1440" w:gutter="0" w:footer="0" w:header="0"/>
        </w:sectPr>
      </w:pPr>
    </w:p>
    <w:bookmarkStart w:id="74" w:name="page75"/>
    <w:bookmarkEnd w:id="74"/>
    <w:p>
      <w:pPr>
        <w:ind w:left="783" w:hanging="783"/>
        <w:spacing w:after="0"/>
        <w:tabs>
          <w:tab w:leader="none" w:pos="783"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APPLICATION OF FUNDS</w:t>
      </w:r>
    </w:p>
    <w:p>
      <w:pPr>
        <w:spacing w:after="0" w:line="208" w:lineRule="exact"/>
        <w:rPr>
          <w:sz w:val="20"/>
          <w:szCs w:val="20"/>
          <w:color w:val="auto"/>
        </w:rPr>
      </w:pPr>
    </w:p>
    <w:p>
      <w:pPr>
        <w:ind w:left="3" w:right="20" w:firstLine="865"/>
        <w:spacing w:after="0" w:line="281" w:lineRule="auto"/>
        <w:rPr>
          <w:sz w:val="20"/>
          <w:szCs w:val="20"/>
          <w:color w:val="auto"/>
        </w:rPr>
      </w:pPr>
      <w:r>
        <w:rPr>
          <w:rFonts w:ascii="Arial" w:cs="Arial" w:eastAsia="Arial" w:hAnsi="Arial"/>
          <w:sz w:val="16"/>
          <w:szCs w:val="16"/>
          <w:color w:val="auto"/>
        </w:rPr>
        <w:t>All payroll deductions received or held by the Company under this Plan may be used by the Company for any corporate purpose to the extent permitted by applicable law, and the Company shall not be required to segregate such payroll deductions or contributions.</w:t>
      </w:r>
    </w:p>
    <w:p>
      <w:pPr>
        <w:spacing w:after="0" w:line="147" w:lineRule="exact"/>
        <w:rPr>
          <w:sz w:val="20"/>
          <w:szCs w:val="20"/>
          <w:color w:val="auto"/>
        </w:rPr>
      </w:pPr>
    </w:p>
    <w:p>
      <w:pPr>
        <w:ind w:left="783" w:hanging="783"/>
        <w:spacing w:after="0"/>
        <w:tabs>
          <w:tab w:leader="none" w:pos="783"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STATEMENTS</w:t>
      </w:r>
    </w:p>
    <w:p>
      <w:pPr>
        <w:spacing w:after="0" w:line="208" w:lineRule="exact"/>
        <w:rPr>
          <w:sz w:val="20"/>
          <w:szCs w:val="20"/>
          <w:color w:val="auto"/>
        </w:rPr>
      </w:pPr>
    </w:p>
    <w:p>
      <w:pPr>
        <w:jc w:val="both"/>
        <w:ind w:left="3" w:firstLine="865"/>
        <w:spacing w:after="0" w:line="267" w:lineRule="auto"/>
        <w:rPr>
          <w:sz w:val="20"/>
          <w:szCs w:val="20"/>
          <w:color w:val="auto"/>
        </w:rPr>
      </w:pPr>
      <w:r>
        <w:rPr>
          <w:rFonts w:ascii="Arial" w:cs="Arial" w:eastAsia="Arial" w:hAnsi="Arial"/>
          <w:sz w:val="16"/>
          <w:szCs w:val="16"/>
          <w:color w:val="auto"/>
        </w:rPr>
        <w:t>Participants shall be provided with statements at least annually that shall set forth the contributions made by the Participant to this Plan, the Purchase Price of any shares of Common Stock purchased with accumulated funds, the number of shares of Common Stock purchased, and any payroll deduction amounts remaining in the Participant’s notional account.</w:t>
      </w:r>
    </w:p>
    <w:p>
      <w:pPr>
        <w:spacing w:after="0" w:line="157" w:lineRule="exact"/>
        <w:rPr>
          <w:sz w:val="20"/>
          <w:szCs w:val="20"/>
          <w:color w:val="auto"/>
        </w:rPr>
      </w:pPr>
    </w:p>
    <w:p>
      <w:pPr>
        <w:ind w:left="783" w:hanging="783"/>
        <w:spacing w:after="0"/>
        <w:tabs>
          <w:tab w:leader="none" w:pos="783"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DESIGNATION OF BENEFICIARY</w:t>
      </w:r>
    </w:p>
    <w:p>
      <w:pPr>
        <w:spacing w:after="0" w:line="208" w:lineRule="exact"/>
        <w:rPr>
          <w:sz w:val="20"/>
          <w:szCs w:val="20"/>
          <w:color w:val="auto"/>
        </w:rPr>
      </w:pPr>
    </w:p>
    <w:p>
      <w:pPr>
        <w:jc w:val="both"/>
        <w:ind w:left="3" w:firstLine="865"/>
        <w:spacing w:after="0" w:line="285" w:lineRule="auto"/>
        <w:rPr>
          <w:sz w:val="20"/>
          <w:szCs w:val="20"/>
          <w:color w:val="auto"/>
        </w:rPr>
      </w:pPr>
      <w:r>
        <w:rPr>
          <w:rFonts w:ascii="Arial" w:cs="Arial" w:eastAsia="Arial" w:hAnsi="Arial"/>
          <w:sz w:val="15"/>
          <w:szCs w:val="15"/>
          <w:color w:val="auto"/>
        </w:rPr>
        <w:t>A Participant may file, on forms supplied by the Committee, a written designation of beneficiary who is to receive any shares of Common Stock and cash in respect of any fractional shares of Common Stock, if any, from the Participant’s ESPP Share Account under this Plan in the event of such Participant’s death. In addition, a Participant may file, on forms supplied by the Committee, a written designation of beneficiary who is to receive any cash withheld through payroll deductions and credited to the Participant’s notional account in the event of the Participant’s death before the Purchase Date of an Offering Period.</w:t>
      </w:r>
    </w:p>
    <w:p>
      <w:pPr>
        <w:spacing w:after="0" w:line="146" w:lineRule="exact"/>
        <w:rPr>
          <w:sz w:val="20"/>
          <w:szCs w:val="20"/>
          <w:color w:val="auto"/>
        </w:rPr>
      </w:pPr>
    </w:p>
    <w:p>
      <w:pPr>
        <w:ind w:left="863" w:hanging="863"/>
        <w:spacing w:after="0"/>
        <w:tabs>
          <w:tab w:leader="none" w:pos="863"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FOR CHANGES IN CAPITALIZATION; DISSOLUTION OR LIQUIDATION; CORPORATE TRANSACTIONS</w:t>
      </w:r>
    </w:p>
    <w:p>
      <w:pPr>
        <w:spacing w:after="0" w:line="204" w:lineRule="exact"/>
        <w:rPr>
          <w:sz w:val="20"/>
          <w:szCs w:val="20"/>
          <w:color w:val="auto"/>
        </w:rPr>
      </w:pPr>
    </w:p>
    <w:p>
      <w:pPr>
        <w:jc w:val="both"/>
        <w:ind w:left="3" w:firstLine="865"/>
        <w:spacing w:after="0" w:line="259" w:lineRule="auto"/>
        <w:rPr>
          <w:sz w:val="20"/>
          <w:szCs w:val="20"/>
          <w:color w:val="auto"/>
        </w:rPr>
      </w:pPr>
      <w:r>
        <w:rPr>
          <w:rFonts w:ascii="Arial" w:cs="Arial" w:eastAsia="Arial" w:hAnsi="Arial"/>
          <w:sz w:val="16"/>
          <w:szCs w:val="16"/>
          <w:b w:val="1"/>
          <w:bCs w:val="1"/>
          <w:color w:val="010000"/>
        </w:rPr>
        <w:t xml:space="preserve">18.1 </w:t>
      </w:r>
      <w:r>
        <w:rPr>
          <w:rFonts w:ascii="Arial" w:cs="Arial" w:eastAsia="Arial" w:hAnsi="Arial"/>
          <w:sz w:val="16"/>
          <w:szCs w:val="16"/>
          <w:b w:val="1"/>
          <w:bCs w:val="1"/>
          <w:color w:val="000000"/>
        </w:rPr>
        <w:t>Adjustments.</w:t>
      </w:r>
      <w:r>
        <w:rPr>
          <w:rFonts w:ascii="Arial" w:cs="Arial" w:eastAsia="Arial" w:hAnsi="Arial"/>
          <w:sz w:val="16"/>
          <w:szCs w:val="16"/>
          <w:b w:val="1"/>
          <w:bCs w:val="1"/>
          <w:color w:val="010000"/>
        </w:rPr>
        <w:t xml:space="preserve"> </w:t>
      </w:r>
      <w:r>
        <w:rPr>
          <w:rFonts w:ascii="Arial" w:cs="Arial" w:eastAsia="Arial" w:hAnsi="Arial"/>
          <w:sz w:val="16"/>
          <w:szCs w:val="16"/>
          <w:color w:val="000000"/>
        </w:rPr>
        <w:t>In the event that any dividend or other distribution (whether in the form of cash, Common Stock, or other property), recapitalization,</w:t>
      </w:r>
      <w:r>
        <w:rPr>
          <w:rFonts w:ascii="Arial" w:cs="Arial" w:eastAsia="Arial" w:hAnsi="Arial"/>
          <w:sz w:val="16"/>
          <w:szCs w:val="16"/>
          <w:b w:val="1"/>
          <w:bCs w:val="1"/>
          <w:color w:val="010000"/>
        </w:rPr>
        <w:t xml:space="preserve"> </w:t>
      </w:r>
      <w:r>
        <w:rPr>
          <w:rFonts w:ascii="Arial" w:cs="Arial" w:eastAsia="Arial" w:hAnsi="Arial"/>
          <w:sz w:val="16"/>
          <w:szCs w:val="16"/>
          <w:color w:val="000000"/>
        </w:rPr>
        <w:t>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this Plan, the Committee shall, in such manner as it deems equitable, adjust the number of shares and class of Common Stock that may be delivered under this Plan, the Purchase Price per share, and the number of shares of Common Stock covered by each outstanding option under this Plan, and the numerical limits of Section 7 and Section 13.</w:t>
      </w:r>
    </w:p>
    <w:p>
      <w:pPr>
        <w:spacing w:after="0" w:line="165" w:lineRule="exact"/>
        <w:rPr>
          <w:sz w:val="20"/>
          <w:szCs w:val="20"/>
          <w:color w:val="auto"/>
        </w:rPr>
      </w:pPr>
    </w:p>
    <w:p>
      <w:pPr>
        <w:jc w:val="both"/>
        <w:ind w:left="3" w:firstLine="865"/>
        <w:spacing w:after="0" w:line="261" w:lineRule="auto"/>
        <w:rPr>
          <w:sz w:val="20"/>
          <w:szCs w:val="20"/>
          <w:color w:val="auto"/>
        </w:rPr>
      </w:pPr>
      <w:r>
        <w:rPr>
          <w:rFonts w:ascii="Arial" w:cs="Arial" w:eastAsia="Arial" w:hAnsi="Arial"/>
          <w:sz w:val="16"/>
          <w:szCs w:val="16"/>
          <w:b w:val="1"/>
          <w:bCs w:val="1"/>
          <w:color w:val="010000"/>
        </w:rPr>
        <w:t xml:space="preserve">18.2 </w:t>
      </w:r>
      <w:r>
        <w:rPr>
          <w:rFonts w:ascii="Arial" w:cs="Arial" w:eastAsia="Arial" w:hAnsi="Arial"/>
          <w:sz w:val="16"/>
          <w:szCs w:val="16"/>
          <w:b w:val="1"/>
          <w:bCs w:val="1"/>
          <w:color w:val="000000"/>
        </w:rPr>
        <w:t>Dissolution or Liquidation</w:t>
      </w:r>
      <w:r>
        <w:rPr>
          <w:rFonts w:ascii="Arial" w:cs="Arial" w:eastAsia="Arial" w:hAnsi="Arial"/>
          <w:sz w:val="16"/>
          <w:szCs w:val="16"/>
          <w:color w:val="000000"/>
        </w:rPr>
        <w:t>. Unless otherwise determined by the Committee, in the event of a proposed dissolution or liquidation of the Company,</w:t>
      </w:r>
      <w:r>
        <w:rPr>
          <w:rFonts w:ascii="Arial" w:cs="Arial" w:eastAsia="Arial" w:hAnsi="Arial"/>
          <w:sz w:val="16"/>
          <w:szCs w:val="16"/>
          <w:b w:val="1"/>
          <w:bCs w:val="1"/>
          <w:color w:val="010000"/>
        </w:rPr>
        <w:t xml:space="preserve"> </w:t>
      </w:r>
      <w:r>
        <w:rPr>
          <w:rFonts w:ascii="Arial" w:cs="Arial" w:eastAsia="Arial" w:hAnsi="Arial"/>
          <w:sz w:val="16"/>
          <w:szCs w:val="16"/>
          <w:color w:val="000000"/>
        </w:rPr>
        <w:t>any Offering Period then in progress shall be shortened by setting a new Purchase Date and the Offering Period shall end immediately before the proposed dissolution or liquidation. The new Purchase Date shall be before the date of the Company’s proposed dissolution or liquidation. Before the new Purchase Date, the Committee shall provide each Participant with written notice, which may be electronic, of the new Purchase Date and that the Participant’s option shall be exercised automatically on such date, unless before such time, the Participant has withdrawn from the Offering in accordance with Section 10.</w:t>
      </w:r>
    </w:p>
    <w:p>
      <w:pPr>
        <w:spacing w:after="0" w:line="163" w:lineRule="exact"/>
        <w:rPr>
          <w:sz w:val="20"/>
          <w:szCs w:val="20"/>
          <w:color w:val="auto"/>
        </w:rPr>
      </w:pPr>
    </w:p>
    <w:p>
      <w:pPr>
        <w:jc w:val="both"/>
        <w:ind w:left="3" w:right="20" w:firstLine="865"/>
        <w:spacing w:after="0" w:line="264" w:lineRule="auto"/>
        <w:rPr>
          <w:sz w:val="20"/>
          <w:szCs w:val="20"/>
          <w:color w:val="auto"/>
        </w:rPr>
      </w:pPr>
      <w:r>
        <w:rPr>
          <w:rFonts w:ascii="Arial" w:cs="Arial" w:eastAsia="Arial" w:hAnsi="Arial"/>
          <w:sz w:val="16"/>
          <w:szCs w:val="16"/>
          <w:b w:val="1"/>
          <w:bCs w:val="1"/>
          <w:color w:val="010000"/>
        </w:rPr>
        <w:t xml:space="preserve">18.3 </w:t>
      </w:r>
      <w:r>
        <w:rPr>
          <w:rFonts w:ascii="Arial" w:cs="Arial" w:eastAsia="Arial" w:hAnsi="Arial"/>
          <w:sz w:val="16"/>
          <w:szCs w:val="16"/>
          <w:b w:val="1"/>
          <w:bCs w:val="1"/>
          <w:color w:val="000000"/>
        </w:rPr>
        <w:t>Corporate Transactions.</w:t>
      </w:r>
      <w:r>
        <w:rPr>
          <w:rFonts w:ascii="Arial" w:cs="Arial" w:eastAsia="Arial" w:hAnsi="Arial"/>
          <w:sz w:val="16"/>
          <w:szCs w:val="16"/>
          <w:b w:val="1"/>
          <w:bCs w:val="1"/>
          <w:color w:val="010000"/>
        </w:rPr>
        <w:t xml:space="preserve"> </w:t>
      </w:r>
      <w:r>
        <w:rPr>
          <w:rFonts w:ascii="Arial" w:cs="Arial" w:eastAsia="Arial" w:hAnsi="Arial"/>
          <w:sz w:val="16"/>
          <w:szCs w:val="16"/>
          <w:color w:val="000000"/>
        </w:rPr>
        <w:t>In the event of a Corporate Transaction, the then-current Offering Period shall be shortened by setting a new Purchase</w:t>
      </w:r>
      <w:r>
        <w:rPr>
          <w:rFonts w:ascii="Arial" w:cs="Arial" w:eastAsia="Arial" w:hAnsi="Arial"/>
          <w:sz w:val="16"/>
          <w:szCs w:val="16"/>
          <w:b w:val="1"/>
          <w:bCs w:val="1"/>
          <w:color w:val="010000"/>
        </w:rPr>
        <w:t xml:space="preserve"> </w:t>
      </w:r>
      <w:r>
        <w:rPr>
          <w:rFonts w:ascii="Arial" w:cs="Arial" w:eastAsia="Arial" w:hAnsi="Arial"/>
          <w:sz w:val="16"/>
          <w:szCs w:val="16"/>
          <w:color w:val="000000"/>
        </w:rPr>
        <w:t>Date on which the Offering Period shall end. The new Purchase Date shall occur before the date of the Corporate Transaction. Before the new Purchase Date, the Committee shall provide each Participant with written notice, which may be electronic, of the new Purchase Date and that the Participant’s option shall be exercised automatically on such date, unless before such time, the Participant has withdrawn from the Offering in accordance with Section 10.</w:t>
      </w:r>
    </w:p>
    <w:p>
      <w:pPr>
        <w:spacing w:after="0" w:line="160" w:lineRule="exact"/>
        <w:rPr>
          <w:sz w:val="20"/>
          <w:szCs w:val="20"/>
          <w:color w:val="auto"/>
        </w:rPr>
      </w:pPr>
    </w:p>
    <w:p>
      <w:pPr>
        <w:ind w:left="783" w:hanging="783"/>
        <w:spacing w:after="0"/>
        <w:tabs>
          <w:tab w:leader="none" w:pos="783"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GENERAL PROVISIONS</w:t>
      </w:r>
    </w:p>
    <w:p>
      <w:pPr>
        <w:spacing w:after="0" w:line="204" w:lineRule="exact"/>
        <w:rPr>
          <w:sz w:val="20"/>
          <w:szCs w:val="20"/>
          <w:color w:val="auto"/>
        </w:rPr>
      </w:pPr>
    </w:p>
    <w:p>
      <w:pPr>
        <w:ind w:left="3" w:firstLine="865"/>
        <w:spacing w:after="0" w:line="286" w:lineRule="auto"/>
        <w:rPr>
          <w:sz w:val="20"/>
          <w:szCs w:val="20"/>
          <w:color w:val="auto"/>
        </w:rPr>
      </w:pPr>
      <w:r>
        <w:rPr>
          <w:rFonts w:ascii="Arial" w:cs="Arial" w:eastAsia="Arial" w:hAnsi="Arial"/>
          <w:sz w:val="16"/>
          <w:szCs w:val="16"/>
          <w:b w:val="1"/>
          <w:bCs w:val="1"/>
          <w:color w:val="010000"/>
        </w:rPr>
        <w:t xml:space="preserve">19.1 </w:t>
      </w:r>
      <w:r>
        <w:rPr>
          <w:rFonts w:ascii="Arial" w:cs="Arial" w:eastAsia="Arial" w:hAnsi="Arial"/>
          <w:sz w:val="16"/>
          <w:szCs w:val="16"/>
          <w:b w:val="1"/>
          <w:bCs w:val="1"/>
          <w:color w:val="000000"/>
        </w:rPr>
        <w:t>Equal Rights and Privileges.</w:t>
      </w:r>
      <w:r>
        <w:rPr>
          <w:rFonts w:ascii="Arial" w:cs="Arial" w:eastAsia="Arial" w:hAnsi="Arial"/>
          <w:sz w:val="16"/>
          <w:szCs w:val="16"/>
          <w:b w:val="1"/>
          <w:bCs w:val="1"/>
          <w:color w:val="010000"/>
        </w:rPr>
        <w:t xml:space="preserve"> </w:t>
      </w:r>
      <w:r>
        <w:rPr>
          <w:rFonts w:ascii="Arial" w:cs="Arial" w:eastAsia="Arial" w:hAnsi="Arial"/>
          <w:sz w:val="16"/>
          <w:szCs w:val="16"/>
          <w:color w:val="000000"/>
        </w:rPr>
        <w:t>Notwithstanding any provision of this Plan to the contrary and in accordance with Code Section 423, all Eligible</w:t>
      </w:r>
      <w:r>
        <w:rPr>
          <w:rFonts w:ascii="Arial" w:cs="Arial" w:eastAsia="Arial" w:hAnsi="Arial"/>
          <w:sz w:val="16"/>
          <w:szCs w:val="16"/>
          <w:b w:val="1"/>
          <w:bCs w:val="1"/>
          <w:color w:val="010000"/>
        </w:rPr>
        <w:t xml:space="preserve"> </w:t>
      </w:r>
      <w:r>
        <w:rPr>
          <w:rFonts w:ascii="Arial" w:cs="Arial" w:eastAsia="Arial" w:hAnsi="Arial"/>
          <w:sz w:val="16"/>
          <w:szCs w:val="16"/>
          <w:color w:val="000000"/>
        </w:rPr>
        <w:t>Employees who are granted options under this Plan shall have the same rights and privileges.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88265</wp:posOffset>
            </wp:positionV>
            <wp:extent cx="718693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75" w:name="page76"/>
    <w:bookmarkEnd w:id="75"/>
    <w:p>
      <w:pPr>
        <w:jc w:val="both"/>
        <w:ind w:right="20" w:firstLine="865"/>
        <w:spacing w:after="0" w:line="286" w:lineRule="auto"/>
        <w:rPr>
          <w:sz w:val="20"/>
          <w:szCs w:val="20"/>
          <w:color w:val="auto"/>
        </w:rPr>
      </w:pPr>
      <w:r>
        <w:rPr>
          <w:rFonts w:ascii="Arial" w:cs="Arial" w:eastAsia="Arial" w:hAnsi="Arial"/>
          <w:sz w:val="16"/>
          <w:szCs w:val="16"/>
          <w:b w:val="1"/>
          <w:bCs w:val="1"/>
          <w:color w:val="010000"/>
        </w:rPr>
        <w:t xml:space="preserve">19.2 </w:t>
      </w:r>
      <w:r>
        <w:rPr>
          <w:rFonts w:ascii="Arial" w:cs="Arial" w:eastAsia="Arial" w:hAnsi="Arial"/>
          <w:sz w:val="16"/>
          <w:szCs w:val="16"/>
          <w:b w:val="1"/>
          <w:bCs w:val="1"/>
          <w:color w:val="000000"/>
        </w:rPr>
        <w:t>No Right to Continued Service.</w:t>
      </w:r>
      <w:r>
        <w:rPr>
          <w:rFonts w:ascii="Arial" w:cs="Arial" w:eastAsia="Arial" w:hAnsi="Arial"/>
          <w:sz w:val="16"/>
          <w:szCs w:val="16"/>
          <w:b w:val="1"/>
          <w:bCs w:val="1"/>
          <w:color w:val="010000"/>
        </w:rPr>
        <w:t xml:space="preserve"> </w:t>
      </w:r>
      <w:r>
        <w:rPr>
          <w:rFonts w:ascii="Arial" w:cs="Arial" w:eastAsia="Arial" w:hAnsi="Arial"/>
          <w:sz w:val="16"/>
          <w:szCs w:val="16"/>
          <w:color w:val="000000"/>
        </w:rPr>
        <w:t>Neither this Plan nor any compensation paid hereunder shall confer on any Participant the right to continue as an</w:t>
      </w:r>
      <w:r>
        <w:rPr>
          <w:rFonts w:ascii="Arial" w:cs="Arial" w:eastAsia="Arial" w:hAnsi="Arial"/>
          <w:sz w:val="16"/>
          <w:szCs w:val="16"/>
          <w:b w:val="1"/>
          <w:bCs w:val="1"/>
          <w:color w:val="010000"/>
        </w:rPr>
        <w:t xml:space="preserve"> </w:t>
      </w:r>
      <w:r>
        <w:rPr>
          <w:rFonts w:ascii="Arial" w:cs="Arial" w:eastAsia="Arial" w:hAnsi="Arial"/>
          <w:sz w:val="16"/>
          <w:szCs w:val="16"/>
          <w:color w:val="000000"/>
        </w:rPr>
        <w:t>Employee or in any other capacity.</w:t>
      </w:r>
    </w:p>
    <w:p>
      <w:pPr>
        <w:spacing w:after="0" w:line="143" w:lineRule="exact"/>
        <w:rPr>
          <w:sz w:val="20"/>
          <w:szCs w:val="20"/>
          <w:color w:val="auto"/>
        </w:rPr>
      </w:pPr>
    </w:p>
    <w:p>
      <w:pPr>
        <w:jc w:val="both"/>
        <w:ind w:right="20" w:firstLine="865"/>
        <w:spacing w:after="0" w:line="295" w:lineRule="auto"/>
        <w:rPr>
          <w:sz w:val="20"/>
          <w:szCs w:val="20"/>
          <w:color w:val="auto"/>
        </w:rPr>
      </w:pPr>
      <w:r>
        <w:rPr>
          <w:rFonts w:ascii="Arial" w:cs="Arial" w:eastAsia="Arial" w:hAnsi="Arial"/>
          <w:sz w:val="15"/>
          <w:szCs w:val="15"/>
          <w:b w:val="1"/>
          <w:bCs w:val="1"/>
          <w:color w:val="010000"/>
        </w:rPr>
        <w:t xml:space="preserve">19.3 </w:t>
      </w:r>
      <w:r>
        <w:rPr>
          <w:rFonts w:ascii="Arial" w:cs="Arial" w:eastAsia="Arial" w:hAnsi="Arial"/>
          <w:sz w:val="15"/>
          <w:szCs w:val="15"/>
          <w:b w:val="1"/>
          <w:bCs w:val="1"/>
          <w:color w:val="000000"/>
        </w:rPr>
        <w:t>Rights as Stockholder.</w:t>
      </w:r>
      <w:r>
        <w:rPr>
          <w:rFonts w:ascii="Arial" w:cs="Arial" w:eastAsia="Arial" w:hAnsi="Arial"/>
          <w:sz w:val="15"/>
          <w:szCs w:val="15"/>
          <w:b w:val="1"/>
          <w:bCs w:val="1"/>
          <w:color w:val="010000"/>
        </w:rPr>
        <w:t xml:space="preserve"> </w:t>
      </w:r>
      <w:r>
        <w:rPr>
          <w:rFonts w:ascii="Arial" w:cs="Arial" w:eastAsia="Arial" w:hAnsi="Arial"/>
          <w:sz w:val="15"/>
          <w:szCs w:val="15"/>
          <w:color w:val="000000"/>
        </w:rPr>
        <w:t>A Participant shall become a stockholder with respect to the shares of Common Stock that are purchased pursuant to</w:t>
      </w:r>
      <w:r>
        <w:rPr>
          <w:rFonts w:ascii="Arial" w:cs="Arial" w:eastAsia="Arial" w:hAnsi="Arial"/>
          <w:sz w:val="15"/>
          <w:szCs w:val="15"/>
          <w:b w:val="1"/>
          <w:bCs w:val="1"/>
          <w:color w:val="010000"/>
        </w:rPr>
        <w:t xml:space="preserve"> </w:t>
      </w:r>
      <w:r>
        <w:rPr>
          <w:rFonts w:ascii="Arial" w:cs="Arial" w:eastAsia="Arial" w:hAnsi="Arial"/>
          <w:sz w:val="15"/>
          <w:szCs w:val="15"/>
          <w:color w:val="000000"/>
        </w:rPr>
        <w:t>options granted under this Plan when the shares are transferred to the Participant’s ESPP Share Account. A Participant shall have no rights as a stockholder with respect to shares of Common Stock for which an election to participate in an Offering Period has been made until such Participant becomes a stockholder as provided above.</w:t>
      </w:r>
    </w:p>
    <w:p>
      <w:pPr>
        <w:spacing w:after="0" w:line="139"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010000"/>
                <w:w w:val="83"/>
              </w:rPr>
              <w:t>19.4</w:t>
            </w:r>
          </w:p>
        </w:tc>
        <w:tc>
          <w:tcPr>
            <w:tcW w:w="9800" w:type="dxa"/>
            <w:vAlign w:val="bottom"/>
          </w:tcPr>
          <w:p>
            <w:pPr>
              <w:ind w:left="280"/>
              <w:spacing w:after="0"/>
              <w:rPr>
                <w:sz w:val="20"/>
                <w:szCs w:val="20"/>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Plan shall be binding on the Company and its successors and assigns.</w:t>
            </w:r>
          </w:p>
        </w:tc>
      </w:tr>
      <w:tr>
        <w:trPr>
          <w:trHeight w:val="388"/>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auto"/>
                <w:w w:val="83"/>
              </w:rPr>
              <w:t>19.5</w:t>
            </w:r>
          </w:p>
        </w:tc>
        <w:tc>
          <w:tcPr>
            <w:tcW w:w="9800" w:type="dxa"/>
            <w:vAlign w:val="bottom"/>
          </w:tcPr>
          <w:p>
            <w:pPr>
              <w:ind w:left="280"/>
              <w:spacing w:after="0"/>
              <w:rPr>
                <w:sz w:val="20"/>
                <w:szCs w:val="20"/>
                <w:color w:val="auto"/>
              </w:rPr>
            </w:pPr>
            <w:r>
              <w:rPr>
                <w:rFonts w:ascii="Arial" w:cs="Arial" w:eastAsia="Arial" w:hAnsi="Arial"/>
                <w:sz w:val="16"/>
                <w:szCs w:val="16"/>
                <w:b w:val="1"/>
                <w:bCs w:val="1"/>
                <w:color w:val="auto"/>
                <w:w w:val="91"/>
              </w:rPr>
              <w:t xml:space="preserve">Entire Plan. </w:t>
            </w:r>
            <w:r>
              <w:rPr>
                <w:rFonts w:ascii="Arial" w:cs="Arial" w:eastAsia="Arial" w:hAnsi="Arial"/>
                <w:sz w:val="16"/>
                <w:szCs w:val="16"/>
                <w:color w:val="auto"/>
                <w:w w:val="91"/>
              </w:rPr>
              <w:t>This Plan constitutes the entire plan with respect to the subject matter hereof and supersedes all prior plans with respect to the subject</w:t>
            </w:r>
          </w:p>
        </w:tc>
      </w:tr>
    </w:tbl>
    <w:p>
      <w:pPr>
        <w:spacing w:after="0"/>
        <w:rPr>
          <w:sz w:val="20"/>
          <w:szCs w:val="20"/>
          <w:color w:val="auto"/>
        </w:rPr>
      </w:pPr>
      <w:r>
        <w:rPr>
          <w:rFonts w:ascii="Arial" w:cs="Arial" w:eastAsia="Arial" w:hAnsi="Arial"/>
          <w:sz w:val="16"/>
          <w:szCs w:val="16"/>
          <w:color w:val="auto"/>
        </w:rPr>
        <w:t>matter hereof.</w:t>
      </w:r>
    </w:p>
    <w:p>
      <w:pPr>
        <w:spacing w:after="0" w:line="188" w:lineRule="exact"/>
        <w:rPr>
          <w:sz w:val="20"/>
          <w:szCs w:val="20"/>
          <w:color w:val="auto"/>
        </w:rPr>
      </w:pPr>
    </w:p>
    <w:p>
      <w:pPr>
        <w:jc w:val="both"/>
        <w:ind w:right="20" w:firstLine="865"/>
        <w:spacing w:after="0" w:line="264" w:lineRule="auto"/>
        <w:rPr>
          <w:sz w:val="20"/>
          <w:szCs w:val="20"/>
          <w:color w:val="auto"/>
        </w:rPr>
      </w:pPr>
      <w:r>
        <w:rPr>
          <w:rFonts w:ascii="Arial" w:cs="Arial" w:eastAsia="Arial" w:hAnsi="Arial"/>
          <w:sz w:val="16"/>
          <w:szCs w:val="16"/>
          <w:b w:val="1"/>
          <w:bCs w:val="1"/>
          <w:color w:val="auto"/>
        </w:rPr>
        <w:t xml:space="preserve">19.6 Compliance with Law. </w:t>
      </w:r>
      <w:r>
        <w:rPr>
          <w:rFonts w:ascii="Arial" w:cs="Arial" w:eastAsia="Arial" w:hAnsi="Arial"/>
          <w:sz w:val="16"/>
          <w:szCs w:val="16"/>
          <w:color w:val="auto"/>
        </w:rPr>
        <w:t>The obligations of the Company with respect to payments under this Plan are subject to compliance with all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laws and regulations. Common Stock shall not be issued with respect to an option granted under this Plan unless the exercise of such option and the issuance and delivery of the shares of Common Stock pursuant thereto shall comply with all applicable provisions of law, including the Securities Act, the Exchange Act, and the requirements of any stock exchange upon which the shares may then be listed.</w:t>
      </w:r>
    </w:p>
    <w:p>
      <w:pPr>
        <w:spacing w:after="0" w:line="160" w:lineRule="exact"/>
        <w:rPr>
          <w:sz w:val="20"/>
          <w:szCs w:val="20"/>
          <w:color w:val="auto"/>
        </w:rPr>
      </w:pPr>
    </w:p>
    <w:p>
      <w:pPr>
        <w:jc w:val="both"/>
        <w:ind w:right="20" w:firstLine="865"/>
        <w:spacing w:after="0" w:line="269" w:lineRule="auto"/>
        <w:rPr>
          <w:sz w:val="20"/>
          <w:szCs w:val="20"/>
          <w:color w:val="auto"/>
        </w:rPr>
      </w:pPr>
      <w:r>
        <w:rPr>
          <w:rFonts w:ascii="Arial" w:cs="Arial" w:eastAsia="Arial" w:hAnsi="Arial"/>
          <w:sz w:val="16"/>
          <w:szCs w:val="16"/>
          <w:b w:val="1"/>
          <w:bCs w:val="1"/>
          <w:color w:val="auto"/>
        </w:rPr>
        <w:t xml:space="preserve">19.7 Notice of Disqualifying Dispositions. </w:t>
      </w:r>
      <w:r>
        <w:rPr>
          <w:rFonts w:ascii="Arial" w:cs="Arial" w:eastAsia="Arial" w:hAnsi="Arial"/>
          <w:sz w:val="16"/>
          <w:szCs w:val="16"/>
          <w:color w:val="auto"/>
        </w:rPr>
        <w:t>Each Participant shall give the Company prompt written notice of any disposition or other transfer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acquired pursuant to the exercise of an option acquired under this Plan, if such disposition or transfer is made within two (2) years after the applicable Grant Date or within one (1) year after the applicable Purchase Date.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19.8</w:t>
            </w:r>
          </w:p>
        </w:tc>
        <w:tc>
          <w:tcPr>
            <w:tcW w:w="9820" w:type="dxa"/>
            <w:vAlign w:val="bottom"/>
          </w:tcPr>
          <w:p>
            <w:pPr>
              <w:ind w:left="280"/>
              <w:spacing w:after="0"/>
              <w:rPr>
                <w:sz w:val="20"/>
                <w:szCs w:val="20"/>
                <w:color w:val="auto"/>
              </w:rPr>
            </w:pPr>
            <w:r>
              <w:rPr>
                <w:rFonts w:ascii="Arial" w:cs="Arial" w:eastAsia="Arial" w:hAnsi="Arial"/>
                <w:sz w:val="16"/>
                <w:szCs w:val="16"/>
                <w:b w:val="1"/>
                <w:bCs w:val="1"/>
                <w:color w:val="auto"/>
                <w:w w:val="95"/>
              </w:rPr>
              <w:t xml:space="preserve">Term of </w:t>
            </w:r>
            <w:r>
              <w:rPr>
                <w:rFonts w:ascii="Arial" w:cs="Arial" w:eastAsia="Arial" w:hAnsi="Arial"/>
                <w:sz w:val="16"/>
                <w:szCs w:val="16"/>
                <w:color w:val="auto"/>
                <w:w w:val="95"/>
              </w:rPr>
              <w:t>Plan</w:t>
            </w:r>
            <w:r>
              <w:rPr>
                <w:rFonts w:ascii="Arial" w:cs="Arial" w:eastAsia="Arial" w:hAnsi="Arial"/>
                <w:sz w:val="16"/>
                <w:szCs w:val="16"/>
                <w:b w:val="1"/>
                <w:bCs w:val="1"/>
                <w:color w:val="auto"/>
                <w:w w:val="95"/>
              </w:rPr>
              <w:t xml:space="preserve">. </w:t>
            </w:r>
            <w:r>
              <w:rPr>
                <w:rFonts w:ascii="Arial" w:cs="Arial" w:eastAsia="Arial" w:hAnsi="Arial"/>
                <w:sz w:val="16"/>
                <w:szCs w:val="16"/>
                <w:color w:val="auto"/>
                <w:w w:val="95"/>
              </w:rPr>
              <w:t>This Plan shall become effective on the Effective Date and, unless terminated earlier pursuant to Section 19.9</w:t>
            </w:r>
            <w:r>
              <w:rPr>
                <w:rFonts w:ascii="Arial" w:cs="Arial" w:eastAsia="Arial" w:hAnsi="Arial"/>
                <w:sz w:val="16"/>
                <w:szCs w:val="16"/>
                <w:b w:val="1"/>
                <w:bCs w:val="1"/>
                <w:color w:val="auto"/>
                <w:w w:val="95"/>
              </w:rPr>
              <w:t xml:space="preserve"> </w:t>
            </w:r>
            <w:r>
              <w:rPr>
                <w:rFonts w:ascii="Arial" w:cs="Arial" w:eastAsia="Arial" w:hAnsi="Arial"/>
                <w:sz w:val="16"/>
                <w:szCs w:val="16"/>
                <w:i w:val="1"/>
                <w:iCs w:val="1"/>
                <w:color w:val="auto"/>
                <w:w w:val="95"/>
              </w:rPr>
              <w:t>(Amendment or</w:t>
            </w:r>
          </w:p>
        </w:tc>
      </w:tr>
      <w:tr>
        <w:trPr>
          <w:trHeight w:val="206"/>
        </w:trPr>
        <w:tc>
          <w:tcPr>
            <w:tcW w:w="11260" w:type="dxa"/>
            <w:vAlign w:val="bottom"/>
            <w:gridSpan w:val="2"/>
          </w:tcPr>
          <w:p>
            <w:pPr>
              <w:spacing w:after="0"/>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shall have a term of ten (10) years.</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19.9</w:t>
            </w:r>
          </w:p>
        </w:tc>
        <w:tc>
          <w:tcPr>
            <w:tcW w:w="9820" w:type="dxa"/>
            <w:vAlign w:val="bottom"/>
          </w:tcPr>
          <w:p>
            <w:pPr>
              <w:ind w:left="280"/>
              <w:spacing w:after="0"/>
              <w:rPr>
                <w:sz w:val="20"/>
                <w:szCs w:val="20"/>
                <w:color w:val="auto"/>
              </w:rPr>
            </w:pPr>
            <w:r>
              <w:rPr>
                <w:rFonts w:ascii="Arial" w:cs="Arial" w:eastAsia="Arial" w:hAnsi="Arial"/>
                <w:sz w:val="16"/>
                <w:szCs w:val="16"/>
                <w:b w:val="1"/>
                <w:bCs w:val="1"/>
                <w:color w:val="auto"/>
                <w:w w:val="91"/>
              </w:rPr>
              <w:t xml:space="preserve">Amendment or Termination. </w:t>
            </w:r>
            <w:r>
              <w:rPr>
                <w:rFonts w:ascii="Arial" w:cs="Arial" w:eastAsia="Arial" w:hAnsi="Arial"/>
                <w:sz w:val="16"/>
                <w:szCs w:val="16"/>
                <w:color w:val="auto"/>
                <w:w w:val="91"/>
              </w:rPr>
              <w:t>The Committee may, in its sole discretion, amend, suspend, or terminate this Plan at any time and for any reason. If</w:t>
            </w:r>
          </w:p>
        </w:tc>
      </w:tr>
    </w:tbl>
    <w:p>
      <w:pPr>
        <w:jc w:val="both"/>
        <w:ind w:right="20"/>
        <w:spacing w:after="0" w:line="279" w:lineRule="auto"/>
        <w:rPr>
          <w:sz w:val="20"/>
          <w:szCs w:val="20"/>
          <w:color w:val="auto"/>
        </w:rPr>
      </w:pPr>
      <w:r>
        <w:rPr>
          <w:rFonts w:ascii="Arial" w:cs="Arial" w:eastAsia="Arial" w:hAnsi="Arial"/>
          <w:sz w:val="15"/>
          <w:szCs w:val="15"/>
          <w:color w:val="auto"/>
        </w:rPr>
        <w:t>this Plan is terminated, the Committee may elect to terminate all outstanding Offering Periods either immediately or once shares of Common Stock have been purchased on the next Purchase Date (which may, in the discretion of the Committee, be accelerated) or permit Offering Periods to expire in accordance with their terms (and subject to any adjustment in accordance with Section 18). If any Offering Period is terminated before its scheduled expiration, all amounts that have not been used to purchase shares of Common Stock shall be returned to Participants (without interest, except as otherwise required by law) as soon as administratively practicable.</w:t>
      </w:r>
    </w:p>
    <w:p>
      <w:pPr>
        <w:spacing w:after="0" w:line="151" w:lineRule="exact"/>
        <w:rPr>
          <w:sz w:val="20"/>
          <w:szCs w:val="20"/>
          <w:color w:val="auto"/>
        </w:rPr>
      </w:pPr>
    </w:p>
    <w:p>
      <w:pPr>
        <w:jc w:val="both"/>
        <w:ind w:right="20" w:firstLine="865"/>
        <w:spacing w:after="0" w:line="286" w:lineRule="auto"/>
        <w:rPr>
          <w:sz w:val="20"/>
          <w:szCs w:val="20"/>
          <w:color w:val="auto"/>
        </w:rPr>
      </w:pPr>
      <w:r>
        <w:rPr>
          <w:rFonts w:ascii="Arial" w:cs="Arial" w:eastAsia="Arial" w:hAnsi="Arial"/>
          <w:sz w:val="16"/>
          <w:szCs w:val="16"/>
          <w:b w:val="1"/>
          <w:bCs w:val="1"/>
          <w:color w:val="auto"/>
        </w:rPr>
        <w:t xml:space="preserve">19.10 Applicable Law. </w:t>
      </w:r>
      <w:r>
        <w:rPr>
          <w:rFonts w:ascii="Arial" w:cs="Arial" w:eastAsia="Arial" w:hAnsi="Arial"/>
          <w:sz w:val="16"/>
          <w:szCs w:val="16"/>
          <w:color w:val="auto"/>
        </w:rPr>
        <w:t>The laws of the State of Delaware shall govern all questions concerning the construction, validity, and interpretation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Plan, without regard to such state’s conflict of law rules.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20" w:type="dxa"/>
            <w:vAlign w:val="bottom"/>
          </w:tcPr>
          <w:p>
            <w:pPr>
              <w:ind w:left="860"/>
              <w:spacing w:after="0"/>
              <w:rPr>
                <w:sz w:val="20"/>
                <w:szCs w:val="20"/>
                <w:color w:val="auto"/>
              </w:rPr>
            </w:pPr>
            <w:r>
              <w:rPr>
                <w:rFonts w:ascii="Arial" w:cs="Arial" w:eastAsia="Arial" w:hAnsi="Arial"/>
                <w:sz w:val="16"/>
                <w:szCs w:val="16"/>
                <w:b w:val="1"/>
                <w:bCs w:val="1"/>
                <w:color w:val="auto"/>
              </w:rPr>
              <w:t>19.11</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w w:val="92"/>
              </w:rPr>
              <w:t xml:space="preserve">Stockholder Approval. </w:t>
            </w:r>
            <w:r>
              <w:rPr>
                <w:rFonts w:ascii="Arial" w:cs="Arial" w:eastAsia="Arial" w:hAnsi="Arial"/>
                <w:sz w:val="16"/>
                <w:szCs w:val="16"/>
                <w:color w:val="auto"/>
                <w:w w:val="92"/>
              </w:rPr>
              <w:t>This Plan shall be subject to approval by the stockholders of the Company within twelve (12) months before or after the</w:t>
            </w:r>
          </w:p>
        </w:tc>
      </w:tr>
      <w:tr>
        <w:trPr>
          <w:trHeight w:val="206"/>
        </w:trPr>
        <w:tc>
          <w:tcPr>
            <w:tcW w:w="11260" w:type="dxa"/>
            <w:vAlign w:val="bottom"/>
            <w:gridSpan w:val="2"/>
          </w:tcPr>
          <w:p>
            <w:pPr>
              <w:spacing w:after="0"/>
              <w:rPr>
                <w:sz w:val="20"/>
                <w:szCs w:val="20"/>
                <w:color w:val="auto"/>
              </w:rPr>
            </w:pPr>
            <w:r>
              <w:rPr>
                <w:rFonts w:ascii="Arial" w:cs="Arial" w:eastAsia="Arial" w:hAnsi="Arial"/>
                <w:sz w:val="16"/>
                <w:szCs w:val="16"/>
                <w:color w:val="auto"/>
              </w:rPr>
              <w:t>date this Plan is adopted by the Board.</w:t>
            </w:r>
          </w:p>
        </w:tc>
      </w:tr>
      <w:tr>
        <w:trPr>
          <w:trHeight w:val="376"/>
        </w:trPr>
        <w:tc>
          <w:tcPr>
            <w:tcW w:w="1520" w:type="dxa"/>
            <w:vAlign w:val="bottom"/>
          </w:tcPr>
          <w:p>
            <w:pPr>
              <w:ind w:left="860"/>
              <w:spacing w:after="0"/>
              <w:rPr>
                <w:sz w:val="20"/>
                <w:szCs w:val="20"/>
                <w:color w:val="auto"/>
              </w:rPr>
            </w:pPr>
            <w:r>
              <w:rPr>
                <w:rFonts w:ascii="Arial" w:cs="Arial" w:eastAsia="Arial" w:hAnsi="Arial"/>
                <w:sz w:val="16"/>
                <w:szCs w:val="16"/>
                <w:b w:val="1"/>
                <w:bCs w:val="1"/>
                <w:color w:val="auto"/>
              </w:rPr>
              <w:t>19.12</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w w:val="91"/>
              </w:rPr>
              <w:t xml:space="preserve">Code Section 423. </w:t>
            </w:r>
            <w:r>
              <w:rPr>
                <w:rFonts w:ascii="Arial" w:cs="Arial" w:eastAsia="Arial" w:hAnsi="Arial"/>
                <w:sz w:val="16"/>
                <w:szCs w:val="16"/>
                <w:color w:val="auto"/>
                <w:w w:val="91"/>
              </w:rPr>
              <w:t>This Plan is intended to qualify as an “employee stock purchase plan” under Code Section 423. Any provision of this Plan that</w:t>
            </w:r>
          </w:p>
        </w:tc>
      </w:tr>
      <w:tr>
        <w:trPr>
          <w:trHeight w:val="206"/>
        </w:trPr>
        <w:tc>
          <w:tcPr>
            <w:tcW w:w="11260" w:type="dxa"/>
            <w:vAlign w:val="bottom"/>
            <w:gridSpan w:val="2"/>
          </w:tcPr>
          <w:p>
            <w:pPr>
              <w:spacing w:after="0"/>
              <w:rPr>
                <w:sz w:val="20"/>
                <w:szCs w:val="20"/>
                <w:color w:val="auto"/>
              </w:rPr>
            </w:pPr>
            <w:r>
              <w:rPr>
                <w:rFonts w:ascii="Arial" w:cs="Arial" w:eastAsia="Arial" w:hAnsi="Arial"/>
                <w:sz w:val="16"/>
                <w:szCs w:val="16"/>
                <w:color w:val="auto"/>
              </w:rPr>
              <w:t>is inconsistent with Code Section 423 shall be reformed to comply with Code Section 423.</w:t>
            </w:r>
          </w:p>
        </w:tc>
      </w:tr>
      <w:tr>
        <w:trPr>
          <w:trHeight w:val="376"/>
        </w:trPr>
        <w:tc>
          <w:tcPr>
            <w:tcW w:w="1520" w:type="dxa"/>
            <w:vAlign w:val="bottom"/>
          </w:tcPr>
          <w:p>
            <w:pPr>
              <w:ind w:left="860"/>
              <w:spacing w:after="0"/>
              <w:rPr>
                <w:sz w:val="20"/>
                <w:szCs w:val="20"/>
                <w:color w:val="auto"/>
              </w:rPr>
            </w:pPr>
            <w:r>
              <w:rPr>
                <w:rFonts w:ascii="Arial" w:cs="Arial" w:eastAsia="Arial" w:hAnsi="Arial"/>
                <w:sz w:val="16"/>
                <w:szCs w:val="16"/>
                <w:b w:val="1"/>
                <w:bCs w:val="1"/>
                <w:color w:val="auto"/>
              </w:rPr>
              <w:t>19.13</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w w:val="91"/>
              </w:rPr>
              <w:t xml:space="preserve">Withholding. </w:t>
            </w:r>
            <w:r>
              <w:rPr>
                <w:rFonts w:ascii="Arial" w:cs="Arial" w:eastAsia="Arial" w:hAnsi="Arial"/>
                <w:sz w:val="16"/>
                <w:szCs w:val="16"/>
                <w:color w:val="auto"/>
                <w:w w:val="91"/>
              </w:rPr>
              <w:t>To the extent required by applicable Federal, state, or local law, a Participant must make arrangements satisfactory to the Company</w:t>
            </w:r>
          </w:p>
        </w:tc>
      </w:tr>
      <w:tr>
        <w:trPr>
          <w:trHeight w:val="206"/>
        </w:trPr>
        <w:tc>
          <w:tcPr>
            <w:tcW w:w="11260" w:type="dxa"/>
            <w:vAlign w:val="bottom"/>
            <w:gridSpan w:val="2"/>
          </w:tcPr>
          <w:p>
            <w:pPr>
              <w:spacing w:after="0"/>
              <w:rPr>
                <w:sz w:val="20"/>
                <w:szCs w:val="20"/>
                <w:color w:val="auto"/>
              </w:rPr>
            </w:pPr>
            <w:r>
              <w:rPr>
                <w:rFonts w:ascii="Arial" w:cs="Arial" w:eastAsia="Arial" w:hAnsi="Arial"/>
                <w:sz w:val="16"/>
                <w:szCs w:val="16"/>
                <w:color w:val="auto"/>
              </w:rPr>
              <w:t>for the payment of any withholding or similar tax obligations that arise in connection with this Plan.</w:t>
            </w:r>
          </w:p>
        </w:tc>
      </w:tr>
      <w:tr>
        <w:trPr>
          <w:trHeight w:val="388"/>
        </w:trPr>
        <w:tc>
          <w:tcPr>
            <w:tcW w:w="1520" w:type="dxa"/>
            <w:vAlign w:val="bottom"/>
          </w:tcPr>
          <w:p>
            <w:pPr>
              <w:ind w:left="860"/>
              <w:spacing w:after="0"/>
              <w:rPr>
                <w:sz w:val="20"/>
                <w:szCs w:val="20"/>
                <w:color w:val="auto"/>
              </w:rPr>
            </w:pPr>
            <w:r>
              <w:rPr>
                <w:rFonts w:ascii="Arial" w:cs="Arial" w:eastAsia="Arial" w:hAnsi="Arial"/>
                <w:sz w:val="16"/>
                <w:szCs w:val="16"/>
                <w:b w:val="1"/>
                <w:bCs w:val="1"/>
                <w:color w:val="auto"/>
              </w:rPr>
              <w:t>19.14</w:t>
            </w:r>
          </w:p>
        </w:tc>
        <w:tc>
          <w:tcPr>
            <w:tcW w:w="9740" w:type="dxa"/>
            <w:vAlign w:val="bottom"/>
          </w:tcPr>
          <w:p>
            <w:pPr>
              <w:ind w:left="280"/>
              <w:spacing w:after="0"/>
              <w:rPr>
                <w:sz w:val="20"/>
                <w:szCs w:val="20"/>
                <w:color w:val="auto"/>
              </w:rPr>
            </w:pPr>
            <w:r>
              <w:rPr>
                <w:rFonts w:ascii="Arial" w:cs="Arial" w:eastAsia="Arial" w:hAnsi="Arial"/>
                <w:sz w:val="16"/>
                <w:szCs w:val="16"/>
                <w:b w:val="1"/>
                <w:bCs w:val="1"/>
                <w:color w:val="auto"/>
                <w:w w:val="93"/>
              </w:rPr>
              <w:t xml:space="preserve">Severability. </w:t>
            </w:r>
            <w:r>
              <w:rPr>
                <w:rFonts w:ascii="Arial" w:cs="Arial" w:eastAsia="Arial" w:hAnsi="Arial"/>
                <w:sz w:val="16"/>
                <w:szCs w:val="16"/>
                <w:color w:val="auto"/>
                <w:w w:val="93"/>
              </w:rPr>
              <w:t>If any provision of this Plan shall for any reason be held to be invalid or unenforceable, such invalidity or unenforceability shall not</w:t>
            </w:r>
          </w:p>
        </w:tc>
      </w:tr>
    </w:tbl>
    <w:p>
      <w:pPr>
        <w:spacing w:after="0"/>
        <w:rPr>
          <w:sz w:val="20"/>
          <w:szCs w:val="20"/>
          <w:color w:val="auto"/>
        </w:rPr>
      </w:pPr>
      <w:r>
        <w:rPr>
          <w:rFonts w:ascii="Arial" w:cs="Arial" w:eastAsia="Arial" w:hAnsi="Arial"/>
          <w:sz w:val="16"/>
          <w:szCs w:val="16"/>
          <w:color w:val="auto"/>
        </w:rPr>
        <w:t>affect any other provision hereof, and this Plan shall be construed as if such invalid or unenforceable provision were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116840</wp:posOffset>
            </wp:positionV>
            <wp:extent cx="718693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6" w:name="page77"/>
    <w:bookmarkEnd w:id="76"/>
    <w:p>
      <w:pPr>
        <w:jc w:val="both"/>
        <w:ind w:firstLine="865"/>
        <w:spacing w:after="0" w:line="296" w:lineRule="auto"/>
        <w:rPr>
          <w:sz w:val="20"/>
          <w:szCs w:val="20"/>
          <w:color w:val="auto"/>
        </w:rPr>
      </w:pPr>
      <w:r>
        <w:rPr>
          <w:rFonts w:ascii="Arial" w:cs="Arial" w:eastAsia="Arial" w:hAnsi="Arial"/>
          <w:sz w:val="14"/>
          <w:szCs w:val="14"/>
          <w:b w:val="1"/>
          <w:bCs w:val="1"/>
          <w:color w:val="auto"/>
        </w:rPr>
        <w:t xml:space="preserve">19.15 Plan Construction. </w:t>
      </w:r>
      <w:r>
        <w:rPr>
          <w:rFonts w:ascii="Arial" w:cs="Arial" w:eastAsia="Arial" w:hAnsi="Arial"/>
          <w:sz w:val="14"/>
          <w:szCs w:val="14"/>
          <w:color w:val="auto"/>
        </w:rPr>
        <w:t>In this Plan, unless otherwise stated, the following uses apply: (i) references to a statute or law shall refer to the statute or law</w:t>
      </w:r>
      <w:r>
        <w:rPr>
          <w:rFonts w:ascii="Arial" w:cs="Arial" w:eastAsia="Arial" w:hAnsi="Arial"/>
          <w:sz w:val="14"/>
          <w:szCs w:val="14"/>
          <w:b w:val="1"/>
          <w:bCs w:val="1"/>
          <w:color w:val="auto"/>
        </w:rPr>
        <w:t xml:space="preserve"> </w:t>
      </w:r>
      <w:r>
        <w:rPr>
          <w:rFonts w:ascii="Arial" w:cs="Arial" w:eastAsia="Arial" w:hAnsi="Arial"/>
          <w:sz w:val="14"/>
          <w:szCs w:val="14"/>
          <w:color w:val="auto"/>
        </w:rPr>
        <w:t>and any amendments and any successor statutes or laws, and to all regulations promulgated under or implementing the statute or law, as amended, or its successors, as in effect at the relevant time; (ii) in computing periods from a specified date to a later specified date, the words “from” and “commencing on” (and the like) mean “from and including,” and the words “to,” “until” and “ending on” (and the like) mean “to and including”; (iii) indications of time of day shall be based upon the time applicable to the location of the principal headquarters of the Company; (iv) the words “include,” “includes” and “including” mean “include, without limitation,” “includes, without limitation” and “including, without limitation,” respectively; (v) all references to articles and sections are to articles and sections in this Plan; (vi) all words used shall be construed to be of such gender or number as the circumstances and context require; (vii) the captions and headings of articles and sections have been inserted solely for convenience of reference and shall not be considered a part of this Plan, nor shall any of them affect the meaning or interpretation of this Plan or any of its provisions; (viii) any reference to an agreement, plan, policy, form, document, or set of documents, and the rights and obligations of the parties under any such agreement, plan, policy, form, document, or set of documents, shall mean such agreement, plan, policy, form, document, or set of documents as amended from time to time, and any and all modifications, extensions, renewals, substitutions, or replacements thereof; and (ix) all accounting terms not specifically defined shall be construed in accordance with GAAP.</w:t>
      </w:r>
    </w:p>
    <w:p>
      <w:pPr>
        <w:sectPr>
          <w:pgSz w:w="11900" w:h="16838" w:orient="portrait"/>
          <w:cols w:equalWidth="0" w:num="1">
            <w:col w:w="11260"/>
          </w:cols>
          <w:pgMar w:left="320" w:top="123" w:right="31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u w:val="single" w:color="auto"/>
          <w:color w:val="auto"/>
        </w:rPr>
        <w:t>EXHIBIT 10.4</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ENERGOUS CORPORATION</w:t>
      </w: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PERFORMANCE SHARE UNIT PLAN</w:t>
      </w:r>
    </w:p>
    <w:p>
      <w:pPr>
        <w:spacing w:after="0" w:line="20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(as amended and restated June 16, 2021)</w:t>
      </w:r>
    </w:p>
    <w:p>
      <w:pPr>
        <w:spacing w:after="0" w:line="204" w:lineRule="exact"/>
        <w:rPr>
          <w:sz w:val="20"/>
          <w:szCs w:val="20"/>
          <w:color w:val="auto"/>
        </w:rPr>
      </w:pPr>
    </w:p>
    <w:p>
      <w:pPr>
        <w:ind w:left="863"/>
        <w:spacing w:after="0"/>
        <w:rPr>
          <w:sz w:val="20"/>
          <w:szCs w:val="20"/>
          <w:color w:val="auto"/>
        </w:rPr>
      </w:pPr>
      <w:r>
        <w:rPr>
          <w:rFonts w:ascii="Arial" w:cs="Arial" w:eastAsia="Arial" w:hAnsi="Arial"/>
          <w:sz w:val="16"/>
          <w:szCs w:val="16"/>
          <w:color w:val="auto"/>
        </w:rPr>
        <w:t>Energous Corporation, a Delaware corporation, sets forth herein the terms and conditions of its Performance Share Unit Plan, as follows:</w:t>
      </w:r>
    </w:p>
    <w:p>
      <w:pPr>
        <w:spacing w:after="0" w:line="200" w:lineRule="exact"/>
        <w:rPr>
          <w:sz w:val="20"/>
          <w:szCs w:val="20"/>
          <w:color w:val="auto"/>
        </w:rPr>
      </w:pPr>
    </w:p>
    <w:p>
      <w:pPr>
        <w:ind w:left="703" w:hanging="703"/>
        <w:spacing w:after="0"/>
        <w:tabs>
          <w:tab w:leader="none" w:pos="703"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208" w:lineRule="exact"/>
        <w:rPr>
          <w:sz w:val="20"/>
          <w:szCs w:val="20"/>
          <w:color w:val="auto"/>
        </w:rPr>
      </w:pPr>
    </w:p>
    <w:p>
      <w:pPr>
        <w:ind w:left="3" w:right="20" w:firstLine="865"/>
        <w:spacing w:after="0" w:line="285" w:lineRule="auto"/>
        <w:rPr>
          <w:sz w:val="20"/>
          <w:szCs w:val="20"/>
          <w:color w:val="auto"/>
        </w:rPr>
      </w:pPr>
      <w:r>
        <w:rPr>
          <w:rFonts w:ascii="Arial" w:cs="Arial" w:eastAsia="Arial" w:hAnsi="Arial"/>
          <w:sz w:val="15"/>
          <w:szCs w:val="15"/>
          <w:color w:val="auto"/>
        </w:rPr>
        <w:t>The Plan is intended to enhance the ability of the Company and its Affiliates to attract and retain highly qualified officers, non- employee directors, key employees, consultants, and advisors, and to motivate such officers, directors, key employees, consultants, and advisors to serve the Company and its Affiliates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Performance Share Units.</w:t>
      </w:r>
    </w:p>
    <w:p>
      <w:pPr>
        <w:spacing w:after="0" w:line="146" w:lineRule="exact"/>
        <w:rPr>
          <w:sz w:val="20"/>
          <w:szCs w:val="20"/>
          <w:color w:val="auto"/>
        </w:rPr>
      </w:pPr>
    </w:p>
    <w:p>
      <w:pPr>
        <w:ind w:left="703" w:hanging="703"/>
        <w:spacing w:after="0"/>
        <w:tabs>
          <w:tab w:leader="none" w:pos="703"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For purposes of interpreting the Plan and related documents (including Award Agreements), the following definitions shall apply:</w:t>
      </w:r>
    </w:p>
    <w:p>
      <w:pPr>
        <w:spacing w:after="0" w:line="200"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2.1</w:t>
            </w:r>
          </w:p>
        </w:tc>
        <w:tc>
          <w:tcPr>
            <w:tcW w:w="978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Acquiror</w:t>
            </w:r>
            <w:r>
              <w:rPr>
                <w:rFonts w:ascii="Arial" w:cs="Arial" w:eastAsia="Arial" w:hAnsi="Arial"/>
                <w:sz w:val="16"/>
                <w:szCs w:val="16"/>
                <w:color w:val="auto"/>
              </w:rPr>
              <w:t>” shall have the meaning set forth in Section 10.2.1.</w:t>
            </w:r>
          </w:p>
        </w:tc>
      </w:tr>
      <w:tr>
        <w:trPr>
          <w:trHeight w:val="376"/>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2.2</w:t>
            </w:r>
          </w:p>
        </w:tc>
        <w:tc>
          <w:tcPr>
            <w:tcW w:w="9780" w:type="dxa"/>
            <w:vAlign w:val="bottom"/>
          </w:tcPr>
          <w:p>
            <w:pPr>
              <w:ind w:left="320"/>
              <w:spacing w:after="0"/>
              <w:rPr>
                <w:sz w:val="20"/>
                <w:szCs w:val="20"/>
                <w:color w:val="auto"/>
              </w:rPr>
            </w:pPr>
            <w:r>
              <w:rPr>
                <w:rFonts w:ascii="Arial" w:cs="Arial" w:eastAsia="Arial" w:hAnsi="Arial"/>
                <w:sz w:val="16"/>
                <w:szCs w:val="16"/>
                <w:color w:val="auto"/>
                <w:w w:val="96"/>
              </w:rPr>
              <w:t>“</w:t>
            </w:r>
            <w:r>
              <w:rPr>
                <w:rFonts w:ascii="Arial" w:cs="Arial" w:eastAsia="Arial" w:hAnsi="Arial"/>
                <w:sz w:val="16"/>
                <w:szCs w:val="16"/>
                <w:b w:val="1"/>
                <w:bCs w:val="1"/>
                <w:color w:val="auto"/>
                <w:w w:val="96"/>
              </w:rPr>
              <w:t>Affiliate</w:t>
            </w:r>
            <w:r>
              <w:rPr>
                <w:rFonts w:ascii="Arial" w:cs="Arial" w:eastAsia="Arial" w:hAnsi="Arial"/>
                <w:sz w:val="16"/>
                <w:szCs w:val="16"/>
                <w:color w:val="auto"/>
                <w:w w:val="96"/>
              </w:rPr>
              <w:t>” means any company or other trade or business that “controls,” is “controlled by,” or is “under common control” with the Company</w:t>
            </w:r>
          </w:p>
        </w:tc>
      </w:tr>
      <w:tr>
        <w:trPr>
          <w:trHeight w:val="206"/>
        </w:trPr>
        <w:tc>
          <w:tcPr>
            <w:tcW w:w="11140" w:type="dxa"/>
            <w:vAlign w:val="bottom"/>
            <w:gridSpan w:val="2"/>
          </w:tcPr>
          <w:p>
            <w:pPr>
              <w:spacing w:after="0"/>
              <w:rPr>
                <w:sz w:val="20"/>
                <w:szCs w:val="20"/>
                <w:color w:val="auto"/>
              </w:rPr>
            </w:pPr>
            <w:r>
              <w:rPr>
                <w:rFonts w:ascii="Arial" w:cs="Arial" w:eastAsia="Arial" w:hAnsi="Arial"/>
                <w:sz w:val="16"/>
                <w:szCs w:val="16"/>
                <w:color w:val="auto"/>
              </w:rPr>
              <w:t>within the meaning of Rule 405 of Regulation C under the Securities Act, including any Subsidiary.</w:t>
            </w:r>
          </w:p>
        </w:tc>
      </w:tr>
      <w:tr>
        <w:trPr>
          <w:trHeight w:val="388"/>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2.3</w:t>
            </w:r>
          </w:p>
        </w:tc>
        <w:tc>
          <w:tcPr>
            <w:tcW w:w="9780" w:type="dxa"/>
            <w:vAlign w:val="bottom"/>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 grant under the Plan of Performance Share Units.</w:t>
            </w:r>
          </w:p>
        </w:tc>
      </w:tr>
      <w:tr>
        <w:trPr>
          <w:trHeight w:val="376"/>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2.4</w:t>
            </w:r>
          </w:p>
        </w:tc>
        <w:tc>
          <w:tcPr>
            <w:tcW w:w="9780" w:type="dxa"/>
            <w:vAlign w:val="bottom"/>
          </w:tcPr>
          <w:p>
            <w:pPr>
              <w:ind w:left="320"/>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b w:val="1"/>
                <w:bCs w:val="1"/>
                <w:color w:val="auto"/>
                <w:w w:val="93"/>
              </w:rPr>
              <w:t>Award Agreement</w:t>
            </w:r>
            <w:r>
              <w:rPr>
                <w:rFonts w:ascii="Arial" w:cs="Arial" w:eastAsia="Arial" w:hAnsi="Arial"/>
                <w:sz w:val="16"/>
                <w:szCs w:val="16"/>
                <w:color w:val="auto"/>
                <w:w w:val="93"/>
              </w:rPr>
              <w:t>” means a written agreement between the Company and a Grantee, in substantially the form set forth as Exhibit A (or such</w:t>
            </w:r>
          </w:p>
        </w:tc>
      </w:tr>
      <w:tr>
        <w:trPr>
          <w:trHeight w:val="206"/>
        </w:trPr>
        <w:tc>
          <w:tcPr>
            <w:tcW w:w="11140" w:type="dxa"/>
            <w:vAlign w:val="bottom"/>
            <w:gridSpan w:val="2"/>
          </w:tcPr>
          <w:p>
            <w:pPr>
              <w:spacing w:after="0"/>
              <w:rPr>
                <w:sz w:val="20"/>
                <w:szCs w:val="20"/>
                <w:color w:val="auto"/>
              </w:rPr>
            </w:pPr>
            <w:r>
              <w:rPr>
                <w:rFonts w:ascii="Arial" w:cs="Arial" w:eastAsia="Arial" w:hAnsi="Arial"/>
                <w:sz w:val="16"/>
                <w:szCs w:val="16"/>
                <w:color w:val="auto"/>
              </w:rPr>
              <w:t>other form as the Committee may determine from time to time), that evidences and sets out the terms and conditions of an Award.</w:t>
            </w:r>
          </w:p>
        </w:tc>
      </w:tr>
      <w:tr>
        <w:trPr>
          <w:trHeight w:val="388"/>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2.5</w:t>
            </w:r>
          </w:p>
        </w:tc>
        <w:tc>
          <w:tcPr>
            <w:tcW w:w="9780" w:type="dxa"/>
            <w:vAlign w:val="bottom"/>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tc>
      </w:tr>
      <w:tr>
        <w:trPr>
          <w:trHeight w:val="388"/>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2.6</w:t>
            </w:r>
          </w:p>
        </w:tc>
        <w:tc>
          <w:tcPr>
            <w:tcW w:w="9780" w:type="dxa"/>
            <w:vAlign w:val="bottom"/>
          </w:tcPr>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Combination</w:t>
            </w:r>
            <w:r>
              <w:rPr>
                <w:rFonts w:ascii="Arial" w:cs="Arial" w:eastAsia="Arial" w:hAnsi="Arial"/>
                <w:sz w:val="16"/>
                <w:szCs w:val="16"/>
                <w:color w:val="auto"/>
              </w:rPr>
              <w:t xml:space="preserve">” shall have the meaning set forth in </w:t>
            </w:r>
            <w:r>
              <w:rPr>
                <w:rFonts w:ascii="Arial" w:cs="Arial" w:eastAsia="Arial" w:hAnsi="Arial"/>
                <w:sz w:val="16"/>
                <w:szCs w:val="16"/>
                <w:b w:val="1"/>
                <w:bCs w:val="1"/>
                <w:color w:val="auto"/>
              </w:rPr>
              <w:t>Section 10.2.2.</w:t>
            </w:r>
          </w:p>
        </w:tc>
      </w:tr>
      <w:tr>
        <w:trPr>
          <w:trHeight w:val="388"/>
        </w:trPr>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2.7</w:t>
            </w:r>
          </w:p>
        </w:tc>
        <w:tc>
          <w:tcPr>
            <w:tcW w:w="9780" w:type="dxa"/>
            <w:vAlign w:val="bottom"/>
          </w:tcPr>
          <w:p>
            <w:pPr>
              <w:ind w:left="32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Cause</w:t>
            </w:r>
            <w:r>
              <w:rPr>
                <w:rFonts w:ascii="Arial" w:cs="Arial" w:eastAsia="Arial" w:hAnsi="Arial"/>
                <w:sz w:val="16"/>
                <w:szCs w:val="16"/>
                <w:color w:val="auto"/>
                <w:w w:val="91"/>
              </w:rPr>
              <w:t>” shall be defined as that term is defined in the Grantee’s offer letter or other applicable employment or severance agreement; or, if there is</w:t>
            </w:r>
          </w:p>
        </w:tc>
      </w:tr>
    </w:tbl>
    <w:p>
      <w:pPr>
        <w:ind w:left="3" w:right="140"/>
        <w:spacing w:after="0" w:line="254" w:lineRule="auto"/>
        <w:rPr>
          <w:sz w:val="20"/>
          <w:szCs w:val="20"/>
          <w:color w:val="auto"/>
        </w:rPr>
      </w:pPr>
      <w:r>
        <w:rPr>
          <w:rFonts w:ascii="Arial" w:cs="Arial" w:eastAsia="Arial" w:hAnsi="Arial"/>
          <w:sz w:val="16"/>
          <w:szCs w:val="16"/>
          <w:color w:val="auto"/>
        </w:rPr>
        <w:t>no such definition, “Cause” means: (i) the commission of any act by a Grantee constituting financial dishonesty against the Company or its Affiliates (which act would be chargeable as a crime under applicable law); (ii) a Grantee’s engaging in any other act of dishonesty, fraud, intentional misrepresentation, moral turpitude, illegality, or harassment which would (a) materially adversely affect the business or the reputation of the Company or any of its Affiliates with their respective current or prospective customers, suppliers, lenders, or other third parties with whom such entity does or might do business or (b) expose the Company or any of its Affiliates to a risk of civil or criminal legal damages, liabilities, or penalties; (iii) the repeated failure by a Grantee to follow the directives of the chief executive officer of the Company or any of its Affiliates or the Board, or (iv) any material misconduct, violation of the Company’s or Affiliates’ policies, or willful and deliberate non-performance of duty by the Grantee in connection with the business affairs of the Company or its Affiliates.</w:t>
      </w:r>
    </w:p>
    <w:p>
      <w:pPr>
        <w:spacing w:after="0" w:line="172" w:lineRule="exact"/>
        <w:rPr>
          <w:sz w:val="20"/>
          <w:szCs w:val="20"/>
          <w:color w:val="auto"/>
        </w:rPr>
      </w:pPr>
    </w:p>
    <w:p>
      <w:pPr>
        <w:ind w:left="863"/>
        <w:spacing w:after="0"/>
        <w:tabs>
          <w:tab w:leader="none" w:pos="1663"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xml:space="preserve">” shall have the meaning set forth in </w:t>
      </w:r>
      <w:r>
        <w:rPr>
          <w:rFonts w:ascii="Arial" w:cs="Arial" w:eastAsia="Arial" w:hAnsi="Arial"/>
          <w:sz w:val="14"/>
          <w:szCs w:val="14"/>
          <w:b w:val="1"/>
          <w:bCs w:val="1"/>
          <w:color w:val="auto"/>
        </w:rPr>
        <w:t>Section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127000</wp:posOffset>
            </wp:positionV>
            <wp:extent cx="718693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78" w:name="page79"/>
    <w:bookmarkEnd w:id="78"/>
    <w:p>
      <w:pPr>
        <w:ind w:right="40" w:firstLine="865"/>
        <w:spacing w:after="0" w:line="269" w:lineRule="auto"/>
        <w:rPr>
          <w:sz w:val="20"/>
          <w:szCs w:val="20"/>
          <w:color w:val="auto"/>
        </w:rPr>
      </w:pPr>
      <w:r>
        <w:rPr>
          <w:rFonts w:ascii="Arial" w:cs="Arial" w:eastAsia="Arial" w:hAnsi="Arial"/>
          <w:sz w:val="16"/>
          <w:szCs w:val="16"/>
          <w:b w:val="1"/>
          <w:bCs w:val="1"/>
          <w:color w:val="auto"/>
        </w:rPr>
        <w:t xml:space="preserve">2.9 </w:t>
      </w:r>
      <w:r>
        <w:rPr>
          <w:rFonts w:ascii="Arial" w:cs="Arial" w:eastAsia="Arial" w:hAnsi="Arial"/>
          <w:sz w:val="16"/>
          <w:szCs w:val="16"/>
          <w:color w:val="auto"/>
        </w:rPr>
        <w:t>“</w:t>
      </w:r>
      <w:r>
        <w:rPr>
          <w:rFonts w:ascii="Arial" w:cs="Arial" w:eastAsia="Arial" w:hAnsi="Arial"/>
          <w:sz w:val="16"/>
          <w:szCs w:val="16"/>
          <w:b w:val="1"/>
          <w:bCs w:val="1"/>
          <w:color w:val="auto"/>
        </w:rPr>
        <w:t>Closing Share Price</w:t>
      </w:r>
      <w:r>
        <w:rPr>
          <w:rFonts w:ascii="Arial" w:cs="Arial" w:eastAsia="Arial" w:hAnsi="Arial"/>
          <w:sz w:val="16"/>
          <w:szCs w:val="16"/>
          <w:color w:val="auto"/>
        </w:rPr>
        <w:t>” shall mean the closing or last sale price of one Share, as reported on the Nasdaq Stock Market, or such other stock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constituting the principal exchange on which the Shares are traded, for the applicable date, or if the applicable date is not a trading day, the trading day immediately preceding the applicable date.</w:t>
      </w:r>
    </w:p>
    <w:p>
      <w:pPr>
        <w:spacing w:after="0" w:line="157" w:lineRule="exact"/>
        <w:rPr>
          <w:sz w:val="20"/>
          <w:szCs w:val="20"/>
          <w:color w:val="auto"/>
        </w:rPr>
      </w:pPr>
    </w:p>
    <w:p>
      <w:pPr>
        <w:ind w:right="280" w:firstLine="865"/>
        <w:spacing w:after="0" w:line="286" w:lineRule="auto"/>
        <w:rPr>
          <w:sz w:val="20"/>
          <w:szCs w:val="20"/>
          <w:color w:val="auto"/>
        </w:rPr>
      </w:pPr>
      <w:r>
        <w:rPr>
          <w:rFonts w:ascii="Arial" w:cs="Arial" w:eastAsia="Arial" w:hAnsi="Arial"/>
          <w:sz w:val="16"/>
          <w:szCs w:val="16"/>
          <w:b w:val="1"/>
          <w:bCs w:val="1"/>
          <w:color w:val="auto"/>
        </w:rPr>
        <w:t xml:space="preserve">2.10 </w:t>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now in effect or as hereafter amended. References to the Code shall include the valid and</w:t>
      </w:r>
      <w:r>
        <w:rPr>
          <w:rFonts w:ascii="Arial" w:cs="Arial" w:eastAsia="Arial" w:hAnsi="Arial"/>
          <w:sz w:val="16"/>
          <w:szCs w:val="16"/>
          <w:b w:val="1"/>
          <w:bCs w:val="1"/>
          <w:color w:val="auto"/>
        </w:rPr>
        <w:t xml:space="preserve"> </w:t>
      </w:r>
      <w:r>
        <w:rPr>
          <w:rFonts w:ascii="Arial" w:cs="Arial" w:eastAsia="Arial" w:hAnsi="Arial"/>
          <w:sz w:val="16"/>
          <w:szCs w:val="16"/>
          <w:color w:val="auto"/>
        </w:rPr>
        <w:t>binding governmental regulations, court decisions, and other regulatory and judicial authority issued or rendered thereunder.</w:t>
      </w:r>
    </w:p>
    <w:p>
      <w:pPr>
        <w:spacing w:after="0" w:line="143"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auto"/>
        </w:rPr>
        <w:t>2.11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Committee</w:t>
      </w:r>
      <w:r>
        <w:rPr>
          <w:rFonts w:ascii="Arial" w:cs="Arial" w:eastAsia="Arial" w:hAnsi="Arial"/>
          <w:sz w:val="14"/>
          <w:szCs w:val="14"/>
          <w:color w:val="auto"/>
        </w:rPr>
        <w:t>” means the Compensation Committee of the Board, or such other committee as determined by the Board. The Compensation</w:t>
      </w:r>
    </w:p>
    <w:p>
      <w:pPr>
        <w:spacing w:after="0" w:line="2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 xml:space="preserve">Committee of the Board may designate a subcommittee of its members to serve as the Committee (to the extent the Board has not designated another person, committee, or entity as the Committee). The Board shall cause the Committee to satisfy the applicable requirements of any securities exchange on which the Shares may then be listed. For purposes of Awards to Grantees who are subject to </w:t>
      </w:r>
      <w:r>
        <w:rPr>
          <w:rFonts w:ascii="Arial" w:cs="Arial" w:eastAsia="Arial" w:hAnsi="Arial"/>
          <w:sz w:val="16"/>
          <w:szCs w:val="16"/>
          <w:b w:val="1"/>
          <w:bCs w:val="1"/>
          <w:color w:val="auto"/>
        </w:rPr>
        <w:t>Section 16</w:t>
      </w:r>
      <w:r>
        <w:rPr>
          <w:rFonts w:ascii="Arial" w:cs="Arial" w:eastAsia="Arial" w:hAnsi="Arial"/>
          <w:sz w:val="16"/>
          <w:szCs w:val="16"/>
          <w:color w:val="auto"/>
        </w:rPr>
        <w:t xml:space="preserve"> of the Exchange Act, Committee means all of the members of the Compensation Committee who are “non-employee directors” within the meaning of Rule 16b-3 adopted under the Exchange Act.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2.12</w:t>
            </w:r>
          </w:p>
        </w:tc>
        <w:tc>
          <w:tcPr>
            <w:tcW w:w="970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Energous Corporation, a Delaware corporation.</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2.13</w:t>
            </w:r>
          </w:p>
        </w:tc>
        <w:tc>
          <w:tcPr>
            <w:tcW w:w="970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 par value $.00001 per share.</w:t>
            </w:r>
          </w:p>
        </w:tc>
      </w:tr>
      <w:tr>
        <w:trPr>
          <w:trHeight w:val="376"/>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2.14</w:t>
            </w:r>
          </w:p>
        </w:tc>
        <w:tc>
          <w:tcPr>
            <w:tcW w:w="9700" w:type="dxa"/>
            <w:vAlign w:val="bottom"/>
          </w:tcPr>
          <w:p>
            <w:pPr>
              <w:ind w:left="28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Consultant</w:t>
            </w:r>
            <w:r>
              <w:rPr>
                <w:rFonts w:ascii="Arial" w:cs="Arial" w:eastAsia="Arial" w:hAnsi="Arial"/>
                <w:sz w:val="16"/>
                <w:szCs w:val="16"/>
                <w:color w:val="auto"/>
                <w:w w:val="91"/>
              </w:rPr>
              <w:t>” means a consultant or advisor that provides bona fide services to the Company or any Affiliate and who qualifies as a consultant or</w:t>
            </w:r>
          </w:p>
        </w:tc>
      </w:tr>
      <w:tr>
        <w:trPr>
          <w:trHeight w:val="206"/>
        </w:trPr>
        <w:tc>
          <w:tcPr>
            <w:tcW w:w="11140" w:type="dxa"/>
            <w:vAlign w:val="bottom"/>
            <w:gridSpan w:val="2"/>
          </w:tcPr>
          <w:p>
            <w:pPr>
              <w:spacing w:after="0"/>
              <w:rPr>
                <w:sz w:val="20"/>
                <w:szCs w:val="20"/>
                <w:color w:val="auto"/>
              </w:rPr>
            </w:pPr>
            <w:r>
              <w:rPr>
                <w:rFonts w:ascii="Arial" w:cs="Arial" w:eastAsia="Arial" w:hAnsi="Arial"/>
                <w:sz w:val="16"/>
                <w:szCs w:val="16"/>
                <w:color w:val="auto"/>
              </w:rPr>
              <w:t>advisor for purposes of Form S-8.</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2.15</w:t>
            </w:r>
          </w:p>
        </w:tc>
        <w:tc>
          <w:tcPr>
            <w:tcW w:w="9700" w:type="dxa"/>
            <w:vAlign w:val="bottom"/>
          </w:tcPr>
          <w:p>
            <w:pPr>
              <w:ind w:left="280"/>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b w:val="1"/>
                <w:bCs w:val="1"/>
                <w:color w:val="auto"/>
                <w:w w:val="92"/>
              </w:rPr>
              <w:t>Disability</w:t>
            </w:r>
            <w:r>
              <w:rPr>
                <w:rFonts w:ascii="Arial" w:cs="Arial" w:eastAsia="Arial" w:hAnsi="Arial"/>
                <w:sz w:val="16"/>
                <w:szCs w:val="16"/>
                <w:color w:val="auto"/>
                <w:w w:val="92"/>
              </w:rPr>
              <w:t>” shall be defined as that term is defined in the Grantee’s offer letter or other applicable employment agreement; or, if there is no such</w:t>
            </w:r>
          </w:p>
        </w:tc>
      </w:tr>
    </w:tbl>
    <w:p>
      <w:pPr>
        <w:ind w:right="420"/>
        <w:spacing w:after="0" w:line="299" w:lineRule="auto"/>
        <w:rPr>
          <w:sz w:val="20"/>
          <w:szCs w:val="20"/>
          <w:color w:val="auto"/>
        </w:rPr>
      </w:pPr>
      <w:r>
        <w:rPr>
          <w:rFonts w:ascii="Arial" w:cs="Arial" w:eastAsia="Arial" w:hAnsi="Arial"/>
          <w:sz w:val="15"/>
          <w:szCs w:val="15"/>
          <w:color w:val="auto"/>
        </w:rPr>
        <w:t>definition, “Disability” means the Grantee is unable to perform each of the essential duties of such Grantee’s position by reason of a medically-determinable physical or mental impairment that is potentially permanent in character or that can be expected to last for a continuous period of not less than 12 months.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2.16</w:t>
            </w:r>
          </w:p>
        </w:tc>
        <w:tc>
          <w:tcPr>
            <w:tcW w:w="972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June 16, 2021, the date the Plan was approved by the Stockholders.</w:t>
            </w:r>
          </w:p>
        </w:tc>
      </w:tr>
      <w:tr>
        <w:trPr>
          <w:trHeight w:val="376"/>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2.17</w:t>
            </w:r>
          </w:p>
        </w:tc>
        <w:tc>
          <w:tcPr>
            <w:tcW w:w="9720" w:type="dxa"/>
            <w:vAlign w:val="bottom"/>
          </w:tcPr>
          <w:p>
            <w:pPr>
              <w:ind w:left="280"/>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b w:val="1"/>
                <w:bCs w:val="1"/>
                <w:color w:val="auto"/>
                <w:w w:val="93"/>
              </w:rPr>
              <w:t>Exchange Act</w:t>
            </w:r>
            <w:r>
              <w:rPr>
                <w:rFonts w:ascii="Arial" w:cs="Arial" w:eastAsia="Arial" w:hAnsi="Arial"/>
                <w:sz w:val="16"/>
                <w:szCs w:val="16"/>
                <w:color w:val="auto"/>
                <w:w w:val="93"/>
              </w:rPr>
              <w:t>” means the Securities Exchange Act of 1934, as now in effect or as hereafter amended. References to the Exchange Act shall</w:t>
            </w:r>
          </w:p>
        </w:tc>
      </w:tr>
      <w:tr>
        <w:trPr>
          <w:trHeight w:val="206"/>
        </w:trPr>
        <w:tc>
          <w:tcPr>
            <w:tcW w:w="11160" w:type="dxa"/>
            <w:vAlign w:val="bottom"/>
            <w:gridSpan w:val="2"/>
          </w:tcPr>
          <w:p>
            <w:pPr>
              <w:spacing w:after="0"/>
              <w:rPr>
                <w:sz w:val="20"/>
                <w:szCs w:val="20"/>
                <w:color w:val="auto"/>
              </w:rPr>
            </w:pPr>
            <w:r>
              <w:rPr>
                <w:rFonts w:ascii="Arial" w:cs="Arial" w:eastAsia="Arial" w:hAnsi="Arial"/>
                <w:sz w:val="16"/>
                <w:szCs w:val="16"/>
                <w:color w:val="auto"/>
              </w:rPr>
              <w:t>include the valid and binding governmental regulations, court decisions, and other regulatory and judicial authority issued or rendered thereunder.</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2.18</w:t>
            </w:r>
          </w:p>
        </w:tc>
        <w:tc>
          <w:tcPr>
            <w:tcW w:w="9720" w:type="dxa"/>
            <w:vAlign w:val="bottom"/>
          </w:tcPr>
          <w:p>
            <w:pPr>
              <w:ind w:left="28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Fair Market Value</w:t>
            </w:r>
            <w:r>
              <w:rPr>
                <w:rFonts w:ascii="Arial" w:cs="Arial" w:eastAsia="Arial" w:hAnsi="Arial"/>
                <w:sz w:val="16"/>
                <w:szCs w:val="16"/>
                <w:color w:val="auto"/>
                <w:w w:val="91"/>
              </w:rPr>
              <w:t>” of a Share as of a particular date means (i) if the Shares are listed on a national securities exchange, the closing or last price</w:t>
            </w:r>
          </w:p>
        </w:tc>
      </w:tr>
    </w:tbl>
    <w:p>
      <w:pPr>
        <w:ind w:right="360"/>
        <w:spacing w:after="0" w:line="259" w:lineRule="auto"/>
        <w:rPr>
          <w:sz w:val="20"/>
          <w:szCs w:val="20"/>
          <w:color w:val="auto"/>
        </w:rPr>
      </w:pPr>
      <w:r>
        <w:rPr>
          <w:rFonts w:ascii="Arial" w:cs="Arial" w:eastAsia="Arial" w:hAnsi="Arial"/>
          <w:sz w:val="16"/>
          <w:szCs w:val="16"/>
          <w:color w:val="auto"/>
        </w:rPr>
        <w:t>of a Share on the composite tape or other comparable reporting system for the applicable date, or if the applicable date is not a trading day, the trading day immediately preceding the applicable date, or (ii) if the Shares are not then listed on a national securities exchange, or the value of Shares is not otherwise determinable, such value as determined by the Board.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2.19</w:t>
            </w:r>
          </w:p>
        </w:tc>
        <w:tc>
          <w:tcPr>
            <w:tcW w:w="9840" w:type="dxa"/>
            <w:vAlign w:val="bottom"/>
          </w:tcPr>
          <w:p>
            <w:pPr>
              <w:ind w:left="28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b w:val="1"/>
                <w:bCs w:val="1"/>
                <w:color w:val="auto"/>
                <w:w w:val="94"/>
              </w:rPr>
              <w:t>Grant Date</w:t>
            </w:r>
            <w:r>
              <w:rPr>
                <w:rFonts w:ascii="Arial" w:cs="Arial" w:eastAsia="Arial" w:hAnsi="Arial"/>
                <w:sz w:val="16"/>
                <w:szCs w:val="16"/>
                <w:color w:val="auto"/>
                <w:w w:val="94"/>
              </w:rPr>
              <w:t>” means the latest to occur of (i) the date as of which the Board approves an Award, (ii) the date on which the recipient of an Award</w:t>
            </w:r>
          </w:p>
        </w:tc>
      </w:tr>
      <w:tr>
        <w:trPr>
          <w:trHeight w:val="210"/>
        </w:trPr>
        <w:tc>
          <w:tcPr>
            <w:tcW w:w="11280" w:type="dxa"/>
            <w:vAlign w:val="bottom"/>
            <w:gridSpan w:val="2"/>
          </w:tcPr>
          <w:p>
            <w:pPr>
              <w:spacing w:after="0"/>
              <w:rPr>
                <w:sz w:val="20"/>
                <w:szCs w:val="20"/>
                <w:color w:val="auto"/>
              </w:rPr>
            </w:pPr>
            <w:r>
              <w:rPr>
                <w:rFonts w:ascii="Arial" w:cs="Arial" w:eastAsia="Arial" w:hAnsi="Arial"/>
                <w:sz w:val="16"/>
                <w:szCs w:val="16"/>
                <w:color w:val="auto"/>
              </w:rPr>
              <w:t xml:space="preserve">first becomes eligible to receive an Award under </w:t>
            </w:r>
            <w:r>
              <w:rPr>
                <w:rFonts w:ascii="Arial" w:cs="Arial" w:eastAsia="Arial" w:hAnsi="Arial"/>
                <w:sz w:val="16"/>
                <w:szCs w:val="16"/>
                <w:b w:val="1"/>
                <w:bCs w:val="1"/>
                <w:color w:val="auto"/>
              </w:rPr>
              <w:t>Section 6</w:t>
            </w:r>
            <w:r>
              <w:rPr>
                <w:rFonts w:ascii="Arial" w:cs="Arial" w:eastAsia="Arial" w:hAnsi="Arial"/>
                <w:sz w:val="16"/>
                <w:szCs w:val="16"/>
                <w:color w:val="auto"/>
              </w:rPr>
              <w:t>, or (iii) such other date as may be specified by the Board in the Award Agreement.</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2.20</w:t>
            </w:r>
          </w:p>
        </w:tc>
        <w:tc>
          <w:tcPr>
            <w:tcW w:w="984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means a person who receives or holds an Award.</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2.21</w:t>
            </w:r>
          </w:p>
        </w:tc>
        <w:tc>
          <w:tcPr>
            <w:tcW w:w="984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Incumbent Directors</w:t>
            </w:r>
            <w:r>
              <w:rPr>
                <w:rFonts w:ascii="Arial" w:cs="Arial" w:eastAsia="Arial" w:hAnsi="Arial"/>
                <w:sz w:val="16"/>
                <w:szCs w:val="16"/>
                <w:color w:val="auto"/>
              </w:rPr>
              <w:t xml:space="preserve">” shall have the meaning set forth in </w:t>
            </w:r>
            <w:r>
              <w:rPr>
                <w:rFonts w:ascii="Arial" w:cs="Arial" w:eastAsia="Arial" w:hAnsi="Arial"/>
                <w:sz w:val="16"/>
                <w:szCs w:val="16"/>
                <w:b w:val="1"/>
                <w:bCs w:val="1"/>
                <w:color w:val="auto"/>
              </w:rPr>
              <w:t>Section 10.2.2</w:t>
            </w:r>
            <w:r>
              <w:rPr>
                <w:rFonts w:ascii="Arial" w:cs="Arial" w:eastAsia="Arial" w:hAnsi="Arial"/>
                <w:sz w:val="16"/>
                <w:szCs w:val="16"/>
                <w:color w:val="auto"/>
              </w:rPr>
              <w:t>.</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2.22</w:t>
            </w:r>
          </w:p>
        </w:tc>
        <w:tc>
          <w:tcPr>
            <w:tcW w:w="984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Issued Shares</w:t>
            </w:r>
            <w:r>
              <w:rPr>
                <w:rFonts w:ascii="Arial" w:cs="Arial" w:eastAsia="Arial" w:hAnsi="Arial"/>
                <w:sz w:val="16"/>
                <w:szCs w:val="16"/>
                <w:color w:val="auto"/>
              </w:rPr>
              <w:t>” means, collectively, all outstanding Shares issued pursuant to Awards.</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2.23</w:t>
            </w:r>
          </w:p>
        </w:tc>
        <w:tc>
          <w:tcPr>
            <w:tcW w:w="984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Shares</w:t>
            </w:r>
            <w:r>
              <w:rPr>
                <w:rFonts w:ascii="Arial" w:cs="Arial" w:eastAsia="Arial" w:hAnsi="Arial"/>
                <w:sz w:val="16"/>
                <w:szCs w:val="16"/>
                <w:color w:val="auto"/>
              </w:rPr>
              <w:t xml:space="preserve">” shall have the meaning set forth in </w:t>
            </w:r>
            <w:r>
              <w:rPr>
                <w:rFonts w:ascii="Arial" w:cs="Arial" w:eastAsia="Arial" w:hAnsi="Arial"/>
                <w:sz w:val="16"/>
                <w:szCs w:val="16"/>
                <w:b w:val="1"/>
                <w:bCs w:val="1"/>
                <w:color w:val="auto"/>
              </w:rPr>
              <w:t>Section 10.1</w:t>
            </w:r>
            <w:r>
              <w:rPr>
                <w:rFonts w:ascii="Arial" w:cs="Arial" w:eastAsia="Arial" w:hAnsi="Arial"/>
                <w:sz w:val="16"/>
                <w:szCs w:val="16"/>
                <w:color w:val="auto"/>
              </w:rPr>
              <w:t>.</w:t>
            </w:r>
          </w:p>
        </w:tc>
      </w:tr>
      <w:tr>
        <w:trPr>
          <w:trHeight w:val="199"/>
        </w:trPr>
        <w:tc>
          <w:tcPr>
            <w:tcW w:w="1440" w:type="dxa"/>
            <w:vAlign w:val="bottom"/>
            <w:tcBorders>
              <w:bottom w:val="single" w:sz="8" w:color="9A9A9A"/>
            </w:tcBorders>
          </w:tcPr>
          <w:p>
            <w:pPr>
              <w:spacing w:after="0"/>
              <w:rPr>
                <w:sz w:val="17"/>
                <w:szCs w:val="17"/>
                <w:color w:val="auto"/>
              </w:rPr>
            </w:pPr>
          </w:p>
        </w:tc>
        <w:tc>
          <w:tcPr>
            <w:tcW w:w="98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7139305</wp:posOffset>
            </wp:positionH>
            <wp:positionV relativeFrom="paragraph">
              <wp:posOffset>-27305</wp:posOffset>
            </wp:positionV>
            <wp:extent cx="3302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79" w:name="page80"/>
    <w:bookmarkEnd w:id="79"/>
    <w:p>
      <w:pPr>
        <w:ind w:right="260" w:firstLine="865"/>
        <w:spacing w:after="0" w:line="286" w:lineRule="auto"/>
        <w:rPr>
          <w:sz w:val="20"/>
          <w:szCs w:val="20"/>
          <w:color w:val="auto"/>
        </w:rPr>
      </w:pPr>
      <w:r>
        <w:rPr>
          <w:rFonts w:ascii="Arial" w:cs="Arial" w:eastAsia="Arial" w:hAnsi="Arial"/>
          <w:sz w:val="16"/>
          <w:szCs w:val="16"/>
          <w:b w:val="1"/>
          <w:bCs w:val="1"/>
          <w:color w:val="auto"/>
        </w:rPr>
        <w:t>2.24 “Performance Metric</w:t>
      </w:r>
      <w:r>
        <w:rPr>
          <w:rFonts w:ascii="Arial" w:cs="Arial" w:eastAsia="Arial" w:hAnsi="Arial"/>
          <w:sz w:val="16"/>
          <w:szCs w:val="16"/>
          <w:color w:val="auto"/>
        </w:rPr>
        <w:t>” means any one or more of the following performance metrics, either individually, alternatively or in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applied on a company-wide, subsidiary, division, business unit or line of business basis:</w:t>
      </w:r>
    </w:p>
    <w:p>
      <w:pPr>
        <w:spacing w:after="0" w:line="341" w:lineRule="exact"/>
        <w:rPr>
          <w:sz w:val="20"/>
          <w:szCs w:val="20"/>
          <w:color w:val="auto"/>
        </w:rPr>
      </w:pPr>
    </w:p>
    <w:p>
      <w:pPr>
        <w:ind w:left="2580" w:right="280" w:hanging="863"/>
        <w:spacing w:after="0" w:line="281" w:lineRule="auto"/>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cash flow or liquidity measures (including without limitation free cash flow and cash flow from operating, investing or financing activities or any combination thereof);</w:t>
      </w:r>
    </w:p>
    <w:p>
      <w:pPr>
        <w:spacing w:after="0" w:line="150"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assets;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revenue (whether net or gross, related to any one or more products, services or customers);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costs or expenses;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margins (gross margin, operating margin or other), as improvement in margins;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return on assets, equity, investment, revenue, sales, capital, net capital employed or total shareholder return;</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income (including operating income, pre-tax income, net income or any other measure of income) on an aggregate or per share basis;</w:t>
      </w:r>
    </w:p>
    <w:p>
      <w:pPr>
        <w:spacing w:after="0" w:line="226" w:lineRule="exact"/>
        <w:rPr>
          <w:rFonts w:ascii="Arial" w:cs="Arial" w:eastAsia="Arial" w:hAnsi="Arial"/>
          <w:sz w:val="14"/>
          <w:szCs w:val="14"/>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earnings or loss (including measures of adjusted earning and loss such as EBITDA) and per share measure of earnings;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indebtedness;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credit rating;</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profit (gross or net) or sales (before or after taxes);</w:t>
      </w:r>
    </w:p>
    <w:p>
      <w:pPr>
        <w:spacing w:after="0" w:line="203" w:lineRule="exact"/>
        <w:rPr>
          <w:rFonts w:ascii="Arial" w:cs="Arial" w:eastAsia="Arial" w:hAnsi="Arial"/>
          <w:sz w:val="16"/>
          <w:szCs w:val="16"/>
          <w:color w:val="auto"/>
        </w:rPr>
      </w:pPr>
    </w:p>
    <w:p>
      <w:pPr>
        <w:ind w:left="2580" w:right="320" w:hanging="863"/>
        <w:spacing w:after="0" w:line="281" w:lineRule="auto"/>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ratios (including one or more of price to earnings, debt to assets, debt to net assets and ratios regarding liquidity, solvency, fiscal capacity, productivity or risk);</w:t>
      </w:r>
    </w:p>
    <w:p>
      <w:pPr>
        <w:spacing w:after="0" w:line="150"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economic value added;</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stock price or market capitalization;</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achievement of key corporate initiatives, projects or customer wins;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regulatory goals or milestones including the advancement of governmental permitting and approval processes;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research and development milestones, including contract-related milestones;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product invention or innovation;</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goals related to development, design, fabrication, production or fulfillment;</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backlog, billings or bookings;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employee retention, productivity and satisfaction metrics;</w:t>
      </w:r>
    </w:p>
    <w:p>
      <w:pPr>
        <w:spacing w:after="0" w:line="203" w:lineRule="exact"/>
        <w:rPr>
          <w:rFonts w:ascii="Arial" w:cs="Arial" w:eastAsia="Arial" w:hAnsi="Arial"/>
          <w:sz w:val="16"/>
          <w:szCs w:val="16"/>
          <w:color w:val="auto"/>
        </w:rPr>
      </w:pPr>
    </w:p>
    <w:p>
      <w:pPr>
        <w:ind w:left="2580" w:hanging="863"/>
        <w:spacing w:after="0"/>
        <w:tabs>
          <w:tab w:leader="none" w:pos="2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other metric that is capable of measurement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62865</wp:posOffset>
            </wp:positionV>
            <wp:extent cx="718693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80" w:name="page81"/>
    <w:bookmarkEnd w:id="80"/>
    <w:tbl>
      <w:tblPr>
        <w:tblLayout w:type="fixed"/>
        <w:tblInd w:w="3" w:type="dxa"/>
        <w:tblCellMar>
          <w:top w:w="0" w:type="dxa"/>
          <w:left w:w="0" w:type="dxa"/>
          <w:bottom w:w="0" w:type="dxa"/>
          <w:right w:w="0" w:type="dxa"/>
        </w:tblCellMar>
      </w:tblPr>
      <w:tr>
        <w:trPr>
          <w:trHeight w:val="194"/>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2.25</w:t>
            </w:r>
          </w:p>
        </w:tc>
        <w:tc>
          <w:tcPr>
            <w:tcW w:w="9760" w:type="dxa"/>
            <w:vAlign w:val="bottom"/>
          </w:tcPr>
          <w:p>
            <w:pPr>
              <w:ind w:left="32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Performance Share Unit</w:t>
            </w:r>
            <w:r>
              <w:rPr>
                <w:rFonts w:ascii="Arial" w:cs="Arial" w:eastAsia="Arial" w:hAnsi="Arial"/>
                <w:sz w:val="16"/>
                <w:szCs w:val="16"/>
                <w:color w:val="auto"/>
                <w:w w:val="91"/>
              </w:rPr>
              <w:t>” means a bookkeeping entry reflecting the right of a Grantee to receive a Share in the future, on the terms and subject</w:t>
            </w:r>
          </w:p>
        </w:tc>
      </w:tr>
      <w:tr>
        <w:trPr>
          <w:trHeight w:val="210"/>
        </w:trPr>
        <w:tc>
          <w:tcPr>
            <w:tcW w:w="11200" w:type="dxa"/>
            <w:vAlign w:val="bottom"/>
            <w:gridSpan w:val="2"/>
          </w:tcPr>
          <w:p>
            <w:pPr>
              <w:spacing w:after="0"/>
              <w:rPr>
                <w:sz w:val="20"/>
                <w:szCs w:val="20"/>
                <w:color w:val="auto"/>
              </w:rPr>
            </w:pPr>
            <w:r>
              <w:rPr>
                <w:rFonts w:ascii="Arial" w:cs="Arial" w:eastAsia="Arial" w:hAnsi="Arial"/>
                <w:sz w:val="16"/>
                <w:szCs w:val="16"/>
                <w:color w:val="auto"/>
              </w:rPr>
              <w:t xml:space="preserve">to the conditions of </w:t>
            </w:r>
            <w:r>
              <w:rPr>
                <w:rFonts w:ascii="Arial" w:cs="Arial" w:eastAsia="Arial" w:hAnsi="Arial"/>
                <w:sz w:val="16"/>
                <w:szCs w:val="16"/>
                <w:b w:val="1"/>
                <w:bCs w:val="1"/>
                <w:color w:val="auto"/>
              </w:rPr>
              <w:t>Section 8</w:t>
            </w:r>
            <w:r>
              <w:rPr>
                <w:rFonts w:ascii="Arial" w:cs="Arial" w:eastAsia="Arial" w:hAnsi="Arial"/>
                <w:sz w:val="16"/>
                <w:szCs w:val="16"/>
                <w:color w:val="auto"/>
              </w:rPr>
              <w:t xml:space="preserve"> and the applicable Award Agreement.</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2.26</w:t>
            </w:r>
          </w:p>
        </w:tc>
        <w:tc>
          <w:tcPr>
            <w:tcW w:w="976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Energous Corporation Performance Share Unit Plan (formerly known as the 2015 Performance Share Unit Plan).</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2.27</w:t>
            </w:r>
          </w:p>
        </w:tc>
        <w:tc>
          <w:tcPr>
            <w:tcW w:w="976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Prior Amendment Date</w:t>
            </w:r>
            <w:r>
              <w:rPr>
                <w:rFonts w:ascii="Arial" w:cs="Arial" w:eastAsia="Arial" w:hAnsi="Arial"/>
                <w:sz w:val="16"/>
                <w:szCs w:val="16"/>
                <w:color w:val="auto"/>
              </w:rPr>
              <w:t>” means May 26, 2020.</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2.28</w:t>
            </w:r>
          </w:p>
        </w:tc>
        <w:tc>
          <w:tcPr>
            <w:tcW w:w="976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409A</w:t>
            </w:r>
            <w:r>
              <w:rPr>
                <w:rFonts w:ascii="Arial" w:cs="Arial" w:eastAsia="Arial" w:hAnsi="Arial"/>
                <w:sz w:val="16"/>
                <w:szCs w:val="16"/>
                <w:color w:val="auto"/>
              </w:rPr>
              <w:t>” means Code Section 409A.</w:t>
            </w:r>
          </w:p>
        </w:tc>
      </w:tr>
      <w:tr>
        <w:trPr>
          <w:trHeight w:val="376"/>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2.29</w:t>
            </w:r>
          </w:p>
        </w:tc>
        <w:tc>
          <w:tcPr>
            <w:tcW w:w="9760" w:type="dxa"/>
            <w:vAlign w:val="bottom"/>
          </w:tcPr>
          <w:p>
            <w:pPr>
              <w:ind w:left="280"/>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b w:val="1"/>
                <w:bCs w:val="1"/>
                <w:color w:val="auto"/>
                <w:w w:val="93"/>
              </w:rPr>
              <w:t>Securities Act</w:t>
            </w:r>
            <w:r>
              <w:rPr>
                <w:rFonts w:ascii="Arial" w:cs="Arial" w:eastAsia="Arial" w:hAnsi="Arial"/>
                <w:sz w:val="16"/>
                <w:szCs w:val="16"/>
                <w:color w:val="auto"/>
                <w:w w:val="93"/>
              </w:rPr>
              <w:t>” means the Securities Act of 1933, as now in effect or as hereafter amended. References to the Securities Act shall include the</w:t>
            </w:r>
          </w:p>
        </w:tc>
      </w:tr>
      <w:tr>
        <w:trPr>
          <w:trHeight w:val="206"/>
        </w:trPr>
        <w:tc>
          <w:tcPr>
            <w:tcW w:w="11200" w:type="dxa"/>
            <w:vAlign w:val="bottom"/>
            <w:gridSpan w:val="2"/>
          </w:tcPr>
          <w:p>
            <w:pPr>
              <w:spacing w:after="0"/>
              <w:rPr>
                <w:sz w:val="20"/>
                <w:szCs w:val="20"/>
                <w:color w:val="auto"/>
              </w:rPr>
            </w:pPr>
            <w:r>
              <w:rPr>
                <w:rFonts w:ascii="Arial" w:cs="Arial" w:eastAsia="Arial" w:hAnsi="Arial"/>
                <w:sz w:val="16"/>
                <w:szCs w:val="16"/>
                <w:color w:val="auto"/>
              </w:rPr>
              <w:t>valid and binding governmental regulations, court decisions, and other regulatory and judicial authority issued or rendered thereunder.</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2.30</w:t>
            </w:r>
          </w:p>
        </w:tc>
        <w:tc>
          <w:tcPr>
            <w:tcW w:w="9760" w:type="dxa"/>
            <w:vAlign w:val="bottom"/>
          </w:tcPr>
          <w:p>
            <w:pPr>
              <w:ind w:left="28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Separation from Service</w:t>
            </w:r>
            <w:r>
              <w:rPr>
                <w:rFonts w:ascii="Arial" w:cs="Arial" w:eastAsia="Arial" w:hAnsi="Arial"/>
                <w:sz w:val="16"/>
                <w:szCs w:val="16"/>
                <w:color w:val="auto"/>
                <w:w w:val="91"/>
              </w:rPr>
              <w:t>” means a termination of Service of or by a Service Provider for any reason or no reason; provided, however, that if any</w:t>
            </w:r>
          </w:p>
        </w:tc>
      </w:tr>
    </w:tbl>
    <w:p>
      <w:pPr>
        <w:ind w:left="3" w:right="180"/>
        <w:spacing w:after="0" w:line="265" w:lineRule="auto"/>
        <w:rPr>
          <w:sz w:val="20"/>
          <w:szCs w:val="20"/>
          <w:color w:val="auto"/>
        </w:rPr>
      </w:pPr>
      <w:r>
        <w:rPr>
          <w:rFonts w:ascii="Arial" w:cs="Arial" w:eastAsia="Arial" w:hAnsi="Arial"/>
          <w:sz w:val="16"/>
          <w:szCs w:val="16"/>
          <w:color w:val="auto"/>
        </w:rPr>
        <w:t>Award governed by Section 409A is to be distributed on a Separation from Service, then the definition of Separation from Service for such purposes shall comply with the definition provided in Section 409A.</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19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2.31</w:t>
            </w:r>
          </w:p>
        </w:tc>
        <w:tc>
          <w:tcPr>
            <w:tcW w:w="9160" w:type="dxa"/>
            <w:vAlign w:val="bottom"/>
          </w:tcPr>
          <w:p>
            <w:pPr>
              <w:ind w:left="28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Service</w:t>
            </w:r>
            <w:r>
              <w:rPr>
                <w:rFonts w:ascii="Arial" w:cs="Arial" w:eastAsia="Arial" w:hAnsi="Arial"/>
                <w:sz w:val="16"/>
                <w:szCs w:val="16"/>
                <w:color w:val="auto"/>
                <w:w w:val="91"/>
              </w:rPr>
              <w:t>” means service as a Service Provider to the Company or an Affiliate. A Grantee’s change in position or duties shall not result in</w:t>
            </w:r>
          </w:p>
        </w:tc>
      </w:tr>
      <w:tr>
        <w:trPr>
          <w:trHeight w:val="206"/>
        </w:trPr>
        <w:tc>
          <w:tcPr>
            <w:tcW w:w="10600" w:type="dxa"/>
            <w:vAlign w:val="bottom"/>
            <w:gridSpan w:val="2"/>
          </w:tcPr>
          <w:p>
            <w:pPr>
              <w:spacing w:after="0"/>
              <w:rPr>
                <w:sz w:val="20"/>
                <w:szCs w:val="20"/>
                <w:color w:val="auto"/>
              </w:rPr>
            </w:pPr>
            <w:r>
              <w:rPr>
                <w:rFonts w:ascii="Arial" w:cs="Arial" w:eastAsia="Arial" w:hAnsi="Arial"/>
                <w:sz w:val="16"/>
                <w:szCs w:val="16"/>
                <w:color w:val="auto"/>
              </w:rPr>
              <w:t>interrupted or terminated Service, so long as such Grantee continues to be a Service Provider to the Company or an Affiliate.</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2.32</w:t>
            </w:r>
          </w:p>
        </w:tc>
        <w:tc>
          <w:tcPr>
            <w:tcW w:w="9160" w:type="dxa"/>
            <w:vAlign w:val="bottom"/>
          </w:tcPr>
          <w:p>
            <w:pPr>
              <w:ind w:left="280"/>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b w:val="1"/>
                <w:bCs w:val="1"/>
                <w:color w:val="auto"/>
                <w:w w:val="95"/>
              </w:rPr>
              <w:t>Service Provider</w:t>
            </w:r>
            <w:r>
              <w:rPr>
                <w:rFonts w:ascii="Arial" w:cs="Arial" w:eastAsia="Arial" w:hAnsi="Arial"/>
                <w:sz w:val="16"/>
                <w:szCs w:val="16"/>
                <w:color w:val="auto"/>
                <w:w w:val="95"/>
              </w:rPr>
              <w:t>” means an employee, officer, non-employee member of the Board, or Consultant of the Company or an Affiliate.</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2.33</w:t>
            </w:r>
          </w:p>
        </w:tc>
        <w:tc>
          <w:tcPr>
            <w:tcW w:w="916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 share of Common Stock.</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2.34</w:t>
            </w:r>
          </w:p>
        </w:tc>
        <w:tc>
          <w:tcPr>
            <w:tcW w:w="9160" w:type="dxa"/>
            <w:vAlign w:val="bottom"/>
          </w:tcPr>
          <w:p>
            <w:pPr>
              <w:ind w:left="280"/>
              <w:spacing w:after="0"/>
              <w:rPr>
                <w:sz w:val="20"/>
                <w:szCs w:val="20"/>
                <w:color w:val="auto"/>
              </w:rPr>
            </w:pPr>
            <w:r>
              <w:rPr>
                <w:rFonts w:ascii="Arial" w:cs="Arial" w:eastAsia="Arial" w:hAnsi="Arial"/>
                <w:sz w:val="16"/>
                <w:szCs w:val="16"/>
                <w:color w:val="auto"/>
              </w:rPr>
              <w:t>“St</w:t>
            </w:r>
            <w:r>
              <w:rPr>
                <w:rFonts w:ascii="Arial" w:cs="Arial" w:eastAsia="Arial" w:hAnsi="Arial"/>
                <w:sz w:val="16"/>
                <w:szCs w:val="16"/>
                <w:b w:val="1"/>
                <w:bCs w:val="1"/>
                <w:color w:val="auto"/>
              </w:rPr>
              <w:t>ockholders</w:t>
            </w:r>
            <w:r>
              <w:rPr>
                <w:rFonts w:ascii="Arial" w:cs="Arial" w:eastAsia="Arial" w:hAnsi="Arial"/>
                <w:sz w:val="16"/>
                <w:szCs w:val="16"/>
                <w:color w:val="auto"/>
              </w:rPr>
              <w:t>” means the stockholders of the Company.</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2.35</w:t>
            </w:r>
          </w:p>
        </w:tc>
        <w:tc>
          <w:tcPr>
            <w:tcW w:w="9160" w:type="dxa"/>
            <w:vAlign w:val="bottom"/>
          </w:tcPr>
          <w:p>
            <w:pPr>
              <w:ind w:left="28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b w:val="1"/>
                <w:bCs w:val="1"/>
                <w:color w:val="auto"/>
              </w:rPr>
              <w:t>ubsidiary</w:t>
            </w:r>
            <w:r>
              <w:rPr>
                <w:rFonts w:ascii="Arial" w:cs="Arial" w:eastAsia="Arial" w:hAnsi="Arial"/>
                <w:sz w:val="16"/>
                <w:szCs w:val="16"/>
                <w:color w:val="auto"/>
              </w:rPr>
              <w:t>” means any “subsidiary corporation” of the Company within the meaning of Code Section 424(f).</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2.36</w:t>
            </w:r>
          </w:p>
        </w:tc>
        <w:tc>
          <w:tcPr>
            <w:tcW w:w="916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means May 16, 2028, unless the Plan is earlier terminated by the Board under </w:t>
            </w:r>
            <w:r>
              <w:rPr>
                <w:rFonts w:ascii="Arial" w:cs="Arial" w:eastAsia="Arial" w:hAnsi="Arial"/>
                <w:sz w:val="16"/>
                <w:szCs w:val="16"/>
                <w:b w:val="1"/>
                <w:bCs w:val="1"/>
                <w:color w:val="auto"/>
              </w:rPr>
              <w:t>Section 5.2</w:t>
            </w:r>
            <w:r>
              <w:rPr>
                <w:rFonts w:ascii="Arial" w:cs="Arial" w:eastAsia="Arial" w:hAnsi="Arial"/>
                <w:sz w:val="16"/>
                <w:szCs w:val="16"/>
                <w:color w:val="auto"/>
              </w:rPr>
              <w:t>.</w:t>
            </w:r>
          </w:p>
        </w:tc>
      </w:tr>
      <w:tr>
        <w:trPr>
          <w:trHeight w:val="388"/>
        </w:trPr>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2.37</w:t>
            </w:r>
          </w:p>
        </w:tc>
        <w:tc>
          <w:tcPr>
            <w:tcW w:w="9160" w:type="dxa"/>
            <w:vAlign w:val="bottom"/>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Securities</w:t>
            </w:r>
            <w:r>
              <w:rPr>
                <w:rFonts w:ascii="Arial" w:cs="Arial" w:eastAsia="Arial" w:hAnsi="Arial"/>
                <w:sz w:val="16"/>
                <w:szCs w:val="16"/>
                <w:color w:val="auto"/>
              </w:rPr>
              <w:t xml:space="preserve">” shall have the meaning set forth in </w:t>
            </w:r>
            <w:r>
              <w:rPr>
                <w:rFonts w:ascii="Arial" w:cs="Arial" w:eastAsia="Arial" w:hAnsi="Arial"/>
                <w:sz w:val="16"/>
                <w:szCs w:val="16"/>
                <w:b w:val="1"/>
                <w:bCs w:val="1"/>
                <w:color w:val="auto"/>
              </w:rPr>
              <w:t>Section 10.2.2</w:t>
            </w:r>
            <w:r>
              <w:rPr>
                <w:rFonts w:ascii="Arial" w:cs="Arial" w:eastAsia="Arial" w:hAnsi="Arial"/>
                <w:sz w:val="16"/>
                <w:szCs w:val="16"/>
                <w:color w:val="auto"/>
              </w:rPr>
              <w:t>.</w:t>
            </w:r>
          </w:p>
        </w:tc>
      </w:tr>
    </w:tbl>
    <w:p>
      <w:pPr>
        <w:spacing w:after="0" w:line="178" w:lineRule="exact"/>
        <w:rPr>
          <w:sz w:val="20"/>
          <w:szCs w:val="20"/>
          <w:color w:val="auto"/>
        </w:rPr>
      </w:pPr>
    </w:p>
    <w:p>
      <w:pPr>
        <w:ind w:left="703" w:hanging="703"/>
        <w:spacing w:after="0"/>
        <w:tabs>
          <w:tab w:leader="none" w:pos="703"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ADMINISTRATION OF THE PLAN</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5"/>
          <w:szCs w:val="15"/>
          <w:b w:val="1"/>
          <w:bCs w:val="1"/>
          <w:color w:val="auto"/>
        </w:rPr>
        <w:t>General</w:t>
      </w:r>
    </w:p>
    <w:p>
      <w:pPr>
        <w:spacing w:after="0" w:line="208" w:lineRule="exact"/>
        <w:rPr>
          <w:sz w:val="20"/>
          <w:szCs w:val="20"/>
          <w:color w:val="auto"/>
        </w:rPr>
      </w:pPr>
    </w:p>
    <w:p>
      <w:pPr>
        <w:ind w:left="3" w:right="40" w:firstLine="865"/>
        <w:spacing w:after="0" w:line="256" w:lineRule="auto"/>
        <w:rPr>
          <w:sz w:val="20"/>
          <w:szCs w:val="20"/>
          <w:color w:val="auto"/>
        </w:rPr>
      </w:pPr>
      <w:r>
        <w:rPr>
          <w:rFonts w:ascii="Arial" w:cs="Arial" w:eastAsia="Arial" w:hAnsi="Arial"/>
          <w:sz w:val="16"/>
          <w:szCs w:val="16"/>
          <w:color w:val="auto"/>
        </w:rPr>
        <w:t xml:space="preserve">The Board shall have such powers and authorities related to the administration of the Plan as are consistent with the Company’s certificate of incorporation and bylaws and applicable law. The Board shall have the power and authority to delegate its responsibilities hereunder to the Committee, which shall have full authority to act in accordance with its charter (as in effect from time to time), and with respect to the power and authority of the Board to act hereunder, all references to the Board shall be deemed to include a reference to the Committee, unless such power or authority is specifically reserved by the Board. Except as specifically provided in </w:t>
      </w:r>
      <w:r>
        <w:rPr>
          <w:rFonts w:ascii="Arial" w:cs="Arial" w:eastAsia="Arial" w:hAnsi="Arial"/>
          <w:sz w:val="16"/>
          <w:szCs w:val="16"/>
          <w:b w:val="1"/>
          <w:bCs w:val="1"/>
          <w:color w:val="auto"/>
        </w:rPr>
        <w:t>Section 9</w:t>
      </w:r>
      <w:r>
        <w:rPr>
          <w:rFonts w:ascii="Arial" w:cs="Arial" w:eastAsia="Arial" w:hAnsi="Arial"/>
          <w:sz w:val="16"/>
          <w:szCs w:val="16"/>
          <w:color w:val="auto"/>
        </w:rPr>
        <w:t xml:space="preserve"> or as otherwise may be required by applicable law, regulatory requirement, or the certificate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The Committee shall administer the Plan; provided, however, the Board shall retain the right to exercise the authority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104775</wp:posOffset>
            </wp:positionV>
            <wp:extent cx="718693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03"/>
          </w:cols>
          <w:pgMar w:left="317" w:top="511" w:right="379" w:bottom="1440" w:gutter="0" w:footer="0" w:header="0"/>
        </w:sectPr>
      </w:pPr>
    </w:p>
    <w:bookmarkStart w:id="81" w:name="page82"/>
    <w:bookmarkEnd w:id="81"/>
    <w:p>
      <w:pPr>
        <w:spacing w:after="0" w:line="262" w:lineRule="auto"/>
        <w:rPr>
          <w:sz w:val="20"/>
          <w:szCs w:val="20"/>
          <w:color w:val="auto"/>
        </w:rPr>
      </w:pPr>
      <w:r>
        <w:rPr>
          <w:rFonts w:ascii="Arial" w:cs="Arial" w:eastAsia="Arial" w:hAnsi="Arial"/>
          <w:sz w:val="16"/>
          <w:szCs w:val="16"/>
          <w:color w:val="auto"/>
        </w:rPr>
        <w:t>Committee to the extent consistent with applicable law and the applicable requirements of any securities exchange on which the Shares may then be listed. All decisions and actions by the Board or the Committee under the Plan, including the interpretation or construction of any provision of the Plan, any Award, or any Award Agreement, shall be in the sole discretion of the Board or the Committee, as applicable, and shall be final, binding, and conclusive. Without limitation, the Board shall have full and final power and authority, subject to the other terms and conditions of the Plan, to:</w:t>
      </w:r>
    </w:p>
    <w:p>
      <w:pPr>
        <w:spacing w:after="0" w:line="166" w:lineRule="exact"/>
        <w:rPr>
          <w:sz w:val="20"/>
          <w:szCs w:val="20"/>
          <w:color w:val="auto"/>
        </w:rPr>
      </w:pPr>
    </w:p>
    <w:p>
      <w:pPr>
        <w:ind w:left="1620" w:hanging="758"/>
        <w:spacing w:after="0"/>
        <w:tabs>
          <w:tab w:leader="none" w:pos="1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designate Grantees;</w:t>
      </w:r>
    </w:p>
    <w:p>
      <w:pPr>
        <w:spacing w:after="0" w:line="203" w:lineRule="exact"/>
        <w:rPr>
          <w:rFonts w:ascii="Arial" w:cs="Arial" w:eastAsia="Arial" w:hAnsi="Arial"/>
          <w:sz w:val="16"/>
          <w:szCs w:val="16"/>
          <w:color w:val="auto"/>
        </w:rPr>
      </w:pPr>
    </w:p>
    <w:p>
      <w:pPr>
        <w:ind w:left="1640" w:hanging="778"/>
        <w:spacing w:after="0"/>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determine the number of Shares to be subject to an Award;</w:t>
      </w:r>
    </w:p>
    <w:p>
      <w:pPr>
        <w:spacing w:after="0" w:line="203" w:lineRule="exact"/>
        <w:rPr>
          <w:rFonts w:ascii="Arial" w:cs="Arial" w:eastAsia="Arial" w:hAnsi="Arial"/>
          <w:sz w:val="16"/>
          <w:szCs w:val="16"/>
          <w:color w:val="auto"/>
        </w:rPr>
      </w:pPr>
    </w:p>
    <w:p>
      <w:pPr>
        <w:ind w:left="1620" w:hanging="758"/>
        <w:spacing w:after="0"/>
        <w:tabs>
          <w:tab w:leader="none" w:pos="1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establish the terms and conditions of each Award;</w:t>
      </w:r>
    </w:p>
    <w:p>
      <w:pPr>
        <w:spacing w:after="0" w:line="203" w:lineRule="exact"/>
        <w:rPr>
          <w:rFonts w:ascii="Arial" w:cs="Arial" w:eastAsia="Arial" w:hAnsi="Arial"/>
          <w:sz w:val="16"/>
          <w:szCs w:val="16"/>
          <w:color w:val="auto"/>
        </w:rPr>
      </w:pPr>
    </w:p>
    <w:p>
      <w:pPr>
        <w:ind w:left="1640" w:hanging="778"/>
        <w:spacing w:after="0"/>
        <w:tabs>
          <w:tab w:leader="none" w:pos="1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prescribe the form of each Award Agreement; and</w:t>
      </w:r>
    </w:p>
    <w:p>
      <w:pPr>
        <w:spacing w:after="0" w:line="203" w:lineRule="exact"/>
        <w:rPr>
          <w:rFonts w:ascii="Arial" w:cs="Arial" w:eastAsia="Arial" w:hAnsi="Arial"/>
          <w:sz w:val="16"/>
          <w:szCs w:val="16"/>
          <w:color w:val="auto"/>
        </w:rPr>
      </w:pPr>
    </w:p>
    <w:p>
      <w:pPr>
        <w:ind w:right="40" w:firstLine="862"/>
        <w:spacing w:after="0" w:line="316" w:lineRule="auto"/>
        <w:tabs>
          <w:tab w:leader="none" w:pos="1626" w:val="left"/>
        </w:tabs>
        <w:numPr>
          <w:ilvl w:val="0"/>
          <w:numId w:val="75"/>
        </w:numPr>
        <w:rPr>
          <w:rFonts w:ascii="Arial" w:cs="Arial" w:eastAsia="Arial" w:hAnsi="Arial"/>
          <w:sz w:val="15"/>
          <w:szCs w:val="15"/>
          <w:color w:val="auto"/>
        </w:rPr>
      </w:pPr>
      <w:r>
        <w:rPr>
          <w:rFonts w:ascii="Arial" w:cs="Arial" w:eastAsia="Arial" w:hAnsi="Arial"/>
          <w:sz w:val="15"/>
          <w:szCs w:val="15"/>
          <w:color w:val="auto"/>
        </w:rPr>
        <w:t>amend, modify, or supplement the terms of any outstanding Award, including the authority, in order to effectuate the purposes of the Plan, to modify Awards to foreign nationals or individuals who are employed outside the United States to recognize differences in local law, tax policy, or custom.</w:t>
      </w:r>
    </w:p>
    <w:p>
      <w:pPr>
        <w:spacing w:after="0" w:line="123" w:lineRule="exact"/>
        <w:rPr>
          <w:sz w:val="20"/>
          <w:szCs w:val="20"/>
          <w:color w:val="auto"/>
        </w:rPr>
      </w:pPr>
    </w:p>
    <w:p>
      <w:pPr>
        <w:ind w:left="860"/>
        <w:spacing w:after="0"/>
        <w:tabs>
          <w:tab w:leader="none" w:pos="162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Forfeitures; Clawbacks</w:t>
      </w:r>
    </w:p>
    <w:p>
      <w:pPr>
        <w:spacing w:after="0" w:line="208" w:lineRule="exact"/>
        <w:rPr>
          <w:sz w:val="20"/>
          <w:szCs w:val="20"/>
          <w:color w:val="auto"/>
        </w:rPr>
      </w:pPr>
    </w:p>
    <w:p>
      <w:pPr>
        <w:ind w:right="40" w:firstLine="865"/>
        <w:spacing w:after="0" w:line="281" w:lineRule="auto"/>
        <w:rPr>
          <w:sz w:val="20"/>
          <w:szCs w:val="20"/>
          <w:color w:val="auto"/>
        </w:rPr>
      </w:pPr>
      <w:r>
        <w:rPr>
          <w:rFonts w:ascii="Arial" w:cs="Arial" w:eastAsia="Arial" w:hAnsi="Arial"/>
          <w:sz w:val="16"/>
          <w:szCs w:val="16"/>
          <w:color w:val="auto"/>
        </w:rPr>
        <w:t>Upon notification of a Separation from Service for Cause, any outstanding Award held by the Grantee, whether vested or unvested, shall terminate immediately, such Award shall be forfeited, and the Grantee shall have no further rights thereunder.</w:t>
      </w:r>
    </w:p>
    <w:p>
      <w:pPr>
        <w:spacing w:after="0" w:line="151" w:lineRule="exact"/>
        <w:rPr>
          <w:sz w:val="20"/>
          <w:szCs w:val="20"/>
          <w:color w:val="auto"/>
        </w:rPr>
      </w:pPr>
    </w:p>
    <w:p>
      <w:pPr>
        <w:ind w:right="20" w:firstLine="865"/>
        <w:spacing w:after="0" w:line="276" w:lineRule="auto"/>
        <w:rPr>
          <w:sz w:val="20"/>
          <w:szCs w:val="20"/>
          <w:color w:val="auto"/>
        </w:rPr>
      </w:pPr>
      <w:r>
        <w:rPr>
          <w:rFonts w:ascii="Arial" w:cs="Arial" w:eastAsia="Arial" w:hAnsi="Arial"/>
          <w:sz w:val="15"/>
          <w:szCs w:val="15"/>
          <w:color w:val="auto"/>
        </w:rPr>
        <w:t>Any Award, amount, or benefit received under the Plan shall be subject to potential cancellation, recoupment, rescission, payback, or other action in accordance with the terms of any applicable Company clawback policy or any applicable law, as may be in effect from time to time, including the requirements of (i) Section 304 of the Sarbanes Oxley Act and Section 954 of the Dodd-Frank Wall Street Reform and Consumer Protection Act and any implementing rules and regulations thereunder; (ii) similar rules under the laws of any other jurisdiction; and (iii) any policies adopted by the Company to implement such requirements, all to the extent determined by the Board to be applicable to the Grantee. By accepting an Award, the Grantee shall be deemed to have acknowledged and consented to the Company’s application, implementation, and enforcement of any applicable Company clawback policy that may apply to the Grantee, whether adopted prior to or following the date of the Award, and any provision of applicable law relating to cancellation, recoupment, rescission, or payback of compensation, and to have agreed that the Company may take such actions as may be necessary to effectuate any such policy or applicable law, without further consideration or action.</w:t>
      </w:r>
    </w:p>
    <w:p>
      <w:pPr>
        <w:spacing w:after="0" w:line="158" w:lineRule="exact"/>
        <w:rPr>
          <w:sz w:val="20"/>
          <w:szCs w:val="20"/>
          <w:color w:val="auto"/>
        </w:rPr>
      </w:pPr>
    </w:p>
    <w:p>
      <w:pPr>
        <w:ind w:right="160" w:firstLine="865"/>
        <w:spacing w:after="0" w:line="322" w:lineRule="auto"/>
        <w:rPr>
          <w:sz w:val="20"/>
          <w:szCs w:val="20"/>
          <w:color w:val="auto"/>
        </w:rPr>
      </w:pPr>
      <w:r>
        <w:rPr>
          <w:rFonts w:ascii="Arial" w:cs="Arial" w:eastAsia="Arial" w:hAnsi="Arial"/>
          <w:sz w:val="14"/>
          <w:szCs w:val="14"/>
          <w:color w:val="auto"/>
        </w:rPr>
        <w:t>If the Grantee breaches a non-competition, non-solicitation, non-disclosure, non-disparagement, or other restrictive covenant set forth in an Award Agreement or any other agreement between the Grantee and the Company or any Affiliate, whether during the Grantee’s Service or after the Grantee’s Separation from Service, in addition to any other penalties or restrictions that may apply under any such agreement, state law, or otherwise, the Grantee shall forfeit or pay to the Company:</w:t>
      </w:r>
    </w:p>
    <w:p>
      <w:pPr>
        <w:spacing w:after="0" w:line="127" w:lineRule="exact"/>
        <w:rPr>
          <w:sz w:val="20"/>
          <w:szCs w:val="20"/>
          <w:color w:val="auto"/>
        </w:rPr>
      </w:pPr>
    </w:p>
    <w:p>
      <w:pPr>
        <w:ind w:left="1600" w:hanging="738"/>
        <w:spacing w:after="0"/>
        <w:tabs>
          <w:tab w:leader="none" w:pos="1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and all outstanding Awards granted to the Grantee, including Awards that have become earned or vested;</w:t>
      </w:r>
    </w:p>
    <w:p>
      <w:pPr>
        <w:spacing w:after="0" w:line="203" w:lineRule="exact"/>
        <w:rPr>
          <w:rFonts w:ascii="Arial" w:cs="Arial" w:eastAsia="Arial" w:hAnsi="Arial"/>
          <w:sz w:val="16"/>
          <w:szCs w:val="16"/>
          <w:color w:val="auto"/>
        </w:rPr>
      </w:pPr>
    </w:p>
    <w:p>
      <w:pPr>
        <w:ind w:right="440" w:firstLine="862"/>
        <w:spacing w:after="0" w:line="281" w:lineRule="auto"/>
        <w:tabs>
          <w:tab w:leader="none" w:pos="16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Shares held by the Grantee in connection with the Plan that were acquired by the Grantee after the Grantee’s Separation from Service and within the 12-month period immediately preceding the Grantee’s Separation from Service; and</w:t>
      </w:r>
    </w:p>
    <w:p>
      <w:pPr>
        <w:spacing w:after="0" w:line="150" w:lineRule="exact"/>
        <w:rPr>
          <w:rFonts w:ascii="Arial" w:cs="Arial" w:eastAsia="Arial" w:hAnsi="Arial"/>
          <w:sz w:val="16"/>
          <w:szCs w:val="16"/>
          <w:color w:val="auto"/>
        </w:rPr>
      </w:pPr>
    </w:p>
    <w:p>
      <w:pPr>
        <w:ind w:right="40" w:firstLine="862"/>
        <w:spacing w:after="0" w:line="267" w:lineRule="auto"/>
        <w:tabs>
          <w:tab w:leader="none" w:pos="168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profit realized by the Grantee from the sale, or other disposition for consideration, of any Shares received by the Grantee in connection with the Plan after the Grantee’s Separation from Service, and within the 12-month period immediately preceding the Grantee’s Separation from Service where such sale or disposition occurs in such similar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97790</wp:posOffset>
            </wp:positionV>
            <wp:extent cx="718693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ind w:left="863"/>
        <w:spacing w:after="0"/>
        <w:tabs>
          <w:tab w:leader="none" w:pos="1623"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5"/>
          <w:szCs w:val="15"/>
          <w:b w:val="1"/>
          <w:bCs w:val="1"/>
          <w:color w:val="auto"/>
        </w:rPr>
        <w:t>Deferral Arrangement</w:t>
      </w:r>
    </w:p>
    <w:p>
      <w:pPr>
        <w:spacing w:after="0" w:line="208" w:lineRule="exact"/>
        <w:rPr>
          <w:sz w:val="20"/>
          <w:szCs w:val="20"/>
          <w:color w:val="auto"/>
        </w:rPr>
      </w:pPr>
    </w:p>
    <w:p>
      <w:pPr>
        <w:ind w:left="3" w:right="120" w:firstLine="865"/>
        <w:spacing w:after="0" w:line="267" w:lineRule="auto"/>
        <w:rPr>
          <w:sz w:val="20"/>
          <w:szCs w:val="20"/>
          <w:color w:val="auto"/>
        </w:rPr>
      </w:pPr>
      <w:r>
        <w:rPr>
          <w:rFonts w:ascii="Arial" w:cs="Arial" w:eastAsia="Arial" w:hAnsi="Arial"/>
          <w:sz w:val="16"/>
          <w:szCs w:val="16"/>
          <w:color w:val="auto"/>
        </w:rPr>
        <w:t>The Board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stock units.</w:t>
      </w:r>
    </w:p>
    <w:p>
      <w:pPr>
        <w:spacing w:after="0" w:line="15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5"/>
          <w:szCs w:val="15"/>
          <w:b w:val="1"/>
          <w:bCs w:val="1"/>
          <w:color w:val="auto"/>
        </w:rPr>
        <w:t>No Liability</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4"/>
          <w:szCs w:val="14"/>
          <w:color w:val="auto"/>
        </w:rPr>
        <w:t>No member of the Board or of the Committee shall be liable for any action or determination made in good faith with respect to the Plan, any Award, or Award</w:t>
      </w:r>
    </w:p>
    <w:p>
      <w:pPr>
        <w:spacing w:after="0" w:line="45" w:lineRule="exact"/>
        <w:rPr>
          <w:sz w:val="20"/>
          <w:szCs w:val="20"/>
          <w:color w:val="auto"/>
        </w:rPr>
      </w:pPr>
    </w:p>
    <w:p>
      <w:pPr>
        <w:ind w:left="3"/>
        <w:spacing w:after="0"/>
        <w:rPr>
          <w:sz w:val="20"/>
          <w:szCs w:val="20"/>
          <w:color w:val="auto"/>
        </w:rPr>
      </w:pPr>
      <w:r>
        <w:rPr>
          <w:rFonts w:ascii="Arial" w:cs="Arial" w:eastAsia="Arial" w:hAnsi="Arial"/>
          <w:sz w:val="16"/>
          <w:szCs w:val="16"/>
          <w:color w:val="auto"/>
        </w:rPr>
        <w:t>Agreement.</w:t>
      </w:r>
    </w:p>
    <w:p>
      <w:pPr>
        <w:spacing w:after="0" w:line="188" w:lineRule="exact"/>
        <w:rPr>
          <w:sz w:val="20"/>
          <w:szCs w:val="20"/>
          <w:color w:val="auto"/>
        </w:rPr>
      </w:pPr>
    </w:p>
    <w:p>
      <w:pPr>
        <w:ind w:left="703" w:hanging="703"/>
        <w:spacing w:after="0"/>
        <w:tabs>
          <w:tab w:leader="none" w:pos="703"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SHARES SUBJECT TO THE PLAN</w:t>
      </w:r>
    </w:p>
    <w:p>
      <w:pPr>
        <w:spacing w:after="0" w:line="208" w:lineRule="exact"/>
        <w:rPr>
          <w:sz w:val="20"/>
          <w:szCs w:val="20"/>
          <w:color w:val="auto"/>
        </w:rPr>
      </w:pPr>
    </w:p>
    <w:p>
      <w:pPr>
        <w:ind w:left="3" w:right="60" w:firstLine="865"/>
        <w:spacing w:after="0" w:line="311" w:lineRule="auto"/>
        <w:rPr>
          <w:sz w:val="20"/>
          <w:szCs w:val="20"/>
          <w:color w:val="auto"/>
        </w:rPr>
      </w:pPr>
      <w:r>
        <w:rPr>
          <w:rFonts w:ascii="Arial" w:cs="Arial" w:eastAsia="Arial" w:hAnsi="Arial"/>
          <w:sz w:val="14"/>
          <w:szCs w:val="14"/>
          <w:color w:val="auto"/>
        </w:rPr>
        <w:t>Subject to adjustment under Section 10, the aggregate number of Shares available for the grant of Awards shall be increased by an additional 1,700,000 Shares, for a total of 5,110,104. In the event that Shares previously issued under the Plan on or after the Prior Amendment Date are reacquired by the Company pursuant to a forfeiture provision, or repurchase by the Company, such Shares shall be added to the number of Shares then available for issuance under the Plan. Shares issued under the Plan may consist in whole or in part of authorized but unissued Shares, treasury Shares, or Shares purchased on the open market or otherwise.</w:t>
      </w:r>
    </w:p>
    <w:p>
      <w:pPr>
        <w:spacing w:after="0" w:line="131" w:lineRule="exact"/>
        <w:rPr>
          <w:sz w:val="20"/>
          <w:szCs w:val="20"/>
          <w:color w:val="auto"/>
        </w:rPr>
      </w:pPr>
    </w:p>
    <w:p>
      <w:pPr>
        <w:ind w:left="703" w:hanging="703"/>
        <w:spacing w:after="0"/>
        <w:tabs>
          <w:tab w:leader="none" w:pos="703"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EFFECTIVE DATE, DURATION AND AMENDMENTS</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5"/>
          <w:szCs w:val="15"/>
          <w:b w:val="1"/>
          <w:bCs w:val="1"/>
          <w:color w:val="auto"/>
        </w:rPr>
        <w:t>Term</w:t>
      </w:r>
    </w:p>
    <w:p>
      <w:pPr>
        <w:spacing w:after="0" w:line="208" w:lineRule="exact"/>
        <w:rPr>
          <w:sz w:val="20"/>
          <w:szCs w:val="20"/>
          <w:color w:val="auto"/>
        </w:rPr>
      </w:pPr>
    </w:p>
    <w:p>
      <w:pPr>
        <w:ind w:left="3" w:right="440" w:firstLine="865"/>
        <w:spacing w:after="0" w:line="281" w:lineRule="auto"/>
        <w:rPr>
          <w:sz w:val="20"/>
          <w:szCs w:val="20"/>
          <w:color w:val="auto"/>
        </w:rPr>
      </w:pPr>
      <w:r>
        <w:rPr>
          <w:rFonts w:ascii="Arial" w:cs="Arial" w:eastAsia="Arial" w:hAnsi="Arial"/>
          <w:sz w:val="16"/>
          <w:szCs w:val="16"/>
          <w:color w:val="auto"/>
        </w:rPr>
        <w:t>The Plan shall be effective as of the Effective Date, provided that it has been approved by the Stockholders. The Plan shall terminate automatically on the Termination Date and may be terminated on any earlier date as provided in Section 5.2.</w:t>
      </w:r>
    </w:p>
    <w:p>
      <w:pPr>
        <w:spacing w:after="0" w:line="14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4"/>
          <w:szCs w:val="14"/>
          <w:b w:val="1"/>
          <w:bCs w:val="1"/>
          <w:color w:val="auto"/>
        </w:rPr>
        <w:t>Amendment and Termination of the Plan</w:t>
      </w:r>
    </w:p>
    <w:p>
      <w:pPr>
        <w:spacing w:after="0" w:line="208" w:lineRule="exact"/>
        <w:rPr>
          <w:sz w:val="20"/>
          <w:szCs w:val="20"/>
          <w:color w:val="auto"/>
        </w:rPr>
      </w:pPr>
    </w:p>
    <w:p>
      <w:pPr>
        <w:ind w:left="3" w:firstLine="865"/>
        <w:spacing w:after="0" w:line="281" w:lineRule="auto"/>
        <w:rPr>
          <w:sz w:val="20"/>
          <w:szCs w:val="20"/>
          <w:color w:val="auto"/>
        </w:rPr>
      </w:pPr>
      <w:r>
        <w:rPr>
          <w:rFonts w:ascii="Arial" w:cs="Arial" w:eastAsia="Arial" w:hAnsi="Arial"/>
          <w:sz w:val="15"/>
          <w:szCs w:val="15"/>
          <w:color w:val="auto"/>
        </w:rPr>
        <w:t>The Board may, at any time and from time to time, amend, suspend, or terminate the Plan as to any Awards that have not been made. An amendment shall be contingent on approval of the Stockholders to the extent stated by the Board, required by applicable law, or required by applicable securities exchange listing requirements. No Awards shall be made after the Termination Date. The applicable terms and conditions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w:t>
      </w:r>
    </w:p>
    <w:p>
      <w:pPr>
        <w:spacing w:after="0" w:line="149" w:lineRule="exact"/>
        <w:rPr>
          <w:sz w:val="20"/>
          <w:szCs w:val="20"/>
          <w:color w:val="auto"/>
        </w:rPr>
      </w:pPr>
    </w:p>
    <w:p>
      <w:pPr>
        <w:ind w:left="703" w:hanging="703"/>
        <w:spacing w:after="0"/>
        <w:tabs>
          <w:tab w:leader="none" w:pos="703"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AWARD ELIGIBILITY</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Awards may be made to any Service Provider as the Committee shall determine and designate from time to time.</w:t>
      </w:r>
    </w:p>
    <w:p>
      <w:pPr>
        <w:spacing w:after="0" w:line="200" w:lineRule="exact"/>
        <w:rPr>
          <w:sz w:val="20"/>
          <w:szCs w:val="20"/>
          <w:color w:val="auto"/>
        </w:rPr>
      </w:pPr>
    </w:p>
    <w:p>
      <w:pPr>
        <w:ind w:left="703" w:hanging="703"/>
        <w:spacing w:after="0"/>
        <w:tabs>
          <w:tab w:leader="none" w:pos="703"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AWARD AGREEMENT</w:t>
      </w:r>
    </w:p>
    <w:p>
      <w:pPr>
        <w:spacing w:after="0" w:line="208" w:lineRule="exact"/>
        <w:rPr>
          <w:sz w:val="20"/>
          <w:szCs w:val="20"/>
          <w:color w:val="auto"/>
        </w:rPr>
      </w:pPr>
    </w:p>
    <w:p>
      <w:pPr>
        <w:ind w:left="3" w:right="80" w:firstLine="865"/>
        <w:spacing w:after="0" w:line="267" w:lineRule="auto"/>
        <w:rPr>
          <w:sz w:val="20"/>
          <w:szCs w:val="20"/>
          <w:color w:val="auto"/>
        </w:rPr>
      </w:pPr>
      <w:r>
        <w:rPr>
          <w:rFonts w:ascii="Arial" w:cs="Arial" w:eastAsia="Arial" w:hAnsi="Arial"/>
          <w:sz w:val="16"/>
          <w:szCs w:val="16"/>
          <w:color w:val="auto"/>
        </w:rPr>
        <w:t>The grant of any Award may be contingent upon the Grantee executing an Award Agreement. Without limiting the foregoing, an Award Agreement may be provided in the form of a notice which provides that acceptance of the Award constitutes acceptance of all terms of the Plan and the notice. Award Agreements granted from time to time or at the same time need not contain similar provisions but shall be consistent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97790</wp:posOffset>
            </wp:positionV>
            <wp:extent cx="718693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23"/>
          </w:cols>
          <w:pgMar w:left="317" w:top="123" w:right="359" w:bottom="1440" w:gutter="0" w:footer="0" w:header="0"/>
        </w:sectPr>
      </w:pPr>
    </w:p>
    <w:bookmarkStart w:id="83" w:name="page84"/>
    <w:bookmarkEnd w:id="83"/>
    <w:p>
      <w:pPr>
        <w:ind w:left="703" w:hanging="703"/>
        <w:spacing w:after="0"/>
        <w:tabs>
          <w:tab w:leader="none" w:pos="703"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TERMS AND CONDITIONS OF PERFORMANCE SHARE UNITS</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4"/>
          <w:szCs w:val="14"/>
          <w:b w:val="1"/>
          <w:bCs w:val="1"/>
          <w:color w:val="auto"/>
        </w:rPr>
        <w:t>Performance Measures and Terms and Conditions</w:t>
      </w:r>
    </w:p>
    <w:p>
      <w:pPr>
        <w:spacing w:after="0" w:line="208" w:lineRule="exact"/>
        <w:rPr>
          <w:sz w:val="20"/>
          <w:szCs w:val="20"/>
          <w:color w:val="auto"/>
        </w:rPr>
      </w:pPr>
    </w:p>
    <w:p>
      <w:pPr>
        <w:ind w:left="3" w:right="100" w:firstLine="865"/>
        <w:spacing w:after="0" w:line="267" w:lineRule="auto"/>
        <w:rPr>
          <w:sz w:val="20"/>
          <w:szCs w:val="20"/>
          <w:color w:val="auto"/>
        </w:rPr>
      </w:pPr>
      <w:r>
        <w:rPr>
          <w:rFonts w:ascii="Arial" w:cs="Arial" w:eastAsia="Arial" w:hAnsi="Arial"/>
          <w:sz w:val="16"/>
          <w:szCs w:val="16"/>
          <w:color w:val="auto"/>
        </w:rPr>
        <w:t>Performance Share Units shall be eligible to become earned during an applicable performance period based upon the applicable Performance Metric chosen by the Board. At the time of grant, the Board may establish a period of time and any additional terms and conditions applicable to Performance Share Units. Each Award may use different Performance Metrics.</w:t>
      </w:r>
    </w:p>
    <w:p>
      <w:pPr>
        <w:spacing w:after="0" w:line="157" w:lineRule="exact"/>
        <w:rPr>
          <w:sz w:val="20"/>
          <w:szCs w:val="20"/>
          <w:color w:val="auto"/>
        </w:rPr>
      </w:pPr>
    </w:p>
    <w:tbl>
      <w:tblPr>
        <w:tblLayout w:type="fixed"/>
        <w:tblInd w:w="863" w:type="dxa"/>
        <w:tblCellMar>
          <w:top w:w="0" w:type="dxa"/>
          <w:left w:w="0" w:type="dxa"/>
          <w:bottom w:w="0" w:type="dxa"/>
          <w:right w:w="0" w:type="dxa"/>
        </w:tblCellMar>
      </w:tblPr>
      <w:tr>
        <w:trPr>
          <w:trHeight w:val="210"/>
        </w:trPr>
        <w:tc>
          <w:tcPr>
            <w:tcW w:w="500" w:type="dxa"/>
            <w:vAlign w:val="bottom"/>
          </w:tcPr>
          <w:p>
            <w:pPr>
              <w:jc w:val="right"/>
              <w:ind w:right="219"/>
              <w:spacing w:after="0"/>
              <w:rPr>
                <w:sz w:val="20"/>
                <w:szCs w:val="20"/>
                <w:color w:val="auto"/>
              </w:rPr>
            </w:pPr>
            <w:r>
              <w:rPr>
                <w:rFonts w:ascii="Arial" w:cs="Arial" w:eastAsia="Arial" w:hAnsi="Arial"/>
                <w:sz w:val="16"/>
                <w:szCs w:val="16"/>
                <w:b w:val="1"/>
                <w:bCs w:val="1"/>
                <w:color w:val="auto"/>
                <w:w w:val="80"/>
              </w:rPr>
              <w:t>8.2</w:t>
            </w:r>
          </w:p>
        </w:tc>
        <w:tc>
          <w:tcPr>
            <w:tcW w:w="3900" w:type="dxa"/>
            <w:vAlign w:val="bottom"/>
            <w:gridSpan w:val="2"/>
          </w:tcPr>
          <w:p>
            <w:pPr>
              <w:ind w:left="280"/>
              <w:spacing w:after="0"/>
              <w:rPr>
                <w:sz w:val="20"/>
                <w:szCs w:val="20"/>
                <w:color w:val="auto"/>
              </w:rPr>
            </w:pPr>
            <w:r>
              <w:rPr>
                <w:rFonts w:ascii="Arial" w:cs="Arial" w:eastAsia="Arial" w:hAnsi="Arial"/>
                <w:sz w:val="16"/>
                <w:szCs w:val="16"/>
                <w:b w:val="1"/>
                <w:bCs w:val="1"/>
                <w:color w:val="auto"/>
              </w:rPr>
              <w:t>Rights of Holders of Performance Share Units</w:t>
            </w:r>
          </w:p>
        </w:tc>
      </w:tr>
      <w:tr>
        <w:trPr>
          <w:trHeight w:val="388"/>
        </w:trPr>
        <w:tc>
          <w:tcPr>
            <w:tcW w:w="50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8.2.1</w:t>
            </w:r>
          </w:p>
        </w:tc>
        <w:tc>
          <w:tcPr>
            <w:tcW w:w="2980" w:type="dxa"/>
            <w:vAlign w:val="bottom"/>
          </w:tcPr>
          <w:p>
            <w:pPr>
              <w:ind w:left="280"/>
              <w:spacing w:after="0"/>
              <w:rPr>
                <w:sz w:val="20"/>
                <w:szCs w:val="20"/>
                <w:color w:val="auto"/>
              </w:rPr>
            </w:pPr>
            <w:r>
              <w:rPr>
                <w:rFonts w:ascii="Arial" w:cs="Arial" w:eastAsia="Arial" w:hAnsi="Arial"/>
                <w:sz w:val="16"/>
                <w:szCs w:val="16"/>
                <w:b w:val="1"/>
                <w:bCs w:val="1"/>
                <w:color w:val="auto"/>
                <w:w w:val="90"/>
              </w:rPr>
              <w:t>Settlement of Performance Share Units</w:t>
            </w:r>
          </w:p>
        </w:tc>
      </w:tr>
    </w:tbl>
    <w:p>
      <w:pPr>
        <w:spacing w:after="0" w:line="182" w:lineRule="exact"/>
        <w:rPr>
          <w:sz w:val="20"/>
          <w:szCs w:val="20"/>
          <w:color w:val="auto"/>
        </w:rPr>
      </w:pPr>
    </w:p>
    <w:p>
      <w:pPr>
        <w:ind w:left="863"/>
        <w:spacing w:after="0"/>
        <w:rPr>
          <w:sz w:val="20"/>
          <w:szCs w:val="20"/>
          <w:color w:val="auto"/>
        </w:rPr>
      </w:pPr>
      <w:r>
        <w:rPr>
          <w:rFonts w:ascii="Arial" w:cs="Arial" w:eastAsia="Arial" w:hAnsi="Arial"/>
          <w:sz w:val="16"/>
          <w:szCs w:val="16"/>
          <w:color w:val="auto"/>
        </w:rPr>
        <w:t>Performance Share Units shall be settled in Shares in accordance with the terms of the applicable Award Agreement.</w:t>
      </w:r>
    </w:p>
    <w:p>
      <w:pPr>
        <w:spacing w:after="0" w:line="200" w:lineRule="exact"/>
        <w:rPr>
          <w:sz w:val="20"/>
          <w:szCs w:val="20"/>
          <w:color w:val="auto"/>
        </w:rPr>
      </w:pPr>
    </w:p>
    <w:p>
      <w:pPr>
        <w:ind w:left="1663"/>
        <w:spacing w:after="0"/>
        <w:tabs>
          <w:tab w:leader="none" w:pos="2543" w:val="left"/>
        </w:tabs>
        <w:rPr>
          <w:sz w:val="20"/>
          <w:szCs w:val="20"/>
          <w:color w:val="auto"/>
        </w:rPr>
      </w:pPr>
      <w:r>
        <w:rPr>
          <w:rFonts w:ascii="Arial" w:cs="Arial" w:eastAsia="Arial" w:hAnsi="Arial"/>
          <w:sz w:val="16"/>
          <w:szCs w:val="16"/>
          <w:b w:val="1"/>
          <w:bCs w:val="1"/>
          <w:color w:val="auto"/>
        </w:rPr>
        <w:t>8.2.2</w:t>
      </w:r>
      <w:r>
        <w:rPr>
          <w:sz w:val="20"/>
          <w:szCs w:val="20"/>
          <w:color w:val="auto"/>
        </w:rPr>
        <w:tab/>
      </w:r>
      <w:r>
        <w:rPr>
          <w:rFonts w:ascii="Arial" w:cs="Arial" w:eastAsia="Arial" w:hAnsi="Arial"/>
          <w:sz w:val="14"/>
          <w:szCs w:val="14"/>
          <w:b w:val="1"/>
          <w:bCs w:val="1"/>
          <w:color w:val="auto"/>
        </w:rPr>
        <w:t>Voting and Dividend Rights</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6"/>
          <w:szCs w:val="16"/>
          <w:color w:val="auto"/>
        </w:rPr>
        <w:t>Holders of Performance Share Units shall not have rights as Stockholders, including voting or dividend or dividend equivalent rights.</w:t>
      </w:r>
    </w:p>
    <w:p>
      <w:pPr>
        <w:spacing w:after="0" w:line="200" w:lineRule="exact"/>
        <w:rPr>
          <w:sz w:val="20"/>
          <w:szCs w:val="20"/>
          <w:color w:val="auto"/>
        </w:rPr>
      </w:pPr>
    </w:p>
    <w:p>
      <w:pPr>
        <w:ind w:left="1663"/>
        <w:spacing w:after="0"/>
        <w:tabs>
          <w:tab w:leader="none" w:pos="2543" w:val="left"/>
        </w:tabs>
        <w:rPr>
          <w:sz w:val="20"/>
          <w:szCs w:val="20"/>
          <w:color w:val="auto"/>
        </w:rPr>
      </w:pPr>
      <w:r>
        <w:rPr>
          <w:rFonts w:ascii="Arial" w:cs="Arial" w:eastAsia="Arial" w:hAnsi="Arial"/>
          <w:sz w:val="16"/>
          <w:szCs w:val="16"/>
          <w:b w:val="1"/>
          <w:bCs w:val="1"/>
          <w:color w:val="auto"/>
        </w:rPr>
        <w:t>8.2.3</w:t>
      </w:r>
      <w:r>
        <w:rPr>
          <w:sz w:val="20"/>
          <w:szCs w:val="20"/>
          <w:color w:val="auto"/>
        </w:rPr>
        <w:tab/>
      </w:r>
      <w:r>
        <w:rPr>
          <w:rFonts w:ascii="Arial" w:cs="Arial" w:eastAsia="Arial" w:hAnsi="Arial"/>
          <w:sz w:val="14"/>
          <w:szCs w:val="14"/>
          <w:b w:val="1"/>
          <w:bCs w:val="1"/>
          <w:color w:val="auto"/>
        </w:rPr>
        <w:t>Creditor’s Rights</w:t>
      </w:r>
    </w:p>
    <w:p>
      <w:pPr>
        <w:spacing w:after="0" w:line="208" w:lineRule="exact"/>
        <w:rPr>
          <w:sz w:val="20"/>
          <w:szCs w:val="20"/>
          <w:color w:val="auto"/>
        </w:rPr>
      </w:pPr>
    </w:p>
    <w:p>
      <w:pPr>
        <w:ind w:left="3" w:firstLine="865"/>
        <w:spacing w:after="0" w:line="281" w:lineRule="auto"/>
        <w:rPr>
          <w:sz w:val="20"/>
          <w:szCs w:val="20"/>
          <w:color w:val="auto"/>
        </w:rPr>
      </w:pPr>
      <w:r>
        <w:rPr>
          <w:rFonts w:ascii="Arial" w:cs="Arial" w:eastAsia="Arial" w:hAnsi="Arial"/>
          <w:sz w:val="16"/>
          <w:szCs w:val="16"/>
          <w:color w:val="auto"/>
        </w:rPr>
        <w:t>A holder of Performance Share Units shall have no rights other than those of a general creditor of the Company. Performance Share Units represent an unfunded and unsecured obligation of the Company, subject to the terms and conditions of the Plan and the applicable Award Agreement.</w:t>
      </w:r>
    </w:p>
    <w:p>
      <w:pPr>
        <w:spacing w:after="0" w:line="14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auto"/>
        </w:rPr>
        <w:t>8.3</w:t>
      </w:r>
      <w:r>
        <w:rPr>
          <w:sz w:val="20"/>
          <w:szCs w:val="20"/>
          <w:color w:val="auto"/>
        </w:rPr>
        <w:tab/>
      </w:r>
      <w:r>
        <w:rPr>
          <w:rFonts w:ascii="Arial" w:cs="Arial" w:eastAsia="Arial" w:hAnsi="Arial"/>
          <w:sz w:val="14"/>
          <w:szCs w:val="14"/>
          <w:b w:val="1"/>
          <w:bCs w:val="1"/>
          <w:color w:val="auto"/>
        </w:rPr>
        <w:t>Delivery of Shares</w:t>
      </w:r>
    </w:p>
    <w:p>
      <w:pPr>
        <w:spacing w:after="0" w:line="208" w:lineRule="exact"/>
        <w:rPr>
          <w:sz w:val="20"/>
          <w:szCs w:val="20"/>
          <w:color w:val="auto"/>
        </w:rPr>
      </w:pPr>
    </w:p>
    <w:p>
      <w:pPr>
        <w:ind w:left="3" w:right="40" w:firstLine="865"/>
        <w:spacing w:after="0" w:line="267" w:lineRule="auto"/>
        <w:rPr>
          <w:sz w:val="20"/>
          <w:szCs w:val="20"/>
          <w:color w:val="auto"/>
        </w:rPr>
      </w:pPr>
      <w:r>
        <w:rPr>
          <w:rFonts w:ascii="Arial" w:cs="Arial" w:eastAsia="Arial" w:hAnsi="Arial"/>
          <w:sz w:val="16"/>
          <w:szCs w:val="16"/>
          <w:color w:val="auto"/>
        </w:rPr>
        <w:t>Upon the satisfaction of all applicable terms and conditions prescribed by the Board, the restrictions applicable to Performance Share shall lapse, and a stock certificate for such Shares shall be delivered, free of all such restrictions, to the Grantee or the Grantee’s beneficiary or estate, as the case may be; provided, however, that the Company may elect to satisfy any requirement for the delivery of stock certificates through the use of book entry.</w:t>
      </w:r>
    </w:p>
    <w:p>
      <w:pPr>
        <w:spacing w:after="0" w:line="157"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auto"/>
        </w:rPr>
        <w:t>8.4</w:t>
      </w:r>
      <w:r>
        <w:rPr>
          <w:sz w:val="20"/>
          <w:szCs w:val="20"/>
          <w:color w:val="auto"/>
        </w:rPr>
        <w:tab/>
      </w:r>
      <w:r>
        <w:rPr>
          <w:rFonts w:ascii="Arial" w:cs="Arial" w:eastAsia="Arial" w:hAnsi="Arial"/>
          <w:sz w:val="14"/>
          <w:szCs w:val="14"/>
          <w:b w:val="1"/>
          <w:bCs w:val="1"/>
          <w:color w:val="auto"/>
        </w:rPr>
        <w:t>Maximum number of Performance Share Units</w:t>
      </w:r>
    </w:p>
    <w:p>
      <w:pPr>
        <w:spacing w:after="0" w:line="208" w:lineRule="exact"/>
        <w:rPr>
          <w:sz w:val="20"/>
          <w:szCs w:val="20"/>
          <w:color w:val="auto"/>
        </w:rPr>
      </w:pPr>
    </w:p>
    <w:p>
      <w:pPr>
        <w:ind w:left="863"/>
        <w:spacing w:after="0"/>
        <w:rPr>
          <w:sz w:val="20"/>
          <w:szCs w:val="20"/>
          <w:color w:val="auto"/>
        </w:rPr>
      </w:pPr>
      <w:r>
        <w:rPr>
          <w:rFonts w:ascii="Arial" w:cs="Arial" w:eastAsia="Arial" w:hAnsi="Arial"/>
          <w:sz w:val="14"/>
          <w:szCs w:val="14"/>
          <w:color w:val="auto"/>
        </w:rPr>
        <w:t>The maximum number of Shares that may be subject to Performance Share Units that are granted to any one Grantee during any calendar year shall be 639,075.</w:t>
      </w:r>
    </w:p>
    <w:p>
      <w:pPr>
        <w:spacing w:after="0" w:line="223" w:lineRule="exact"/>
        <w:rPr>
          <w:sz w:val="20"/>
          <w:szCs w:val="20"/>
          <w:color w:val="auto"/>
        </w:rPr>
      </w:pPr>
    </w:p>
    <w:p>
      <w:pPr>
        <w:ind w:left="703" w:hanging="703"/>
        <w:spacing w:after="0"/>
        <w:tabs>
          <w:tab w:leader="none" w:pos="703"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REQUIREMENTS OF LAW</w:t>
      </w:r>
    </w:p>
    <w:p>
      <w:pPr>
        <w:spacing w:after="0" w:line="204"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auto"/>
        </w:rPr>
        <w:t>9.1</w:t>
      </w:r>
      <w:r>
        <w:rPr>
          <w:sz w:val="20"/>
          <w:szCs w:val="20"/>
          <w:color w:val="auto"/>
        </w:rPr>
        <w:tab/>
      </w:r>
      <w:r>
        <w:rPr>
          <w:rFonts w:ascii="Arial" w:cs="Arial" w:eastAsia="Arial" w:hAnsi="Arial"/>
          <w:sz w:val="15"/>
          <w:szCs w:val="15"/>
          <w:b w:val="1"/>
          <w:bCs w:val="1"/>
          <w:color w:val="auto"/>
        </w:rPr>
        <w:t>General</w:t>
      </w:r>
    </w:p>
    <w:p>
      <w:pPr>
        <w:spacing w:after="0" w:line="208" w:lineRule="exact"/>
        <w:rPr>
          <w:sz w:val="20"/>
          <w:szCs w:val="20"/>
          <w:color w:val="auto"/>
        </w:rPr>
      </w:pPr>
    </w:p>
    <w:p>
      <w:pPr>
        <w:ind w:left="3" w:right="120" w:firstLine="865"/>
        <w:spacing w:after="0" w:line="278" w:lineRule="auto"/>
        <w:rPr>
          <w:sz w:val="20"/>
          <w:szCs w:val="20"/>
          <w:color w:val="auto"/>
        </w:rPr>
      </w:pPr>
      <w:r>
        <w:rPr>
          <w:rFonts w:ascii="Arial" w:cs="Arial" w:eastAsia="Arial" w:hAnsi="Arial"/>
          <w:sz w:val="15"/>
          <w:szCs w:val="15"/>
          <w:color w:val="auto"/>
        </w:rPr>
        <w:t>The Company shall not be required to issue Shares under any Award if the issuance of such Shares would constitute a violation by the Grantee, any other person, or the Company of any provision of any law or regulation of any governmental authority, including any federal or state securities laws or regulations. If at any time the Company determines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person pursuant to such Award unless such listing, registration, qualification, consent, or approval shall have been effected or obtained free of any conditions not acceptable to the Company, and any delay caused thereby shall in no way affect the date of termination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718693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123" w:right="339" w:bottom="1440" w:gutter="0" w:footer="0" w:header="0"/>
        </w:sectPr>
      </w:pPr>
    </w:p>
    <w:bookmarkStart w:id="84" w:name="page85"/>
    <w:bookmarkEnd w:id="84"/>
    <w:p>
      <w:pPr>
        <w:ind w:left="3" w:firstLine="865"/>
        <w:spacing w:after="0" w:line="281" w:lineRule="auto"/>
        <w:rPr>
          <w:sz w:val="20"/>
          <w:szCs w:val="20"/>
          <w:color w:val="auto"/>
        </w:rPr>
      </w:pPr>
      <w:r>
        <w:rPr>
          <w:rFonts w:ascii="Arial" w:cs="Arial" w:eastAsia="Arial" w:hAnsi="Arial"/>
          <w:sz w:val="15"/>
          <w:szCs w:val="15"/>
          <w:color w:val="auto"/>
        </w:rPr>
        <w:t>Specifically, in connection with the Securities Act, upon the delivery of any Shares underlying an Award, unless a registration statement under such Act is in effect with respect to the Shares covered by such Award, the Company shall not be required to sell or issue such Shares unless the Board has received evidence satisfactory to it that the Grantee or other person may acquire such Shares pursuant to an exemption from registration under the Securities Act. The Company may, but shall in no event be obligated to, register any securities covered hereby pursuant to the Securities Act. The Company shall not be obligated to take any affirmative action in order to cause the issuance of Shares pursuant to the Plan to comply with any law or regulation of any governmental authority.</w:t>
      </w:r>
    </w:p>
    <w:p>
      <w:pPr>
        <w:spacing w:after="0" w:line="149" w:lineRule="exact"/>
        <w:rPr>
          <w:sz w:val="20"/>
          <w:szCs w:val="20"/>
          <w:color w:val="auto"/>
        </w:rPr>
      </w:pPr>
    </w:p>
    <w:p>
      <w:pPr>
        <w:ind w:left="863"/>
        <w:spacing w:after="0"/>
        <w:tabs>
          <w:tab w:leader="none" w:pos="1623" w:val="left"/>
        </w:tabs>
        <w:rPr>
          <w:sz w:val="20"/>
          <w:szCs w:val="20"/>
          <w:color w:val="auto"/>
        </w:rPr>
      </w:pPr>
      <w:r>
        <w:rPr>
          <w:rFonts w:ascii="Arial" w:cs="Arial" w:eastAsia="Arial" w:hAnsi="Arial"/>
          <w:sz w:val="16"/>
          <w:szCs w:val="16"/>
          <w:b w:val="1"/>
          <w:bCs w:val="1"/>
          <w:color w:val="auto"/>
        </w:rPr>
        <w:t>9.2</w:t>
      </w:r>
      <w:r>
        <w:rPr>
          <w:sz w:val="20"/>
          <w:szCs w:val="20"/>
          <w:color w:val="auto"/>
        </w:rPr>
        <w:tab/>
      </w:r>
      <w:r>
        <w:rPr>
          <w:rFonts w:ascii="Arial" w:cs="Arial" w:eastAsia="Arial" w:hAnsi="Arial"/>
          <w:sz w:val="15"/>
          <w:szCs w:val="15"/>
          <w:b w:val="1"/>
          <w:bCs w:val="1"/>
          <w:color w:val="auto"/>
        </w:rPr>
        <w:t>Rule 16b-3</w:t>
      </w:r>
    </w:p>
    <w:p>
      <w:pPr>
        <w:spacing w:after="0" w:line="208" w:lineRule="exact"/>
        <w:rPr>
          <w:sz w:val="20"/>
          <w:szCs w:val="20"/>
          <w:color w:val="auto"/>
        </w:rPr>
      </w:pPr>
    </w:p>
    <w:p>
      <w:pPr>
        <w:ind w:left="3" w:right="40" w:firstLine="865"/>
        <w:spacing w:after="0" w:line="281" w:lineRule="auto"/>
        <w:rPr>
          <w:sz w:val="20"/>
          <w:szCs w:val="20"/>
          <w:color w:val="auto"/>
        </w:rPr>
      </w:pPr>
      <w:r>
        <w:rPr>
          <w:rFonts w:ascii="Arial" w:cs="Arial" w:eastAsia="Arial" w:hAnsi="Arial"/>
          <w:sz w:val="15"/>
          <w:szCs w:val="15"/>
          <w:color w:val="auto"/>
        </w:rPr>
        <w:t>During any time when the Company has a class of equity security registered under Section 12 of the Exchange Act, it is the intent of the Company that Awards granted to officers and directors will qualify for the exemption provided by Rule 16b-3 under the Exchange Act. To the extent that any provision of the Plan or action by the Board or Committee does not comply with the requirements of Rule 16b-3, it shall be deemed inoperative to the extent permitted by law and deemed advisable by the Board, and shall not affect the validity of the Plan. In the event that Rule 16b-3 is revised or replaced, the Board may modify the Plan in any respect necessary to satisfy the requirements of, or to take advantage of any features of, the revised exemption or its replacement.</w:t>
      </w:r>
    </w:p>
    <w:p>
      <w:pPr>
        <w:spacing w:after="0" w:line="149" w:lineRule="exact"/>
        <w:rPr>
          <w:sz w:val="20"/>
          <w:szCs w:val="20"/>
          <w:color w:val="auto"/>
        </w:rPr>
      </w:pPr>
    </w:p>
    <w:p>
      <w:pPr>
        <w:ind w:left="783" w:hanging="783"/>
        <w:spacing w:after="0"/>
        <w:tabs>
          <w:tab w:leader="none" w:pos="783"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EFFECT OF CHANGES IN CAPITALIZATION</w:t>
      </w:r>
    </w:p>
    <w:p>
      <w:pPr>
        <w:spacing w:after="0" w:line="20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4"/>
          <w:szCs w:val="14"/>
          <w:b w:val="1"/>
          <w:bCs w:val="1"/>
          <w:color w:val="auto"/>
        </w:rPr>
        <w:t>Adjustments for Changes in Capital Structure</w:t>
      </w:r>
    </w:p>
    <w:p>
      <w:pPr>
        <w:spacing w:after="0" w:line="208" w:lineRule="exact"/>
        <w:rPr>
          <w:sz w:val="20"/>
          <w:szCs w:val="20"/>
          <w:color w:val="auto"/>
        </w:rPr>
      </w:pPr>
    </w:p>
    <w:p>
      <w:pPr>
        <w:ind w:left="3" w:firstLine="865"/>
        <w:spacing w:after="0" w:line="273" w:lineRule="auto"/>
        <w:rPr>
          <w:sz w:val="20"/>
          <w:szCs w:val="20"/>
          <w:color w:val="auto"/>
        </w:rPr>
      </w:pPr>
      <w:r>
        <w:rPr>
          <w:rFonts w:ascii="Arial" w:cs="Arial" w:eastAsia="Arial" w:hAnsi="Arial"/>
          <w:sz w:val="15"/>
          <w:szCs w:val="15"/>
          <w:color w:val="auto"/>
        </w:rPr>
        <w:t>Subject to any required action by the Stockholders, in the event of any change in the Shares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in a form other than Shares (excepting normal cash dividends) that has a material effect on the Fair Market Value of Shares, appropriate and proportionate adjustments shall be made in the number and class of Shares subject to the Plan and to any outstanding Awards in order to prevent dilution or enlargement of Grantees’ rights under the Plan. For purposes of the foregoing, conversion of any convertible securities of the Company shall not be treated as “effected without receipt of consideration by the Company.” If a majority of the Shares that are of the same class as the Shares that are subject to outstanding Awards are exchanged for, converted into, or otherwise become (whether or not pursuant to a Change in Control) shares of another corporation (the “New Shares”), the Board may unilaterally amend the outstanding Awards to provide that such Awards are for New Shares. In the event of any such amendment, the number of shares subject to the outstanding Awards and the outstanding Awards shall be adjusted by the Board in a fair and equitable manner. The Board may also make such adjustments in the terms of any Award to reflect, or related to, such changes in the capital structure of the Company or distributions as it deems appropriate. Adjustments determined by the Board pursuant to this Section 10.1 shall be made in accordance with Section 409A to the extent applicable.</w:t>
      </w:r>
    </w:p>
    <w:p>
      <w:pPr>
        <w:spacing w:after="0" w:line="161" w:lineRule="exact"/>
        <w:rPr>
          <w:sz w:val="20"/>
          <w:szCs w:val="20"/>
          <w:color w:val="auto"/>
        </w:rPr>
      </w:pPr>
    </w:p>
    <w:tbl>
      <w:tblPr>
        <w:tblLayout w:type="fixed"/>
        <w:tblInd w:w="863" w:type="dxa"/>
        <w:tblCellMar>
          <w:top w:w="0" w:type="dxa"/>
          <w:left w:w="0" w:type="dxa"/>
          <w:bottom w:w="0" w:type="dxa"/>
          <w:right w:w="0" w:type="dxa"/>
        </w:tblCellMar>
      </w:tblPr>
      <w:tr>
        <w:trPr>
          <w:trHeight w:val="210"/>
        </w:trPr>
        <w:tc>
          <w:tcPr>
            <w:tcW w:w="580" w:type="dxa"/>
            <w:vAlign w:val="bottom"/>
          </w:tcPr>
          <w:p>
            <w:pPr>
              <w:jc w:val="right"/>
              <w:ind w:right="219"/>
              <w:spacing w:after="0"/>
              <w:rPr>
                <w:sz w:val="20"/>
                <w:szCs w:val="20"/>
                <w:color w:val="auto"/>
              </w:rPr>
            </w:pPr>
            <w:r>
              <w:rPr>
                <w:rFonts w:ascii="Arial" w:cs="Arial" w:eastAsia="Arial" w:hAnsi="Arial"/>
                <w:sz w:val="16"/>
                <w:szCs w:val="16"/>
                <w:b w:val="1"/>
                <w:bCs w:val="1"/>
                <w:color w:val="auto"/>
                <w:w w:val="83"/>
              </w:rPr>
              <w:t>10.2</w:t>
            </w:r>
          </w:p>
        </w:tc>
        <w:tc>
          <w:tcPr>
            <w:tcW w:w="386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 in Control</w:t>
            </w:r>
          </w:p>
        </w:tc>
      </w:tr>
      <w:tr>
        <w:trPr>
          <w:trHeight w:val="388"/>
        </w:trPr>
        <w:tc>
          <w:tcPr>
            <w:tcW w:w="580" w:type="dxa"/>
            <w:vAlign w:val="bottom"/>
          </w:tcPr>
          <w:p>
            <w:pPr>
              <w:spacing w:after="0"/>
              <w:rPr>
                <w:sz w:val="24"/>
                <w:szCs w:val="24"/>
                <w:color w:val="auto"/>
              </w:rPr>
            </w:pPr>
          </w:p>
        </w:tc>
        <w:tc>
          <w:tcPr>
            <w:tcW w:w="980" w:type="dxa"/>
            <w:vAlign w:val="bottom"/>
          </w:tcPr>
          <w:p>
            <w:pPr>
              <w:ind w:left="280"/>
              <w:spacing w:after="0"/>
              <w:rPr>
                <w:sz w:val="20"/>
                <w:szCs w:val="20"/>
                <w:color w:val="auto"/>
              </w:rPr>
            </w:pPr>
            <w:r>
              <w:rPr>
                <w:rFonts w:ascii="Arial" w:cs="Arial" w:eastAsia="Arial" w:hAnsi="Arial"/>
                <w:sz w:val="16"/>
                <w:szCs w:val="16"/>
                <w:b w:val="1"/>
                <w:bCs w:val="1"/>
                <w:color w:val="auto"/>
              </w:rPr>
              <w:t>10.2.1</w:t>
            </w:r>
          </w:p>
        </w:tc>
        <w:tc>
          <w:tcPr>
            <w:tcW w:w="2880" w:type="dxa"/>
            <w:vAlign w:val="bottom"/>
          </w:tcPr>
          <w:p>
            <w:pPr>
              <w:ind w:left="300"/>
              <w:spacing w:after="0"/>
              <w:rPr>
                <w:sz w:val="20"/>
                <w:szCs w:val="20"/>
                <w:color w:val="auto"/>
              </w:rPr>
            </w:pPr>
            <w:r>
              <w:rPr>
                <w:rFonts w:ascii="Arial" w:cs="Arial" w:eastAsia="Arial" w:hAnsi="Arial"/>
                <w:sz w:val="16"/>
                <w:szCs w:val="16"/>
                <w:b w:val="1"/>
                <w:bCs w:val="1"/>
                <w:color w:val="auto"/>
                <w:w w:val="88"/>
              </w:rPr>
              <w:t>Consequences of a Change in Control</w:t>
            </w:r>
          </w:p>
        </w:tc>
      </w:tr>
    </w:tbl>
    <w:p>
      <w:pPr>
        <w:spacing w:after="0" w:line="182" w:lineRule="exact"/>
        <w:rPr>
          <w:sz w:val="20"/>
          <w:szCs w:val="20"/>
          <w:color w:val="auto"/>
        </w:rPr>
      </w:pPr>
    </w:p>
    <w:p>
      <w:pPr>
        <w:ind w:left="863"/>
        <w:spacing w:after="0"/>
        <w:rPr>
          <w:sz w:val="20"/>
          <w:szCs w:val="20"/>
          <w:color w:val="auto"/>
        </w:rPr>
      </w:pPr>
      <w:r>
        <w:rPr>
          <w:rFonts w:ascii="Arial" w:cs="Arial" w:eastAsia="Arial" w:hAnsi="Arial"/>
          <w:sz w:val="15"/>
          <w:szCs w:val="15"/>
          <w:color w:val="auto"/>
        </w:rPr>
        <w:t>Subject to the requirements and limitations of Section 409A if applicable, the Board may provide for any one or more of the following in connection with a</w:t>
      </w:r>
    </w:p>
    <w:p>
      <w:pPr>
        <w:spacing w:after="0" w:line="33" w:lineRule="exact"/>
        <w:rPr>
          <w:sz w:val="20"/>
          <w:szCs w:val="20"/>
          <w:color w:val="auto"/>
        </w:rPr>
      </w:pPr>
    </w:p>
    <w:p>
      <w:pPr>
        <w:ind w:left="3"/>
        <w:spacing w:after="0"/>
        <w:rPr>
          <w:sz w:val="20"/>
          <w:szCs w:val="20"/>
          <w:color w:val="auto"/>
        </w:rPr>
      </w:pPr>
      <w:r>
        <w:rPr>
          <w:rFonts w:ascii="Arial" w:cs="Arial" w:eastAsia="Arial" w:hAnsi="Arial"/>
          <w:sz w:val="16"/>
          <w:szCs w:val="16"/>
          <w:color w:val="auto"/>
        </w:rPr>
        <w:t>Change in Control:</w:t>
      </w:r>
    </w:p>
    <w:p>
      <w:pPr>
        <w:spacing w:after="0" w:line="192" w:lineRule="exact"/>
        <w:rPr>
          <w:sz w:val="20"/>
          <w:szCs w:val="20"/>
          <w:color w:val="auto"/>
        </w:rPr>
      </w:pPr>
    </w:p>
    <w:p>
      <w:pPr>
        <w:ind w:left="3" w:right="40" w:firstLine="862"/>
        <w:spacing w:after="0" w:line="259" w:lineRule="auto"/>
        <w:tabs>
          <w:tab w:leader="none" w:pos="1629" w:val="left"/>
        </w:tabs>
        <w:numPr>
          <w:ilvl w:val="0"/>
          <w:numId w:val="84"/>
        </w:numPr>
        <w:rPr>
          <w:rFonts w:ascii="Arial" w:cs="Arial" w:eastAsia="Arial" w:hAnsi="Arial"/>
          <w:sz w:val="16"/>
          <w:szCs w:val="16"/>
          <w:color w:val="auto"/>
        </w:rPr>
      </w:pPr>
      <w:r>
        <w:rPr>
          <w:rFonts w:ascii="Arial" w:cs="Arial" w:eastAsia="Arial" w:hAnsi="Arial"/>
          <w:sz w:val="16"/>
          <w:szCs w:val="16"/>
          <w:color w:val="auto"/>
        </w:rPr>
        <w:t>Accelerated Vesting. In the event of a Change in Control, all outstanding Awards made to non-employee directors shall be automatically deemed earned based on the applicable transaction price and such Awards shall be payable in full in connection therewith and any portion of any outstanding Award not earned based on the applicable transaction price shall be cancelled and forfeited. In the event of a Change in Control, all other outstanding Awards shall be automatically deemed earned based on the applicable transaction price and such Awards shall be payable as provided in the applicable Award Agreement and any portion of any outstanding Award not earned based on the applicable transaction price shall be cancelled and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718693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23"/>
          </w:cols>
          <w:pgMar w:left="317" w:top="127" w:right="359" w:bottom="1440" w:gutter="0" w:footer="0" w:header="0"/>
        </w:sectPr>
      </w:pPr>
    </w:p>
    <w:bookmarkStart w:id="85" w:name="page86"/>
    <w:bookmarkEnd w:id="85"/>
    <w:p>
      <w:pPr>
        <w:ind w:left="-860" w:right="40" w:firstLine="862"/>
        <w:spacing w:after="0" w:line="273" w:lineRule="auto"/>
        <w:tabs>
          <w:tab w:leader="none" w:pos="775" w:val="left"/>
        </w:tabs>
        <w:numPr>
          <w:ilvl w:val="0"/>
          <w:numId w:val="85"/>
        </w:numPr>
        <w:rPr>
          <w:rFonts w:ascii="Arial" w:cs="Arial" w:eastAsia="Arial" w:hAnsi="Arial"/>
          <w:sz w:val="15"/>
          <w:szCs w:val="15"/>
          <w:color w:val="auto"/>
        </w:rPr>
      </w:pPr>
      <w:r>
        <w:rPr>
          <w:rFonts w:ascii="Arial" w:cs="Arial" w:eastAsia="Arial" w:hAnsi="Arial"/>
          <w:sz w:val="15"/>
          <w:szCs w:val="15"/>
          <w:color w:val="auto"/>
        </w:rPr>
        <w:t>Assumption, Continuation, or Substitution. In the event of a Change in Control, the surviving, continuing, successor, or purchasing corporation or other business entity or parent thereof, as the case may be (the “Acquiror”), may, without the consent of any Grantee,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10.2.1, if so determined by the Board, an Award denominated in Shares shall be deemed assumed if, following the Change in Control, the Award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Shares on the effective date of the Change in Control was entitled; provided, however, that if such consideration is not solely common stock of the Acquiror, the Board may, with the consent of the Acquiror, provide for the consideration to be received upon the settlement of the Award, for each Share subject to the Award, to consist solely of common stock of the Acquiror equal in Fair Market Value to the per Share consideration received by holders of Shares pursuant to the Change in Control. If any portion of such consideration may be received by holders of Shares pursuant to the Change in Control on a contingent or delayed basis, the Board may determine such Fair Market Value per Share as of the time of the Change in Control on the basis of the Board’s good faith estimate of the present value of the probable future payment of such consideration. Any Award or portion thereof which is neither assumed or continued by the Acquiror in connection with the Change in Control nor settled as of the time of consummation of the Change in Control shall terminate and cease to be outstanding effective as of the time of consummation of the Change in Control.</w:t>
      </w:r>
    </w:p>
    <w:p>
      <w:pPr>
        <w:spacing w:after="0" w:line="160" w:lineRule="exact"/>
        <w:rPr>
          <w:rFonts w:ascii="Arial" w:cs="Arial" w:eastAsia="Arial" w:hAnsi="Arial"/>
          <w:sz w:val="15"/>
          <w:szCs w:val="15"/>
          <w:color w:val="auto"/>
        </w:rPr>
      </w:pPr>
    </w:p>
    <w:p>
      <w:pPr>
        <w:ind w:left="-860" w:right="40" w:firstLine="862"/>
        <w:spacing w:after="0" w:line="256" w:lineRule="auto"/>
        <w:tabs>
          <w:tab w:leader="none" w:pos="766" w:val="left"/>
        </w:tabs>
        <w:numPr>
          <w:ilvl w:val="0"/>
          <w:numId w:val="85"/>
        </w:numPr>
        <w:rPr>
          <w:rFonts w:ascii="Arial" w:cs="Arial" w:eastAsia="Arial" w:hAnsi="Arial"/>
          <w:sz w:val="16"/>
          <w:szCs w:val="16"/>
          <w:color w:val="auto"/>
        </w:rPr>
      </w:pPr>
      <w:r>
        <w:rPr>
          <w:rFonts w:ascii="Arial" w:cs="Arial" w:eastAsia="Arial" w:hAnsi="Arial"/>
          <w:sz w:val="16"/>
          <w:szCs w:val="16"/>
          <w:color w:val="auto"/>
        </w:rPr>
        <w:t>Cash-Out of Awards. The Board may, without the consent of any Grantee, determine that, upon the occurrence of a Change in Control, each or any Award or a portion thereof outstanding immediately prior to the Change in Control and not previously settled shall be canceled in exchange for a payment with respect to each vested Share (and each unvested Share, if so determined by the Board)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Shares in the Change in Control. If any portion of such consideration may be received by holders of Shares pursuant to the Change in Control on a contingent or delayed basis, the Board may determine such Fair Market Value per Share as of the time of the Change in Control on the basis of the Board’s good faith estimate of the present value of the probable future payment of such consideration. In the event such determination is made by the Board, the amount of such payment (reduced by applicable withholding taxes, if any) shall be paid to Grantees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66"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16"/>
          <w:szCs w:val="16"/>
          <w:b w:val="1"/>
          <w:bCs w:val="1"/>
          <w:color w:val="auto"/>
        </w:rPr>
        <w:t>10.2.2</w:t>
      </w:r>
      <w:r>
        <w:rPr>
          <w:sz w:val="20"/>
          <w:szCs w:val="20"/>
          <w:color w:val="auto"/>
        </w:rPr>
        <w:tab/>
      </w:r>
      <w:r>
        <w:rPr>
          <w:rFonts w:ascii="Arial" w:cs="Arial" w:eastAsia="Arial" w:hAnsi="Arial"/>
          <w:sz w:val="14"/>
          <w:szCs w:val="14"/>
          <w:b w:val="1"/>
          <w:bCs w:val="1"/>
          <w:color w:val="auto"/>
        </w:rPr>
        <w:t>Change in Control Defined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 “Change in Control” means the consummation of any of the following events:</w:t>
      </w:r>
    </w:p>
    <w:p>
      <w:pPr>
        <w:spacing w:after="0" w:line="204" w:lineRule="exact"/>
        <w:rPr>
          <w:sz w:val="20"/>
          <w:szCs w:val="20"/>
          <w:color w:val="auto"/>
        </w:rPr>
      </w:pPr>
    </w:p>
    <w:p>
      <w:pPr>
        <w:ind w:left="-860" w:right="80" w:firstLine="862"/>
        <w:spacing w:after="0" w:line="285" w:lineRule="auto"/>
        <w:tabs>
          <w:tab w:leader="none" w:pos="766"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acquisition, other than from the Company, by any individual, entity, or group (within the meaning of Section 13(d)(3) or Section 14(d)(2) of the Exchange Act), other than the Company or any subsidiary, affiliate (within the meaning of Rule 144 promulgated under the Securities Act), or employee benefit plan of the Company, of beneficial ownership (within the meaning of Rule 13d-3 promulgated under the Exchange Act) of more than 50% of the combined voting power of the then outstanding voting securities of the Company entitled to vote generally in the election of directors (the “Voting Securities”); or</w:t>
      </w:r>
    </w:p>
    <w:p>
      <w:pPr>
        <w:spacing w:after="0" w:line="149" w:lineRule="exact"/>
        <w:rPr>
          <w:rFonts w:ascii="Arial" w:cs="Arial" w:eastAsia="Arial" w:hAnsi="Arial"/>
          <w:sz w:val="15"/>
          <w:szCs w:val="15"/>
          <w:color w:val="auto"/>
        </w:rPr>
      </w:pPr>
    </w:p>
    <w:p>
      <w:pPr>
        <w:ind w:left="-860" w:firstLine="862"/>
        <w:spacing w:after="0" w:line="267" w:lineRule="auto"/>
        <w:tabs>
          <w:tab w:leader="none" w:pos="775"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reorganization, merger, consolidation, or recapitalization of the Company (a “Business Combination”), other than a Business Combination in which more than 50% of the combined voting power of the outstanding voting securities of the surviving or resulting entity immediately following the Business Combination is held by the persons who, immediately prior to the Business Combination, were the holders of the Voting Securities; or</w:t>
      </w:r>
    </w:p>
    <w:p>
      <w:pPr>
        <w:spacing w:after="0" w:line="161" w:lineRule="exact"/>
        <w:rPr>
          <w:rFonts w:ascii="Arial" w:cs="Arial" w:eastAsia="Arial" w:hAnsi="Arial"/>
          <w:sz w:val="16"/>
          <w:szCs w:val="16"/>
          <w:color w:val="auto"/>
        </w:rPr>
      </w:pPr>
    </w:p>
    <w:p>
      <w:pPr>
        <w:ind w:left="760" w:hanging="758"/>
        <w:spacing w:after="0"/>
        <w:tabs>
          <w:tab w:leader="none" w:pos="7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complete liquidation or dissolution of the Company, or a sale of all or substantially all of the assets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124460</wp:posOffset>
            </wp:positionV>
            <wp:extent cx="718693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0360"/>
          </w:cols>
          <w:pgMar w:left="1180" w:top="127" w:right="359" w:bottom="1440" w:gutter="0" w:footer="0" w:header="0"/>
        </w:sectPr>
      </w:pPr>
    </w:p>
    <w:bookmarkStart w:id="86" w:name="page87"/>
    <w:bookmarkEnd w:id="86"/>
    <w:p>
      <w:pPr>
        <w:ind w:left="3" w:right="200" w:firstLine="862"/>
        <w:spacing w:after="0" w:line="267" w:lineRule="auto"/>
        <w:tabs>
          <w:tab w:leader="none" w:pos="1638" w:val="left"/>
        </w:tabs>
        <w:numPr>
          <w:ilvl w:val="0"/>
          <w:numId w:val="87"/>
        </w:numPr>
        <w:rPr>
          <w:rFonts w:ascii="Arial" w:cs="Arial" w:eastAsia="Arial" w:hAnsi="Arial"/>
          <w:sz w:val="16"/>
          <w:szCs w:val="16"/>
          <w:color w:val="auto"/>
        </w:rPr>
      </w:pPr>
      <w:r>
        <w:rPr>
          <w:rFonts w:ascii="Arial" w:cs="Arial" w:eastAsia="Arial" w:hAnsi="Arial"/>
          <w:sz w:val="16"/>
          <w:szCs w:val="16"/>
          <w:color w:val="auto"/>
        </w:rPr>
        <w:t>during any period of 24 consecutive months, the Incumbent Directors cease to constitute a majority of the Board; “Incumbent Directors” means individuals who were members of the Board at the beginning of such period or individuals whose election or nomination for election to the Board by the Stockholders was approved by a vote of at least a</w:t>
      </w:r>
    </w:p>
    <w:p>
      <w:pPr>
        <w:spacing w:after="0" w:line="161" w:lineRule="exact"/>
        <w:rPr>
          <w:rFonts w:ascii="Arial" w:cs="Arial" w:eastAsia="Arial" w:hAnsi="Arial"/>
          <w:sz w:val="16"/>
          <w:szCs w:val="16"/>
          <w:color w:val="auto"/>
        </w:rPr>
      </w:pPr>
    </w:p>
    <w:p>
      <w:pPr>
        <w:ind w:left="3" w:right="460" w:firstLine="862"/>
        <w:spacing w:after="0" w:line="281" w:lineRule="auto"/>
        <w:tabs>
          <w:tab w:leader="none" w:pos="1629" w:val="left"/>
        </w:tabs>
        <w:numPr>
          <w:ilvl w:val="0"/>
          <w:numId w:val="87"/>
        </w:numPr>
        <w:rPr>
          <w:rFonts w:ascii="Arial" w:cs="Arial" w:eastAsia="Arial" w:hAnsi="Arial"/>
          <w:sz w:val="16"/>
          <w:szCs w:val="16"/>
          <w:color w:val="auto"/>
        </w:rPr>
      </w:pPr>
      <w:r>
        <w:rPr>
          <w:rFonts w:ascii="Arial" w:cs="Arial" w:eastAsia="Arial" w:hAnsi="Arial"/>
          <w:sz w:val="16"/>
          <w:szCs w:val="16"/>
          <w:color w:val="auto"/>
        </w:rPr>
        <w:t>majority of the then Incumbent Directors (but excluding any individual whose initial election or nomination is in connection with an actual or threatened proxy contest relating to the election of directors).</w:t>
      </w:r>
    </w:p>
    <w:p>
      <w:pPr>
        <w:spacing w:after="0" w:line="151" w:lineRule="exact"/>
        <w:rPr>
          <w:sz w:val="20"/>
          <w:szCs w:val="20"/>
          <w:color w:val="auto"/>
        </w:rPr>
      </w:pPr>
    </w:p>
    <w:p>
      <w:pPr>
        <w:ind w:left="3" w:right="60" w:firstLine="865"/>
        <w:spacing w:after="0" w:line="267" w:lineRule="auto"/>
        <w:rPr>
          <w:sz w:val="20"/>
          <w:szCs w:val="20"/>
          <w:color w:val="auto"/>
        </w:rPr>
      </w:pPr>
      <w:r>
        <w:rPr>
          <w:rFonts w:ascii="Arial" w:cs="Arial" w:eastAsia="Arial" w:hAnsi="Arial"/>
          <w:sz w:val="16"/>
          <w:szCs w:val="16"/>
          <w:color w:val="auto"/>
        </w:rPr>
        <w:t>Notwithstanding the foregoing, if it is determined that an Award is subject to the requirements of Section 409A and payable upon a Change in Control, the Company shall not be deemed to have undergone a Change in Control for purposes of the Plan unless the Company is deemed to have undergone a “change in control event” pursuant to the definition of such term in Section 409A.</w:t>
      </w:r>
    </w:p>
    <w:p>
      <w:pPr>
        <w:spacing w:after="0" w:line="157"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4"/>
          <w:szCs w:val="14"/>
          <w:b w:val="1"/>
          <w:bCs w:val="1"/>
          <w:color w:val="auto"/>
        </w:rPr>
        <w:t>Adjustments</w:t>
      </w:r>
    </w:p>
    <w:p>
      <w:pPr>
        <w:spacing w:after="0" w:line="208" w:lineRule="exact"/>
        <w:rPr>
          <w:sz w:val="20"/>
          <w:szCs w:val="20"/>
          <w:color w:val="auto"/>
        </w:rPr>
      </w:pPr>
    </w:p>
    <w:p>
      <w:pPr>
        <w:jc w:val="both"/>
        <w:ind w:left="3" w:firstLine="865"/>
        <w:spacing w:after="0" w:line="267" w:lineRule="auto"/>
        <w:rPr>
          <w:sz w:val="20"/>
          <w:szCs w:val="20"/>
          <w:color w:val="auto"/>
        </w:rPr>
      </w:pPr>
      <w:r>
        <w:rPr>
          <w:rFonts w:ascii="Arial" w:cs="Arial" w:eastAsia="Arial" w:hAnsi="Arial"/>
          <w:sz w:val="16"/>
          <w:szCs w:val="16"/>
          <w:color w:val="auto"/>
        </w:rPr>
        <w:t>Adjustments under this Section 10 related to Shares or other securities of the Company shall be made by the Board. No fractional Shares or other securities shall be issued pursuant to any such adjustment, and any fractions resulting from any such adjustment shall be eliminated in each case by rounding downward to the nearest whole Share.</w:t>
      </w:r>
    </w:p>
    <w:p>
      <w:pPr>
        <w:spacing w:after="0" w:line="157" w:lineRule="exact"/>
        <w:rPr>
          <w:sz w:val="20"/>
          <w:szCs w:val="20"/>
          <w:color w:val="auto"/>
        </w:rPr>
      </w:pPr>
    </w:p>
    <w:p>
      <w:pPr>
        <w:ind w:left="783" w:hanging="783"/>
        <w:spacing w:after="0"/>
        <w:tabs>
          <w:tab w:leader="none" w:pos="783"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NO LIMITATIONS ON COMPANY</w:t>
      </w:r>
    </w:p>
    <w:p>
      <w:pPr>
        <w:spacing w:after="0" w:line="208" w:lineRule="exact"/>
        <w:rPr>
          <w:sz w:val="20"/>
          <w:szCs w:val="20"/>
          <w:color w:val="auto"/>
        </w:rPr>
      </w:pPr>
    </w:p>
    <w:p>
      <w:pPr>
        <w:ind w:left="3" w:right="20" w:firstLine="865"/>
        <w:spacing w:after="0" w:line="316" w:lineRule="auto"/>
        <w:rPr>
          <w:sz w:val="20"/>
          <w:szCs w:val="20"/>
          <w:color w:val="auto"/>
        </w:rPr>
      </w:pPr>
      <w:r>
        <w:rPr>
          <w:rFonts w:ascii="Arial" w:cs="Arial" w:eastAsia="Arial" w:hAnsi="Arial"/>
          <w:sz w:val="15"/>
          <w:szCs w:val="15"/>
          <w:color w:val="auto"/>
        </w:rPr>
        <w:t>The making of Awards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23" w:lineRule="exact"/>
        <w:rPr>
          <w:sz w:val="20"/>
          <w:szCs w:val="20"/>
          <w:color w:val="auto"/>
        </w:rPr>
      </w:pPr>
    </w:p>
    <w:p>
      <w:pPr>
        <w:ind w:left="783" w:hanging="783"/>
        <w:spacing w:after="0"/>
        <w:tabs>
          <w:tab w:leader="none" w:pos="783"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TERMS APPLICABLE GENERALLY TO AWARDS GRANTED UNDER THE PLAN</w:t>
      </w:r>
    </w:p>
    <w:p>
      <w:pPr>
        <w:spacing w:after="0" w:line="204"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auto"/>
        </w:rPr>
        <w:t>12.1</w:t>
      </w:r>
      <w:r>
        <w:rPr>
          <w:sz w:val="20"/>
          <w:szCs w:val="20"/>
          <w:color w:val="auto"/>
        </w:rPr>
        <w:tab/>
      </w:r>
      <w:r>
        <w:rPr>
          <w:rFonts w:ascii="Arial" w:cs="Arial" w:eastAsia="Arial" w:hAnsi="Arial"/>
          <w:sz w:val="14"/>
          <w:szCs w:val="14"/>
          <w:b w:val="1"/>
          <w:bCs w:val="1"/>
          <w:color w:val="auto"/>
        </w:rPr>
        <w:t>Disclaimer of Rights</w:t>
      </w:r>
    </w:p>
    <w:p>
      <w:pPr>
        <w:spacing w:after="0" w:line="208" w:lineRule="exact"/>
        <w:rPr>
          <w:sz w:val="20"/>
          <w:szCs w:val="20"/>
          <w:color w:val="auto"/>
        </w:rPr>
      </w:pPr>
    </w:p>
    <w:p>
      <w:pPr>
        <w:ind w:left="3" w:firstLine="865"/>
        <w:spacing w:after="0" w:line="300" w:lineRule="auto"/>
        <w:rPr>
          <w:sz w:val="20"/>
          <w:szCs w:val="20"/>
          <w:color w:val="auto"/>
        </w:rPr>
      </w:pPr>
      <w:r>
        <w:rPr>
          <w:rFonts w:ascii="Arial" w:cs="Arial" w:eastAsia="Arial" w:hAnsi="Arial"/>
          <w:sz w:val="14"/>
          <w:szCs w:val="14"/>
          <w:color w:val="auto"/>
        </w:rPr>
        <w:t>No provision in the Plan or in any Award Agreement shall be construed to confer upon any individual the right to remain in the employ or service of the Company or any Affiliate, or to interfere in any way with any contractual or other right or authority of the Company or any Affiliate either to increase or decrease the compensation or other payments to any individual at any time, or to terminate any employment or other relationship between any individual and the Company or any Affiliate. In addition, notwithstanding anything contained in the Plan to the contrary, no Award shall be affected by any change of duties or position of the Grantee, so long as such Grantee continues to be a Service Provider. The obligation of the Company to pay any benefits pursuant to the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spacing w:after="0" w:line="138"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auto"/>
        </w:rPr>
        <w:t>12.2</w:t>
      </w:r>
      <w:r>
        <w:rPr>
          <w:sz w:val="20"/>
          <w:szCs w:val="20"/>
          <w:color w:val="auto"/>
        </w:rPr>
        <w:tab/>
      </w:r>
      <w:r>
        <w:rPr>
          <w:rFonts w:ascii="Arial" w:cs="Arial" w:eastAsia="Arial" w:hAnsi="Arial"/>
          <w:sz w:val="14"/>
          <w:szCs w:val="14"/>
          <w:b w:val="1"/>
          <w:bCs w:val="1"/>
          <w:color w:val="auto"/>
        </w:rPr>
        <w:t>Nonexclusivity of the Plan</w:t>
      </w:r>
    </w:p>
    <w:p>
      <w:pPr>
        <w:spacing w:after="0" w:line="208" w:lineRule="exact"/>
        <w:rPr>
          <w:sz w:val="20"/>
          <w:szCs w:val="20"/>
          <w:color w:val="auto"/>
        </w:rPr>
      </w:pPr>
    </w:p>
    <w:p>
      <w:pPr>
        <w:jc w:val="both"/>
        <w:ind w:left="3" w:firstLine="865"/>
        <w:spacing w:after="0" w:line="292" w:lineRule="auto"/>
        <w:rPr>
          <w:sz w:val="20"/>
          <w:szCs w:val="20"/>
          <w:color w:val="auto"/>
        </w:rPr>
      </w:pPr>
      <w:r>
        <w:rPr>
          <w:rFonts w:ascii="Arial" w:cs="Arial" w:eastAsia="Arial" w:hAnsi="Arial"/>
          <w:sz w:val="15"/>
          <w:szCs w:val="15"/>
          <w:color w:val="auto"/>
        </w:rPr>
        <w:t>Neither the adoption of the Plan nor the submission of the Plan to the Stockholders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including the granting of stock options as the Board determines desirable.</w:t>
      </w:r>
    </w:p>
    <w:p>
      <w:pPr>
        <w:spacing w:after="0" w:line="142" w:lineRule="exact"/>
        <w:rPr>
          <w:sz w:val="20"/>
          <w:szCs w:val="20"/>
          <w:color w:val="auto"/>
        </w:rPr>
      </w:pPr>
    </w:p>
    <w:p>
      <w:pPr>
        <w:ind w:left="863"/>
        <w:spacing w:after="0"/>
        <w:tabs>
          <w:tab w:leader="none" w:pos="1703" w:val="left"/>
        </w:tabs>
        <w:rPr>
          <w:sz w:val="20"/>
          <w:szCs w:val="20"/>
          <w:color w:val="auto"/>
        </w:rPr>
      </w:pPr>
      <w:r>
        <w:rPr>
          <w:rFonts w:ascii="Arial" w:cs="Arial" w:eastAsia="Arial" w:hAnsi="Arial"/>
          <w:sz w:val="16"/>
          <w:szCs w:val="16"/>
          <w:b w:val="1"/>
          <w:bCs w:val="1"/>
          <w:color w:val="auto"/>
        </w:rPr>
        <w:t>12.3</w:t>
      </w:r>
      <w:r>
        <w:rPr>
          <w:sz w:val="20"/>
          <w:szCs w:val="20"/>
          <w:color w:val="auto"/>
        </w:rPr>
        <w:tab/>
      </w:r>
      <w:r>
        <w:rPr>
          <w:rFonts w:ascii="Arial" w:cs="Arial" w:eastAsia="Arial" w:hAnsi="Arial"/>
          <w:sz w:val="14"/>
          <w:szCs w:val="14"/>
          <w:b w:val="1"/>
          <w:bCs w:val="1"/>
          <w:color w:val="auto"/>
        </w:rPr>
        <w:t>Withholding Taxes</w:t>
      </w:r>
    </w:p>
    <w:p>
      <w:pPr>
        <w:spacing w:after="0" w:line="208" w:lineRule="exact"/>
        <w:rPr>
          <w:sz w:val="20"/>
          <w:szCs w:val="20"/>
          <w:color w:val="auto"/>
        </w:rPr>
      </w:pPr>
    </w:p>
    <w:p>
      <w:pPr>
        <w:jc w:val="both"/>
        <w:ind w:left="3" w:firstLine="865"/>
        <w:spacing w:after="0" w:line="355" w:lineRule="auto"/>
        <w:rPr>
          <w:sz w:val="20"/>
          <w:szCs w:val="20"/>
          <w:color w:val="auto"/>
        </w:rPr>
      </w:pPr>
      <w:r>
        <w:rPr>
          <w:rFonts w:ascii="Arial" w:cs="Arial" w:eastAsia="Arial" w:hAnsi="Arial"/>
          <w:sz w:val="14"/>
          <w:szCs w:val="14"/>
          <w:color w:val="auto"/>
        </w:rPr>
        <w:t>The Company or an Affiliate, as the case may be, shall have the right to deduct from payments of any kind otherwise due to a Grantee any federal, state, or local taxes of any kind required by law to be withheld (i) with respect to the vesting of or other lapse of restrictions applicable to an Award or (ii) otherwise due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8693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3"/>
          </w:cols>
          <w:pgMar w:left="317" w:top="127" w:right="339" w:bottom="1440" w:gutter="0" w:footer="0" w:header="0"/>
        </w:sectPr>
      </w:pPr>
    </w:p>
    <w:bookmarkStart w:id="87" w:name="page88"/>
    <w:bookmarkEnd w:id="87"/>
    <w:p>
      <w:pPr>
        <w:spacing w:after="0" w:line="276" w:lineRule="auto"/>
        <w:rPr>
          <w:sz w:val="20"/>
          <w:szCs w:val="20"/>
          <w:color w:val="auto"/>
        </w:rPr>
      </w:pPr>
      <w:r>
        <w:rPr>
          <w:rFonts w:ascii="Arial" w:cs="Arial" w:eastAsia="Arial" w:hAnsi="Arial"/>
          <w:sz w:val="15"/>
          <w:szCs w:val="15"/>
          <w:color w:val="auto"/>
        </w:rPr>
        <w:t>an Award. At the time of such vesting or lapse, the Grantee shall pay to the Company or the Affiliate, as the case may be, any amount that the Company or the Affiliate may reasonably determine to be necessary to satisfy such withholding obligation. Subject to the prior approval of the Company or the Affiliate, which may be withheld by the Company or the Affiliate, as the case may be, in its sole discretion, the Grantee may elect to satisfy such obligations, in whole or in part, (i) by causing the Company or the Affiliate to withhold the minimum required number of Shares otherwise issuable to the Grantee as may be necessary to satisfy such withholding obligation or (ii) by delivering to the Company or the Affiliate Shares already owned by the Grantee. The Shares so delivered or withheld shall have an aggregate Fair Market Value equal to such withholding obligations. The Fair Market Value of the Shares used to satisfy such withholding obligation shall be determined by the Company or the Affiliate as of the date that the amount of tax to be withheld is to be determined. A Grantee who has made an election pursuant to this Section 12.3 may satisfy his or her withholding obligation only with Shares that are not subject to any repurchase, forfeiture, unfulfilled vesting, or other similar requirements.</w:t>
      </w:r>
    </w:p>
    <w:p>
      <w:pPr>
        <w:spacing w:after="0" w:line="154"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auto"/>
        </w:rPr>
        <w:t>12.4</w:t>
      </w:r>
      <w:r>
        <w:rPr>
          <w:sz w:val="20"/>
          <w:szCs w:val="20"/>
          <w:color w:val="auto"/>
        </w:rPr>
        <w:tab/>
      </w:r>
      <w:r>
        <w:rPr>
          <w:rFonts w:ascii="Arial" w:cs="Arial" w:eastAsia="Arial" w:hAnsi="Arial"/>
          <w:sz w:val="14"/>
          <w:szCs w:val="14"/>
          <w:b w:val="1"/>
          <w:bCs w:val="1"/>
          <w:color w:val="auto"/>
        </w:rPr>
        <w:t>Captions</w:t>
      </w:r>
    </w:p>
    <w:p>
      <w:pPr>
        <w:spacing w:after="0" w:line="208" w:lineRule="exact"/>
        <w:rPr>
          <w:sz w:val="20"/>
          <w:szCs w:val="20"/>
          <w:color w:val="auto"/>
        </w:rPr>
      </w:pPr>
    </w:p>
    <w:p>
      <w:pPr>
        <w:ind w:firstLine="865"/>
        <w:spacing w:after="0" w:line="281" w:lineRule="auto"/>
        <w:rPr>
          <w:sz w:val="20"/>
          <w:szCs w:val="20"/>
          <w:color w:val="auto"/>
        </w:rPr>
      </w:pPr>
      <w:r>
        <w:rPr>
          <w:rFonts w:ascii="Arial" w:cs="Arial" w:eastAsia="Arial" w:hAnsi="Arial"/>
          <w:sz w:val="16"/>
          <w:szCs w:val="16"/>
          <w:color w:val="auto"/>
        </w:rPr>
        <w:t>The use of captions in the Plan or any Award Agreement is for the convenience of reference only and shall not affect the meaning of any provision of the Plan or any Award Agreement.</w:t>
      </w:r>
    </w:p>
    <w:p>
      <w:pPr>
        <w:spacing w:after="0" w:line="14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auto"/>
        </w:rPr>
        <w:t>12.5</w:t>
      </w:r>
      <w:r>
        <w:rPr>
          <w:sz w:val="20"/>
          <w:szCs w:val="20"/>
          <w:color w:val="auto"/>
        </w:rPr>
        <w:tab/>
      </w:r>
      <w:r>
        <w:rPr>
          <w:rFonts w:ascii="Arial" w:cs="Arial" w:eastAsia="Arial" w:hAnsi="Arial"/>
          <w:sz w:val="14"/>
          <w:szCs w:val="14"/>
          <w:b w:val="1"/>
          <w:bCs w:val="1"/>
          <w:color w:val="auto"/>
        </w:rPr>
        <w:t>Other Provisions</w:t>
      </w:r>
    </w:p>
    <w:p>
      <w:pPr>
        <w:spacing w:after="0" w:line="208" w:lineRule="exact"/>
        <w:rPr>
          <w:sz w:val="20"/>
          <w:szCs w:val="20"/>
          <w:color w:val="auto"/>
        </w:rPr>
      </w:pPr>
    </w:p>
    <w:p>
      <w:pPr>
        <w:ind w:right="340" w:firstLine="865"/>
        <w:spacing w:after="0" w:line="281" w:lineRule="auto"/>
        <w:rPr>
          <w:sz w:val="20"/>
          <w:szCs w:val="20"/>
          <w:color w:val="auto"/>
        </w:rPr>
      </w:pPr>
      <w:r>
        <w:rPr>
          <w:rFonts w:ascii="Arial" w:cs="Arial" w:eastAsia="Arial" w:hAnsi="Arial"/>
          <w:sz w:val="16"/>
          <w:szCs w:val="16"/>
          <w:color w:val="auto"/>
        </w:rPr>
        <w:t>Each Award Agreement may contain such other terms and conditions not inconsistent with the Plan as may be determined by the Board. In the event of any conflict between the terms of an employment agreement and the Plan, the terms of the employment agreement shall govern.</w:t>
      </w:r>
    </w:p>
    <w:p>
      <w:pPr>
        <w:spacing w:after="0" w:line="14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auto"/>
        </w:rPr>
        <w:t>12.6</w:t>
      </w:r>
      <w:r>
        <w:rPr>
          <w:sz w:val="20"/>
          <w:szCs w:val="20"/>
          <w:color w:val="auto"/>
        </w:rPr>
        <w:tab/>
      </w:r>
      <w:r>
        <w:rPr>
          <w:rFonts w:ascii="Arial" w:cs="Arial" w:eastAsia="Arial" w:hAnsi="Arial"/>
          <w:sz w:val="14"/>
          <w:szCs w:val="14"/>
          <w:b w:val="1"/>
          <w:bCs w:val="1"/>
          <w:color w:val="auto"/>
        </w:rPr>
        <w:t>Number and Gender; References</w:t>
      </w:r>
    </w:p>
    <w:p>
      <w:pPr>
        <w:spacing w:after="0" w:line="208" w:lineRule="exact"/>
        <w:rPr>
          <w:sz w:val="20"/>
          <w:szCs w:val="20"/>
          <w:color w:val="auto"/>
        </w:rPr>
      </w:pPr>
    </w:p>
    <w:p>
      <w:pPr>
        <w:ind w:right="100" w:firstLine="865"/>
        <w:spacing w:after="0" w:line="267" w:lineRule="auto"/>
        <w:rPr>
          <w:sz w:val="20"/>
          <w:szCs w:val="20"/>
          <w:color w:val="auto"/>
        </w:rPr>
      </w:pPr>
      <w:r>
        <w:rPr>
          <w:rFonts w:ascii="Arial" w:cs="Arial" w:eastAsia="Arial" w:hAnsi="Arial"/>
          <w:sz w:val="16"/>
          <w:szCs w:val="16"/>
          <w:color w:val="auto"/>
        </w:rPr>
        <w:t>With respect to words used in the Plan, the singular form shall include the plural form, the masculine gender shall include the feminine gender, etc., as the context requires. Unless provided otherwise, all references to articles, sections, exhibits, attachments, and the like shall be to articles, sections, exhibits, attachments, and the like in the Plan.</w:t>
      </w:r>
    </w:p>
    <w:p>
      <w:pPr>
        <w:spacing w:after="0" w:line="157"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auto"/>
        </w:rPr>
        <w:t>12.7</w:t>
      </w:r>
      <w:r>
        <w:rPr>
          <w:sz w:val="20"/>
          <w:szCs w:val="20"/>
          <w:color w:val="auto"/>
        </w:rPr>
        <w:tab/>
      </w:r>
      <w:r>
        <w:rPr>
          <w:rFonts w:ascii="Arial" w:cs="Arial" w:eastAsia="Arial" w:hAnsi="Arial"/>
          <w:sz w:val="14"/>
          <w:szCs w:val="14"/>
          <w:b w:val="1"/>
          <w:bCs w:val="1"/>
          <w:color w:val="auto"/>
        </w:rPr>
        <w:t>Severability</w:t>
      </w:r>
    </w:p>
    <w:p>
      <w:pPr>
        <w:spacing w:after="0" w:line="208" w:lineRule="exact"/>
        <w:rPr>
          <w:sz w:val="20"/>
          <w:szCs w:val="20"/>
          <w:color w:val="auto"/>
        </w:rPr>
      </w:pPr>
    </w:p>
    <w:p>
      <w:pPr>
        <w:ind w:right="220" w:firstLine="865"/>
        <w:spacing w:after="0" w:line="355" w:lineRule="auto"/>
        <w:rPr>
          <w:sz w:val="20"/>
          <w:szCs w:val="20"/>
          <w:color w:val="auto"/>
        </w:rPr>
      </w:pPr>
      <w:r>
        <w:rPr>
          <w:rFonts w:ascii="Arial" w:cs="Arial" w:eastAsia="Arial" w:hAnsi="Arial"/>
          <w:sz w:val="14"/>
          <w:szCs w:val="14"/>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0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auto"/>
        </w:rPr>
        <w:t>12.8</w:t>
      </w:r>
      <w:r>
        <w:rPr>
          <w:sz w:val="20"/>
          <w:szCs w:val="20"/>
          <w:color w:val="auto"/>
        </w:rPr>
        <w:tab/>
      </w:r>
      <w:r>
        <w:rPr>
          <w:rFonts w:ascii="Arial" w:cs="Arial" w:eastAsia="Arial" w:hAnsi="Arial"/>
          <w:sz w:val="14"/>
          <w:szCs w:val="14"/>
          <w:b w:val="1"/>
          <w:bCs w:val="1"/>
          <w:color w:val="auto"/>
        </w:rPr>
        <w:t>Governing Law</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The Plan shall be governed by and construed in accordance with the laws of the State of Delaware without giving effect to the principles of conflicts of law.</w:t>
      </w:r>
    </w:p>
    <w:p>
      <w:pPr>
        <w:spacing w:after="0" w:line="211"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16"/>
          <w:szCs w:val="16"/>
          <w:b w:val="1"/>
          <w:bCs w:val="1"/>
          <w:color w:val="auto"/>
        </w:rPr>
        <w:t>12.9</w:t>
      </w:r>
      <w:r>
        <w:rPr>
          <w:sz w:val="20"/>
          <w:szCs w:val="20"/>
          <w:color w:val="auto"/>
        </w:rPr>
        <w:tab/>
      </w:r>
      <w:r>
        <w:rPr>
          <w:rFonts w:ascii="Arial" w:cs="Arial" w:eastAsia="Arial" w:hAnsi="Arial"/>
          <w:sz w:val="14"/>
          <w:szCs w:val="14"/>
          <w:b w:val="1"/>
          <w:bCs w:val="1"/>
          <w:color w:val="auto"/>
        </w:rPr>
        <w:t>Section 409A</w:t>
      </w:r>
    </w:p>
    <w:p>
      <w:pPr>
        <w:spacing w:after="0" w:line="208" w:lineRule="exact"/>
        <w:rPr>
          <w:sz w:val="20"/>
          <w:szCs w:val="20"/>
          <w:color w:val="auto"/>
        </w:rPr>
      </w:pPr>
    </w:p>
    <w:p>
      <w:pPr>
        <w:ind w:firstLine="865"/>
        <w:spacing w:after="0" w:line="256" w:lineRule="auto"/>
        <w:rPr>
          <w:sz w:val="20"/>
          <w:szCs w:val="20"/>
          <w:color w:val="auto"/>
        </w:rPr>
      </w:pPr>
      <w:r>
        <w:rPr>
          <w:rFonts w:ascii="Arial" w:cs="Arial" w:eastAsia="Arial" w:hAnsi="Arial"/>
          <w:sz w:val="16"/>
          <w:szCs w:val="16"/>
          <w:color w:val="auto"/>
        </w:rPr>
        <w:t>The Plan is intended to comply with Section 409A to the extent subject thereto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applicable laws require otherwise. Notwithstanding anything to the contrary in the Plan, to the extent required to avoid accelerated taxation and tax penalties under Section 409A, amounts that would otherwise be payable and benefits that would otherwise be provided pursuant to the Plan during the six-month period immediately following the Grantee’s Separation from Service shall instead be paid on the first payroll date after the six- month anniversary of the Grantee’s Separation from Service (or the Grantee’s death, if earlier). Notwithstanding the foregoing, neither the Company nor the Committee shall have any obligation to take any action to prevent the assessment of any excise tax or penalty on any Grantee under Section 409A and neither the Company nor the Committee shall have any liability to any Grantee for such tax or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18693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4064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tbl>
      <w:tblPr>
        <w:tblLayout w:type="fixed"/>
        <w:tblInd w:w="860" w:type="dxa"/>
        <w:tblCellMar>
          <w:top w:w="0" w:type="dxa"/>
          <w:left w:w="0" w:type="dxa"/>
          <w:bottom w:w="0" w:type="dxa"/>
          <w:right w:w="0" w:type="dxa"/>
        </w:tblCellMar>
      </w:tblPr>
      <w:tr>
        <w:trPr>
          <w:trHeight w:val="210"/>
        </w:trPr>
        <w:tc>
          <w:tcPr>
            <w:tcW w:w="620" w:type="dxa"/>
            <w:vAlign w:val="bottom"/>
          </w:tcPr>
          <w:p>
            <w:pPr>
              <w:jc w:val="right"/>
              <w:ind w:right="179"/>
              <w:spacing w:after="0"/>
              <w:rPr>
                <w:sz w:val="20"/>
                <w:szCs w:val="20"/>
                <w:color w:val="auto"/>
              </w:rPr>
            </w:pPr>
            <w:r>
              <w:rPr>
                <w:rFonts w:ascii="Arial" w:cs="Arial" w:eastAsia="Arial" w:hAnsi="Arial"/>
                <w:sz w:val="16"/>
                <w:szCs w:val="16"/>
                <w:b w:val="1"/>
                <w:bCs w:val="1"/>
                <w:color w:val="auto"/>
                <w:w w:val="84"/>
              </w:rPr>
              <w:t>12.10</w:t>
            </w:r>
          </w:p>
        </w:tc>
        <w:tc>
          <w:tcPr>
            <w:tcW w:w="3400" w:type="dxa"/>
            <w:vAlign w:val="bottom"/>
            <w:gridSpan w:val="2"/>
          </w:tcPr>
          <w:p>
            <w:pPr>
              <w:ind w:left="320"/>
              <w:spacing w:after="0"/>
              <w:rPr>
                <w:sz w:val="20"/>
                <w:szCs w:val="20"/>
                <w:color w:val="auto"/>
              </w:rPr>
            </w:pPr>
            <w:r>
              <w:rPr>
                <w:rFonts w:ascii="Arial" w:cs="Arial" w:eastAsia="Arial" w:hAnsi="Arial"/>
                <w:sz w:val="16"/>
                <w:szCs w:val="16"/>
                <w:b w:val="1"/>
                <w:bCs w:val="1"/>
                <w:color w:val="auto"/>
                <w:w w:val="90"/>
              </w:rPr>
              <w:t>Transferability of Awards and Issued Shares</w:t>
            </w:r>
          </w:p>
        </w:tc>
      </w:tr>
      <w:tr>
        <w:trPr>
          <w:trHeight w:val="388"/>
        </w:trPr>
        <w:tc>
          <w:tcPr>
            <w:tcW w:w="620" w:type="dxa"/>
            <w:vAlign w:val="bottom"/>
          </w:tcPr>
          <w:p>
            <w:pPr>
              <w:spacing w:after="0"/>
              <w:rPr>
                <w:sz w:val="24"/>
                <w:szCs w:val="24"/>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b w:val="1"/>
                <w:bCs w:val="1"/>
                <w:color w:val="auto"/>
              </w:rPr>
              <w:t>12.10.1</w:t>
            </w:r>
          </w:p>
        </w:tc>
        <w:tc>
          <w:tcPr>
            <w:tcW w:w="2380" w:type="dxa"/>
            <w:vAlign w:val="bottom"/>
          </w:tcPr>
          <w:p>
            <w:pPr>
              <w:ind w:left="300"/>
              <w:spacing w:after="0"/>
              <w:rPr>
                <w:sz w:val="20"/>
                <w:szCs w:val="20"/>
                <w:color w:val="auto"/>
              </w:rPr>
            </w:pPr>
            <w:r>
              <w:rPr>
                <w:rFonts w:ascii="Arial" w:cs="Arial" w:eastAsia="Arial" w:hAnsi="Arial"/>
                <w:sz w:val="16"/>
                <w:szCs w:val="16"/>
                <w:b w:val="1"/>
                <w:bCs w:val="1"/>
                <w:color w:val="auto"/>
              </w:rPr>
              <w:t>Transfers in General</w:t>
            </w:r>
          </w:p>
        </w:tc>
      </w:tr>
    </w:tbl>
    <w:p>
      <w:pPr>
        <w:spacing w:after="0" w:line="182" w:lineRule="exact"/>
        <w:rPr>
          <w:sz w:val="20"/>
          <w:szCs w:val="20"/>
          <w:color w:val="auto"/>
        </w:rPr>
      </w:pPr>
    </w:p>
    <w:p>
      <w:pPr>
        <w:ind w:right="100" w:firstLine="865"/>
        <w:spacing w:after="0" w:line="267" w:lineRule="auto"/>
        <w:rPr>
          <w:sz w:val="20"/>
          <w:szCs w:val="20"/>
          <w:color w:val="auto"/>
        </w:rPr>
      </w:pPr>
      <w:r>
        <w:rPr>
          <w:rFonts w:ascii="Arial" w:cs="Arial" w:eastAsia="Arial" w:hAnsi="Arial"/>
          <w:sz w:val="16"/>
          <w:szCs w:val="16"/>
          <w:color w:val="auto"/>
        </w:rPr>
        <w:t>No Award shall be sold, transferred, assigned, pledged, or otherwise encumbered or disposed of by the Grantee to whom it is granted, other than by will or the laws of descent and distribution or under a domestic relations order in settlement of marital property rights and, during the lifetime of the Grantee, only the Grantee personally (or the Grantee’s personal representative) may exercise rights under the Plan.</w:t>
      </w:r>
    </w:p>
    <w:p>
      <w:pPr>
        <w:spacing w:after="0" w:line="157" w:lineRule="exact"/>
        <w:rPr>
          <w:sz w:val="20"/>
          <w:szCs w:val="20"/>
          <w:color w:val="auto"/>
        </w:rPr>
      </w:pPr>
    </w:p>
    <w:p>
      <w:pPr>
        <w:ind w:left="1720"/>
        <w:spacing w:after="0"/>
        <w:tabs>
          <w:tab w:leader="none" w:pos="2780" w:val="left"/>
        </w:tabs>
        <w:rPr>
          <w:sz w:val="20"/>
          <w:szCs w:val="20"/>
          <w:color w:val="auto"/>
        </w:rPr>
      </w:pPr>
      <w:r>
        <w:rPr>
          <w:rFonts w:ascii="Arial" w:cs="Arial" w:eastAsia="Arial" w:hAnsi="Arial"/>
          <w:sz w:val="16"/>
          <w:szCs w:val="16"/>
          <w:b w:val="1"/>
          <w:bCs w:val="1"/>
          <w:color w:val="auto"/>
        </w:rPr>
        <w:t>12.10.2</w:t>
      </w:r>
      <w:r>
        <w:rPr>
          <w:sz w:val="20"/>
          <w:szCs w:val="20"/>
          <w:color w:val="auto"/>
        </w:rPr>
        <w:tab/>
      </w:r>
      <w:r>
        <w:rPr>
          <w:rFonts w:ascii="Arial" w:cs="Arial" w:eastAsia="Arial" w:hAnsi="Arial"/>
          <w:sz w:val="13"/>
          <w:szCs w:val="13"/>
          <w:b w:val="1"/>
          <w:bCs w:val="1"/>
          <w:color w:val="auto"/>
        </w:rPr>
        <w:t>Issued Shares</w:t>
      </w:r>
    </w:p>
    <w:p>
      <w:pPr>
        <w:spacing w:after="0" w:line="208" w:lineRule="exact"/>
        <w:rPr>
          <w:sz w:val="20"/>
          <w:szCs w:val="20"/>
          <w:color w:val="auto"/>
        </w:rPr>
      </w:pPr>
    </w:p>
    <w:p>
      <w:pPr>
        <w:ind w:firstLine="865"/>
        <w:spacing w:after="0" w:line="277" w:lineRule="auto"/>
        <w:rPr>
          <w:sz w:val="20"/>
          <w:szCs w:val="20"/>
          <w:color w:val="auto"/>
        </w:rPr>
      </w:pPr>
      <w:r>
        <w:rPr>
          <w:rFonts w:ascii="Arial" w:cs="Arial" w:eastAsia="Arial" w:hAnsi="Arial"/>
          <w:sz w:val="15"/>
          <w:szCs w:val="15"/>
          <w:color w:val="auto"/>
        </w:rPr>
        <w:t>No Issued Shares shall be sold, assigned, transferred, pledged, hypothecated, given away, or in any other manner disposed of or encumbered, whether voluntarily or by operation of law, unless (i) such transfer is in compliance with the terms of the applicable Award, all applicable securities laws, and with the terms and conditions of the Plan and (ii) the transferee consents in writing to be bound by the provisions of the Plan, if so required by the Board. In connection with any proposed transfer, the Board may require the transferor to provide at the transferor’s own expense an opinion of counsel to the transferor, satisfactory to the Board, that such transfer is in compliance with all foreign, federal, and state securities laws. Any attempted disposition of Issued Shares not in accordance with the terms and conditions of this Section 12.10.2 shall be null and void, and the Company shall not reflect on its records any change in record ownership of any Issued Shares as a result of any such disposition, shall otherwise refuse to recognize any such disposition, and shall not in any way give effect to any such disposition of Issued Shares.</w:t>
      </w:r>
    </w:p>
    <w:p>
      <w:pPr>
        <w:sectPr>
          <w:pgSz w:w="11900" w:h="16838" w:orient="portrait"/>
          <w:cols w:equalWidth="0" w:num="1">
            <w:col w:w="11180"/>
          </w:cols>
          <w:pgMar w:left="320" w:top="123" w:right="39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PRINCIPAL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 Cesar Johnston, certify that:</w:t>
      </w:r>
    </w:p>
    <w:p>
      <w:pPr>
        <w:spacing w:after="0" w:line="179" w:lineRule="exact"/>
        <w:rPr>
          <w:sz w:val="20"/>
          <w:szCs w:val="20"/>
          <w:color w:val="auto"/>
        </w:rPr>
      </w:pPr>
    </w:p>
    <w:p>
      <w:pPr>
        <w:ind w:left="940" w:hanging="543"/>
        <w:spacing w:after="0"/>
        <w:tabs>
          <w:tab w:leader="none" w:pos="9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Energous Corporation;</w:t>
      </w:r>
    </w:p>
    <w:p>
      <w:pPr>
        <w:spacing w:after="0" w:line="191" w:lineRule="exact"/>
        <w:rPr>
          <w:rFonts w:ascii="Arial" w:cs="Arial" w:eastAsia="Arial" w:hAnsi="Arial"/>
          <w:sz w:val="16"/>
          <w:szCs w:val="16"/>
          <w:color w:val="auto"/>
        </w:rPr>
      </w:pPr>
    </w:p>
    <w:p>
      <w:pPr>
        <w:ind w:left="940" w:right="200" w:hanging="543"/>
        <w:spacing w:after="0" w:line="355" w:lineRule="auto"/>
        <w:tabs>
          <w:tab w:leader="none" w:pos="9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4"/>
          <w:szCs w:val="14"/>
          <w:color w:val="auto"/>
        </w:rPr>
      </w:pPr>
    </w:p>
    <w:p>
      <w:pPr>
        <w:ind w:left="940" w:right="280" w:hanging="543"/>
        <w:spacing w:after="0" w:line="281" w:lineRule="auto"/>
        <w:tabs>
          <w:tab w:leader="none" w:pos="9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6"/>
          <w:szCs w:val="16"/>
          <w:color w:val="auto"/>
        </w:rPr>
      </w:pPr>
    </w:p>
    <w:p>
      <w:pPr>
        <w:ind w:left="940" w:right="100" w:hanging="543"/>
        <w:spacing w:after="0" w:line="267" w:lineRule="auto"/>
        <w:tabs>
          <w:tab w:leader="none" w:pos="9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6"/>
          <w:szCs w:val="16"/>
          <w:color w:val="auto"/>
        </w:rPr>
      </w:pPr>
    </w:p>
    <w:p>
      <w:pPr>
        <w:ind w:left="1340" w:right="20" w:hanging="544"/>
        <w:spacing w:after="0" w:line="267" w:lineRule="auto"/>
        <w:tabs>
          <w:tab w:leader="none" w:pos="13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6"/>
          <w:szCs w:val="16"/>
          <w:color w:val="auto"/>
        </w:rPr>
      </w:pPr>
    </w:p>
    <w:p>
      <w:pPr>
        <w:ind w:left="1340" w:right="120" w:hanging="544"/>
        <w:spacing w:after="0" w:line="267" w:lineRule="auto"/>
        <w:tabs>
          <w:tab w:leader="none" w:pos="13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6"/>
          <w:szCs w:val="16"/>
          <w:color w:val="auto"/>
        </w:rPr>
      </w:pPr>
    </w:p>
    <w:p>
      <w:pPr>
        <w:ind w:left="1340" w:right="180" w:hanging="544"/>
        <w:spacing w:after="0" w:line="281" w:lineRule="auto"/>
        <w:tabs>
          <w:tab w:leader="none" w:pos="13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6"/>
          <w:szCs w:val="16"/>
          <w:color w:val="auto"/>
        </w:rPr>
      </w:pPr>
    </w:p>
    <w:p>
      <w:pPr>
        <w:ind w:left="1340" w:right="220" w:hanging="544"/>
        <w:spacing w:after="0" w:line="267" w:lineRule="auto"/>
        <w:tabs>
          <w:tab w:leader="none" w:pos="13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6"/>
          <w:szCs w:val="16"/>
          <w:color w:val="auto"/>
        </w:rPr>
      </w:pPr>
    </w:p>
    <w:p>
      <w:pPr>
        <w:ind w:left="940" w:right="680" w:hanging="543"/>
        <w:spacing w:after="0" w:line="316" w:lineRule="auto"/>
        <w:tabs>
          <w:tab w:leader="none" w:pos="9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Arial" w:cs="Arial" w:eastAsia="Arial" w:hAnsi="Arial"/>
          <w:sz w:val="15"/>
          <w:szCs w:val="15"/>
          <w:color w:val="auto"/>
        </w:rPr>
      </w:pPr>
    </w:p>
    <w:p>
      <w:pPr>
        <w:ind w:left="1340" w:right="100" w:hanging="544"/>
        <w:spacing w:after="0" w:line="281" w:lineRule="auto"/>
        <w:tabs>
          <w:tab w:leader="none" w:pos="13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6"/>
          <w:szCs w:val="16"/>
          <w:color w:val="auto"/>
        </w:rPr>
      </w:pPr>
    </w:p>
    <w:p>
      <w:pPr>
        <w:ind w:left="1340" w:right="320" w:hanging="544"/>
        <w:spacing w:after="0" w:line="281" w:lineRule="auto"/>
        <w:tabs>
          <w:tab w:leader="none" w:pos="13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Date: August 10, 2021</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 Cesar Johnston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Name:</w:t>
            </w:r>
          </w:p>
        </w:tc>
        <w:tc>
          <w:tcPr>
            <w:tcW w:w="5060" w:type="dxa"/>
            <w:vAlign w:val="bottom"/>
            <w:tcBorders>
              <w:top w:val="single" w:sz="8" w:color="auto"/>
            </w:tcBorders>
          </w:tcPr>
          <w:p>
            <w:pPr>
              <w:ind w:left="120"/>
              <w:spacing w:after="0" w:line="174" w:lineRule="exact"/>
              <w:rPr>
                <w:sz w:val="20"/>
                <w:szCs w:val="20"/>
                <w:color w:val="auto"/>
              </w:rPr>
            </w:pPr>
            <w:r>
              <w:rPr>
                <w:rFonts w:ascii="Arial" w:cs="Arial" w:eastAsia="Arial" w:hAnsi="Arial"/>
                <w:sz w:val="16"/>
                <w:szCs w:val="16"/>
                <w:color w:val="auto"/>
              </w:rPr>
              <w:t>Cesar Johnston</w:t>
            </w: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060" w:type="dxa"/>
            <w:vAlign w:val="bottom"/>
          </w:tcPr>
          <w:p>
            <w:pPr>
              <w:ind w:left="120"/>
              <w:spacing w:after="0"/>
              <w:rPr>
                <w:sz w:val="20"/>
                <w:szCs w:val="20"/>
                <w:color w:val="auto"/>
              </w:rPr>
            </w:pPr>
            <w:r>
              <w:rPr>
                <w:rFonts w:ascii="Arial" w:cs="Arial" w:eastAsia="Arial" w:hAnsi="Arial"/>
                <w:sz w:val="16"/>
                <w:szCs w:val="16"/>
                <w:color w:val="auto"/>
              </w:rPr>
              <w:t>Acting Chief Executive Officer</w:t>
            </w:r>
          </w:p>
        </w:tc>
      </w:tr>
    </w:tbl>
    <w:p>
      <w:pPr>
        <w:sectPr>
          <w:pgSz w:w="11900" w:h="16838" w:orient="portrait"/>
          <w:cols w:equalWidth="0" w:num="1">
            <w:col w:w="11260"/>
          </w:cols>
          <w:pgMar w:left="320" w:top="329"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PRINCIPAL EXECUTIVE AND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 Brian Sereda, certify that:</w:t>
      </w:r>
    </w:p>
    <w:p>
      <w:pPr>
        <w:spacing w:after="0" w:line="179" w:lineRule="exact"/>
        <w:rPr>
          <w:sz w:val="20"/>
          <w:szCs w:val="20"/>
          <w:color w:val="auto"/>
        </w:rPr>
      </w:pPr>
    </w:p>
    <w:p>
      <w:pPr>
        <w:ind w:left="940" w:hanging="543"/>
        <w:spacing w:after="0"/>
        <w:tabs>
          <w:tab w:leader="none" w:pos="9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Energous Corporation;</w:t>
      </w:r>
    </w:p>
    <w:p>
      <w:pPr>
        <w:spacing w:after="0" w:line="191" w:lineRule="exact"/>
        <w:rPr>
          <w:rFonts w:ascii="Arial" w:cs="Arial" w:eastAsia="Arial" w:hAnsi="Arial"/>
          <w:sz w:val="16"/>
          <w:szCs w:val="16"/>
          <w:color w:val="auto"/>
        </w:rPr>
      </w:pPr>
    </w:p>
    <w:p>
      <w:pPr>
        <w:ind w:left="940" w:right="200" w:hanging="543"/>
        <w:spacing w:after="0" w:line="355" w:lineRule="auto"/>
        <w:tabs>
          <w:tab w:leader="none" w:pos="9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4"/>
          <w:szCs w:val="14"/>
          <w:color w:val="auto"/>
        </w:rPr>
      </w:pPr>
    </w:p>
    <w:p>
      <w:pPr>
        <w:ind w:left="940" w:right="280" w:hanging="543"/>
        <w:spacing w:after="0" w:line="281" w:lineRule="auto"/>
        <w:tabs>
          <w:tab w:leader="none" w:pos="9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6"/>
          <w:szCs w:val="16"/>
          <w:color w:val="auto"/>
        </w:rPr>
      </w:pPr>
    </w:p>
    <w:p>
      <w:pPr>
        <w:ind w:left="940" w:right="100" w:hanging="543"/>
        <w:spacing w:after="0" w:line="267" w:lineRule="auto"/>
        <w:tabs>
          <w:tab w:leader="none" w:pos="9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6"/>
          <w:szCs w:val="16"/>
          <w:color w:val="auto"/>
        </w:rPr>
      </w:pPr>
    </w:p>
    <w:p>
      <w:pPr>
        <w:ind w:left="1340" w:right="20" w:hanging="544"/>
        <w:spacing w:after="0" w:line="267" w:lineRule="auto"/>
        <w:tabs>
          <w:tab w:leader="none" w:pos="13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6"/>
          <w:szCs w:val="16"/>
          <w:color w:val="auto"/>
        </w:rPr>
      </w:pPr>
    </w:p>
    <w:p>
      <w:pPr>
        <w:ind w:left="1340" w:right="120" w:hanging="544"/>
        <w:spacing w:after="0" w:line="267" w:lineRule="auto"/>
        <w:tabs>
          <w:tab w:leader="none" w:pos="13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6"/>
          <w:szCs w:val="16"/>
          <w:color w:val="auto"/>
        </w:rPr>
      </w:pPr>
    </w:p>
    <w:p>
      <w:pPr>
        <w:ind w:left="1340" w:right="180" w:hanging="544"/>
        <w:spacing w:after="0" w:line="281" w:lineRule="auto"/>
        <w:tabs>
          <w:tab w:leader="none" w:pos="13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6"/>
          <w:szCs w:val="16"/>
          <w:color w:val="auto"/>
        </w:rPr>
      </w:pPr>
    </w:p>
    <w:p>
      <w:pPr>
        <w:ind w:left="1340" w:right="220" w:hanging="544"/>
        <w:spacing w:after="0" w:line="267" w:lineRule="auto"/>
        <w:tabs>
          <w:tab w:leader="none" w:pos="13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6"/>
          <w:szCs w:val="16"/>
          <w:color w:val="auto"/>
        </w:rPr>
      </w:pPr>
    </w:p>
    <w:p>
      <w:pPr>
        <w:ind w:left="940" w:right="680" w:hanging="543"/>
        <w:spacing w:after="0" w:line="316" w:lineRule="auto"/>
        <w:tabs>
          <w:tab w:leader="none" w:pos="9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Arial" w:cs="Arial" w:eastAsia="Arial" w:hAnsi="Arial"/>
          <w:sz w:val="15"/>
          <w:szCs w:val="15"/>
          <w:color w:val="auto"/>
        </w:rPr>
      </w:pPr>
    </w:p>
    <w:p>
      <w:pPr>
        <w:ind w:left="1340" w:right="100" w:hanging="544"/>
        <w:spacing w:after="0" w:line="281" w:lineRule="auto"/>
        <w:tabs>
          <w:tab w:leader="none" w:pos="13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6"/>
          <w:szCs w:val="16"/>
          <w:color w:val="auto"/>
        </w:rPr>
      </w:pPr>
    </w:p>
    <w:p>
      <w:pPr>
        <w:ind w:left="1340" w:right="320" w:hanging="544"/>
        <w:spacing w:after="0" w:line="281" w:lineRule="auto"/>
        <w:tabs>
          <w:tab w:leader="none" w:pos="13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Date: August 10, 2021</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 Brian Sereda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Name:</w:t>
            </w:r>
          </w:p>
        </w:tc>
        <w:tc>
          <w:tcPr>
            <w:tcW w:w="5060" w:type="dxa"/>
            <w:vAlign w:val="bottom"/>
            <w:tcBorders>
              <w:top w:val="single" w:sz="8" w:color="auto"/>
            </w:tcBorders>
          </w:tcPr>
          <w:p>
            <w:pPr>
              <w:ind w:left="120"/>
              <w:spacing w:after="0" w:line="174" w:lineRule="exact"/>
              <w:rPr>
                <w:sz w:val="20"/>
                <w:szCs w:val="20"/>
                <w:color w:val="auto"/>
              </w:rPr>
            </w:pPr>
            <w:r>
              <w:rPr>
                <w:rFonts w:ascii="Arial" w:cs="Arial" w:eastAsia="Arial" w:hAnsi="Arial"/>
                <w:sz w:val="16"/>
                <w:szCs w:val="16"/>
                <w:color w:val="auto"/>
              </w:rPr>
              <w:t>Brian Sereda</w:t>
            </w:r>
          </w:p>
        </w:tc>
      </w:t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060" w:type="dxa"/>
            <w:vAlign w:val="bottom"/>
          </w:tcPr>
          <w:p>
            <w:pPr>
              <w:ind w:left="120"/>
              <w:spacing w:after="0"/>
              <w:rPr>
                <w:sz w:val="20"/>
                <w:szCs w:val="20"/>
                <w:color w:val="auto"/>
              </w:rPr>
            </w:pPr>
            <w:r>
              <w:rPr>
                <w:rFonts w:ascii="Arial" w:cs="Arial" w:eastAsia="Arial" w:hAnsi="Arial"/>
                <w:sz w:val="16"/>
                <w:szCs w:val="16"/>
                <w:color w:val="auto"/>
              </w:rPr>
              <w:t>Senior Vice President and Chief Financial Officer</w:t>
            </w:r>
          </w:p>
        </w:tc>
      </w:tr>
    </w:tbl>
    <w:p>
      <w:pPr>
        <w:sectPr>
          <w:pgSz w:w="11900" w:h="16838" w:orient="portrait"/>
          <w:cols w:equalWidth="0" w:num="1">
            <w:col w:w="11260"/>
          </w:cols>
          <w:pgMar w:left="320" w:top="329" w:right="31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t>EXHIBIT 32.1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connection with the Quarterly Report of Energous Corporation (the “Company”) on Form 10-Q for the period ended June 30, 2021 as filed with the Securities and Exchange Commission on the date hereof (the “Report”), we, Cesar Johnston, Acting Chief Executive Officer and Brian Sereda, Senior Vice President and Chief Financial Officer, certify, pursuant to 18 U.S.C. § 1350, as adopted pursuant to § 906 of the Sarbanes-Oxley Act of 2002, that:</w:t>
      </w:r>
    </w:p>
    <w:p>
      <w:pPr>
        <w:spacing w:after="0" w:line="125" w:lineRule="exact"/>
        <w:rPr>
          <w:sz w:val="20"/>
          <w:szCs w:val="20"/>
          <w:color w:val="auto"/>
        </w:rPr>
      </w:pPr>
    </w:p>
    <w:p>
      <w:pPr>
        <w:ind w:left="1080" w:hanging="538"/>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1" w:lineRule="exact"/>
        <w:rPr>
          <w:rFonts w:ascii="Arial" w:cs="Arial" w:eastAsia="Arial" w:hAnsi="Arial"/>
          <w:sz w:val="16"/>
          <w:szCs w:val="16"/>
          <w:color w:val="auto"/>
        </w:rPr>
      </w:pPr>
    </w:p>
    <w:p>
      <w:pPr>
        <w:ind w:left="1080" w:right="360" w:hanging="538"/>
        <w:spacing w:after="0" w:line="281"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for the periods presented therein.</w:t>
      </w:r>
    </w:p>
    <w:p>
      <w:pPr>
        <w:spacing w:after="0" w:line="15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60" w:type="dxa"/>
            <w:vAlign w:val="bottom"/>
            <w:gridSpan w:val="3"/>
          </w:tcPr>
          <w:p>
            <w:pPr>
              <w:spacing w:after="0"/>
              <w:rPr>
                <w:sz w:val="20"/>
                <w:szCs w:val="20"/>
                <w:color w:val="auto"/>
              </w:rPr>
            </w:pPr>
            <w:r>
              <w:rPr>
                <w:rFonts w:ascii="Arial" w:cs="Arial" w:eastAsia="Arial" w:hAnsi="Arial"/>
                <w:sz w:val="16"/>
                <w:szCs w:val="16"/>
                <w:color w:val="auto"/>
              </w:rPr>
              <w:t>/s/ Cesar Johnston</w:t>
            </w:r>
          </w:p>
        </w:tc>
        <w:tc>
          <w:tcPr>
            <w:tcW w:w="5500" w:type="dxa"/>
            <w:vAlign w:val="bottom"/>
            <w:gridSpan w:val="2"/>
          </w:tcPr>
          <w:p>
            <w:pPr>
              <w:spacing w:after="0"/>
              <w:rPr>
                <w:sz w:val="20"/>
                <w:szCs w:val="20"/>
                <w:color w:val="auto"/>
              </w:rPr>
            </w:pPr>
            <w:r>
              <w:rPr>
                <w:rFonts w:ascii="Arial" w:cs="Arial" w:eastAsia="Arial" w:hAnsi="Arial"/>
                <w:sz w:val="16"/>
                <w:szCs w:val="16"/>
                <w:color w:val="auto"/>
              </w:rPr>
              <w:t>/s/ Brian Sereda</w:t>
            </w:r>
          </w:p>
        </w:tc>
      </w:tr>
      <w:tr>
        <w:trPr>
          <w:trHeight w:val="174"/>
        </w:trPr>
        <w:tc>
          <w:tcPr>
            <w:tcW w:w="60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Name:</w:t>
            </w:r>
          </w:p>
        </w:tc>
        <w:tc>
          <w:tcPr>
            <w:tcW w:w="4960" w:type="dxa"/>
            <w:vAlign w:val="bottom"/>
            <w:tcBorders>
              <w:top w:val="single" w:sz="8" w:color="auto"/>
            </w:tcBorders>
          </w:tcPr>
          <w:p>
            <w:pPr>
              <w:ind w:left="180"/>
              <w:spacing w:after="0" w:line="174" w:lineRule="exact"/>
              <w:rPr>
                <w:sz w:val="20"/>
                <w:szCs w:val="20"/>
                <w:color w:val="auto"/>
              </w:rPr>
            </w:pPr>
            <w:r>
              <w:rPr>
                <w:rFonts w:ascii="Arial" w:cs="Arial" w:eastAsia="Arial" w:hAnsi="Arial"/>
                <w:sz w:val="16"/>
                <w:szCs w:val="16"/>
                <w:color w:val="auto"/>
              </w:rPr>
              <w:t>Cesar Johnston</w:t>
            </w:r>
          </w:p>
        </w:tc>
        <w:tc>
          <w:tcPr>
            <w:tcW w:w="200" w:type="dxa"/>
            <w:vAlign w:val="bottom"/>
          </w:tcPr>
          <w:p>
            <w:pPr>
              <w:spacing w:after="0"/>
              <w:rPr>
                <w:sz w:val="15"/>
                <w:szCs w:val="15"/>
                <w:color w:val="auto"/>
              </w:rPr>
            </w:pPr>
          </w:p>
        </w:tc>
        <w:tc>
          <w:tcPr>
            <w:tcW w:w="540" w:type="dxa"/>
            <w:vAlign w:val="bottom"/>
            <w:tcBorders>
              <w:top w:val="single" w:sz="8" w:color="auto"/>
            </w:tcBorders>
          </w:tcPr>
          <w:p>
            <w:pPr>
              <w:spacing w:after="0" w:line="174" w:lineRule="exact"/>
              <w:rPr>
                <w:sz w:val="20"/>
                <w:szCs w:val="20"/>
                <w:color w:val="auto"/>
              </w:rPr>
            </w:pPr>
            <w:r>
              <w:rPr>
                <w:rFonts w:ascii="Arial" w:cs="Arial" w:eastAsia="Arial" w:hAnsi="Arial"/>
                <w:sz w:val="16"/>
                <w:szCs w:val="16"/>
                <w:color w:val="auto"/>
              </w:rPr>
              <w:t>Name:</w:t>
            </w:r>
          </w:p>
        </w:tc>
        <w:tc>
          <w:tcPr>
            <w:tcW w:w="4960" w:type="dxa"/>
            <w:vAlign w:val="bottom"/>
            <w:tcBorders>
              <w:top w:val="single" w:sz="8" w:color="auto"/>
            </w:tcBorders>
          </w:tcPr>
          <w:p>
            <w:pPr>
              <w:ind w:left="120"/>
              <w:spacing w:after="0" w:line="174" w:lineRule="exact"/>
              <w:rPr>
                <w:sz w:val="20"/>
                <w:szCs w:val="20"/>
                <w:color w:val="auto"/>
              </w:rPr>
            </w:pPr>
            <w:r>
              <w:rPr>
                <w:rFonts w:ascii="Arial" w:cs="Arial" w:eastAsia="Arial" w:hAnsi="Arial"/>
                <w:sz w:val="16"/>
                <w:szCs w:val="16"/>
                <w:color w:val="auto"/>
              </w:rPr>
              <w:t>Brian Sereda</w:t>
            </w:r>
          </w:p>
        </w:tc>
      </w:tr>
      <w:tr>
        <w:trPr>
          <w:trHeight w:val="194"/>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5160" w:type="dxa"/>
            <w:vAlign w:val="bottom"/>
            <w:gridSpan w:val="2"/>
          </w:tcPr>
          <w:p>
            <w:pPr>
              <w:ind w:left="180"/>
              <w:spacing w:after="0"/>
              <w:rPr>
                <w:sz w:val="20"/>
                <w:szCs w:val="20"/>
                <w:color w:val="auto"/>
              </w:rPr>
            </w:pPr>
            <w:r>
              <w:rPr>
                <w:rFonts w:ascii="Arial" w:cs="Arial" w:eastAsia="Arial" w:hAnsi="Arial"/>
                <w:sz w:val="16"/>
                <w:szCs w:val="16"/>
                <w:color w:val="auto"/>
              </w:rPr>
              <w:t>Acting Chief Executive Officer</w:t>
            </w:r>
          </w:p>
        </w:tc>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Pr>
          <w:p>
            <w:pPr>
              <w:ind w:left="120"/>
              <w:spacing w:after="0"/>
              <w:rPr>
                <w:sz w:val="20"/>
                <w:szCs w:val="20"/>
                <w:color w:val="auto"/>
              </w:rPr>
            </w:pPr>
            <w:r>
              <w:rPr>
                <w:rFonts w:ascii="Arial" w:cs="Arial" w:eastAsia="Arial" w:hAnsi="Arial"/>
                <w:sz w:val="16"/>
                <w:szCs w:val="16"/>
                <w:color w:val="auto"/>
              </w:rPr>
              <w:t>Senior Vice President and Chief Financial Officer</w:t>
            </w:r>
          </w:p>
        </w:tc>
      </w:tr>
      <w:tr>
        <w:trPr>
          <w:trHeight w:val="206"/>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5160" w:type="dxa"/>
            <w:vAlign w:val="bottom"/>
            <w:gridSpan w:val="2"/>
          </w:tcPr>
          <w:p>
            <w:pPr>
              <w:ind w:left="180"/>
              <w:spacing w:after="0"/>
              <w:rPr>
                <w:sz w:val="20"/>
                <w:szCs w:val="20"/>
                <w:color w:val="auto"/>
              </w:rPr>
            </w:pPr>
            <w:r>
              <w:rPr>
                <w:rFonts w:ascii="Arial" w:cs="Arial" w:eastAsia="Arial" w:hAnsi="Arial"/>
                <w:sz w:val="16"/>
                <w:szCs w:val="16"/>
                <w:color w:val="auto"/>
              </w:rPr>
              <w:t>August 10, 2021</w:t>
            </w:r>
          </w:p>
        </w:tc>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4960" w:type="dxa"/>
            <w:vAlign w:val="bottom"/>
          </w:tcPr>
          <w:p>
            <w:pPr>
              <w:ind w:left="120"/>
              <w:spacing w:after="0"/>
              <w:rPr>
                <w:sz w:val="20"/>
                <w:szCs w:val="20"/>
                <w:color w:val="auto"/>
              </w:rPr>
            </w:pPr>
            <w:r>
              <w:rPr>
                <w:rFonts w:ascii="Arial" w:cs="Arial" w:eastAsia="Arial" w:hAnsi="Arial"/>
                <w:sz w:val="16"/>
                <w:szCs w:val="16"/>
                <w:color w:val="auto"/>
              </w:rPr>
              <w:t>August 10, 2021</w:t>
            </w:r>
          </w:p>
        </w:tc>
      </w:tr>
    </w:tbl>
    <w:p>
      <w:pPr>
        <w:spacing w:after="0" w:line="1" w:lineRule="exact"/>
        <w:rPr>
          <w:sz w:val="20"/>
          <w:szCs w:val="20"/>
          <w:color w:val="auto"/>
        </w:rPr>
      </w:pPr>
    </w:p>
    <w:sectPr>
      <w:pgSz w:w="11900" w:h="16838" w:orient="portrait"/>
      <w:cols w:equalWidth="0" w:num="1">
        <w:col w:w="11260"/>
      </w:cols>
      <w:pgMar w:left="320" w:top="3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1."/>
      <w:numFmt w:val="decimal"/>
      <w:start w:val="1"/>
    </w:lvl>
    <w:lvl w:ilvl="1">
      <w:lvlJc w:val="left"/>
      <w:lvlText w:val="(%2)"/>
      <w:numFmt w:val="lowerLetter"/>
      <w:start w:val="1"/>
    </w:lvl>
  </w:abstractNum>
  <w:abstractNum w:abstractNumId="11">
    <w:nsid w:val="75C6C33A"/>
    <w:multiLevelType w:val="hybridMultilevel"/>
    <w:lvl w:ilvl="0">
      <w:lvlJc w:val="left"/>
      <w:lvlText w:val="(%1)"/>
      <w:numFmt w:val="lowerLetter"/>
      <w:start w:val="2"/>
    </w:lvl>
  </w:abstractNum>
  <w:abstractNum w:abstractNumId="12">
    <w:nsid w:val="12E685FB"/>
    <w:multiLevelType w:val="hybridMultilevel"/>
    <w:lvl w:ilvl="0">
      <w:lvlJc w:val="left"/>
      <w:lvlText w:val="%1"/>
      <w:numFmt w:val="decimal"/>
      <w:start w:val="1"/>
    </w:lvl>
    <w:lvl w:ilvl="1">
      <w:lvlJc w:val="left"/>
      <w:lvlText w:val="(%2)"/>
      <w:numFmt w:val="lowerLetter"/>
      <w:start w:val="7"/>
    </w:lvl>
  </w:abstractNum>
  <w:abstractNum w:abstractNumId="13">
    <w:nsid w:val="70C6A529"/>
    <w:multiLevelType w:val="hybridMultilevel"/>
    <w:lvl w:ilvl="0">
      <w:lvlJc w:val="left"/>
      <w:lvlText w:val="%1."/>
      <w:numFmt w:val="decimal"/>
      <w:start w:val="2"/>
    </w:lvl>
    <w:lvl w:ilvl="1">
      <w:lvlJc w:val="left"/>
      <w:lvlText w:val="(%2)"/>
      <w:numFmt w:val="lowerLetter"/>
      <w:start w:val="1"/>
    </w:lvl>
  </w:abstractNum>
  <w:abstractNum w:abstractNumId="14">
    <w:nsid w:val="520EEDD1"/>
    <w:multiLevelType w:val="hybridMultilevel"/>
    <w:lvl w:ilvl="0">
      <w:lvlJc w:val="left"/>
      <w:lvlText w:val="%1."/>
      <w:numFmt w:val="decimal"/>
      <w:start w:val="4"/>
    </w:lvl>
    <w:lvl w:ilvl="1">
      <w:lvlJc w:val="left"/>
      <w:lvlText w:val="(%2)"/>
      <w:numFmt w:val="lowerLetter"/>
      <w:start w:val="1"/>
    </w:lvl>
  </w:abstractNum>
  <w:abstractNum w:abstractNumId="15">
    <w:nsid w:val="374A3FE6"/>
    <w:multiLevelType w:val="hybridMultilevel"/>
    <w:lvl w:ilvl="0">
      <w:lvlJc w:val="left"/>
      <w:lvlText w:val="%1"/>
      <w:numFmt w:val="decimal"/>
      <w:start w:val="1"/>
    </w:lvl>
    <w:lvl w:ilvl="1">
      <w:lvlJc w:val="left"/>
      <w:lvlText w:val="(%2)"/>
      <w:numFmt w:val="lowerLetter"/>
      <w:start w:val="2"/>
    </w:lvl>
  </w:abstractNum>
  <w:abstractNum w:abstractNumId="16">
    <w:nsid w:val="4F4EF005"/>
    <w:multiLevelType w:val="hybridMultilevel"/>
    <w:lvl w:ilvl="0">
      <w:lvlJc w:val="left"/>
      <w:lvlText w:val="%1."/>
      <w:numFmt w:val="decimal"/>
      <w:start w:val="8"/>
    </w:lvl>
    <w:lvl w:ilvl="1">
      <w:lvlJc w:val="left"/>
      <w:lvlText w:val="(%2)"/>
      <w:numFmt w:val="lowerLetter"/>
      <w:start w:val="1"/>
    </w:lvl>
  </w:abstractNum>
  <w:abstractNum w:abstractNumId="17">
    <w:nsid w:val="23F9C13C"/>
    <w:multiLevelType w:val="hybridMultilevel"/>
    <w:lvl w:ilvl="0">
      <w:lvlJc w:val="left"/>
      <w:lvlText w:val="(%1)"/>
      <w:numFmt w:val="lowerLetter"/>
      <w:start w:val="2"/>
    </w:lvl>
    <w:lvl w:ilvl="1">
      <w:lvlJc w:val="left"/>
      <w:lvlText w:val="(%2)"/>
      <w:numFmt w:val="decimal"/>
      <w:start w:val="1"/>
    </w:lvl>
  </w:abstractNum>
  <w:abstractNum w:abstractNumId="18">
    <w:nsid w:val="649BB77C"/>
    <w:multiLevelType w:val="hybridMultilevel"/>
    <w:lvl w:ilvl="0">
      <w:lvlJc w:val="left"/>
      <w:lvlText w:val="(%1)"/>
      <w:numFmt w:val="lowerLetter"/>
      <w:start w:val="4"/>
    </w:lvl>
    <w:lvl w:ilvl="1">
      <w:lvlJc w:val="left"/>
      <w:lvlText w:val="(%2)"/>
      <w:numFmt w:val="lowerLetter"/>
      <w:start w:val="5"/>
    </w:lvl>
  </w:abstractNum>
  <w:abstractNum w:abstractNumId="19">
    <w:nsid w:val="275AC794"/>
    <w:multiLevelType w:val="hybridMultilevel"/>
    <w:lvl w:ilvl="0">
      <w:lvlJc w:val="left"/>
      <w:lvlText w:val="(%1)"/>
      <w:numFmt w:val="lowerLetter"/>
      <w:start w:val="6"/>
    </w:lvl>
  </w:abstractNum>
  <w:abstractNum w:abstractNumId="20">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21">
    <w:nsid w:val="1CF10FD8"/>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2">
    <w:nsid w:val="180115BE"/>
    <w:multiLevelType w:val="hybridMultilevel"/>
    <w:lvl w:ilvl="0">
      <w:lvlJc w:val="left"/>
      <w:lvlText w:val="%1"/>
      <w:numFmt w:val="decimal"/>
      <w:start w:val="1"/>
    </w:lvl>
    <w:lvl w:ilvl="1">
      <w:lvlJc w:val="left"/>
      <w:lvlText w:val="(%2)"/>
      <w:numFmt w:val="lowerLetter"/>
      <w:start w:val="3"/>
    </w:lvl>
  </w:abstractNum>
  <w:abstractNum w:abstractNumId="23">
    <w:nsid w:val="235BA861"/>
    <w:multiLevelType w:val="hybridMultilevel"/>
    <w:lvl w:ilvl="0">
      <w:lvlJc w:val="left"/>
      <w:lvlText w:val="%1."/>
      <w:numFmt w:val="decimal"/>
      <w:start w:val="10"/>
    </w:lvl>
    <w:lvl w:ilvl="1">
      <w:lvlJc w:val="left"/>
      <w:lvlText w:val="%2"/>
      <w:numFmt w:val="lowerLetter"/>
      <w:start w:val="1"/>
    </w:lvl>
  </w:abstractNum>
  <w:abstractNum w:abstractNumId="24">
    <w:nsid w:val="47398C89"/>
    <w:multiLevelType w:val="hybridMultilevel"/>
    <w:lvl w:ilvl="0">
      <w:lvlJc w:val="left"/>
      <w:lvlText w:val="%1."/>
      <w:numFmt w:val="decimal"/>
      <w:start w:val="16"/>
    </w:lvl>
    <w:lvl w:ilvl="1">
      <w:lvlJc w:val="left"/>
      <w:lvlText w:val="(%2)"/>
      <w:numFmt w:val="lowerLetter"/>
      <w:start w:val="2"/>
    </w:lvl>
  </w:abstractNum>
  <w:abstractNum w:abstractNumId="25">
    <w:nsid w:val="354FE9F9"/>
    <w:multiLevelType w:val="hybridMultilevel"/>
    <w:lvl w:ilvl="0">
      <w:lvlJc w:val="left"/>
      <w:lvlText w:val="%1."/>
      <w:numFmt w:val="decimal"/>
      <w:start w:val="2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1."/>
      <w:numFmt w:val="decimal"/>
      <w:start w:val="2"/>
    </w:lvl>
  </w:abstractNum>
  <w:abstractNum w:abstractNumId="28">
    <w:nsid w:val="D34B6A8"/>
    <w:multiLevelType w:val="hybridMultilevel"/>
    <w:lvl w:ilvl="0">
      <w:lvlJc w:val="left"/>
      <w:lvlText w:val="%1."/>
      <w:numFmt w:val="decimal"/>
      <w:start w:val="3"/>
    </w:lvl>
  </w:abstractNum>
  <w:abstractNum w:abstractNumId="29">
    <w:nsid w:val="10233C99"/>
    <w:multiLevelType w:val="hybridMultilevel"/>
    <w:lvl w:ilvl="0">
      <w:lvlJc w:val="left"/>
      <w:lvlText w:val="(%1)"/>
      <w:numFmt w:val="lowerRoman"/>
      <w:start w:val="1"/>
    </w:lvl>
  </w:abstractNum>
  <w:abstractNum w:abstractNumId="30">
    <w:nsid w:val="3F6AB60F"/>
    <w:multiLevelType w:val="hybridMultilevel"/>
    <w:lvl w:ilvl="0">
      <w:lvlJc w:val="left"/>
      <w:lvlText w:val="%1."/>
      <w:numFmt w:val="decimal"/>
      <w:start w:val="4"/>
    </w:lvl>
  </w:abstractNum>
  <w:abstractNum w:abstractNumId="31">
    <w:nsid w:val="61574095"/>
    <w:multiLevelType w:val="hybridMultilevel"/>
    <w:lvl w:ilvl="0">
      <w:lvlJc w:val="left"/>
      <w:lvlText w:val="%1."/>
      <w:numFmt w:val="decimal"/>
      <w:start w:val="5"/>
    </w:lvl>
  </w:abstractNum>
  <w:abstractNum w:abstractNumId="32">
    <w:nsid w:val="7E0C57B1"/>
    <w:multiLevelType w:val="hybridMultilevel"/>
    <w:lvl w:ilvl="0">
      <w:lvlJc w:val="left"/>
      <w:lvlText w:val="%1."/>
      <w:numFmt w:val="decimal"/>
      <w:start w:val="6"/>
    </w:lvl>
  </w:abstractNum>
  <w:abstractNum w:abstractNumId="33">
    <w:nsid w:val="77AE35EB"/>
    <w:multiLevelType w:val="hybridMultilevel"/>
    <w:lvl w:ilvl="0">
      <w:lvlJc w:val="left"/>
      <w:lvlText w:val="%1."/>
      <w:numFmt w:val="decimal"/>
      <w:start w:val="7"/>
    </w:lvl>
  </w:abstractNum>
  <w:abstractNum w:abstractNumId="34">
    <w:nsid w:val="579BE4F1"/>
    <w:multiLevelType w:val="hybridMultilevel"/>
    <w:lvl w:ilvl="0">
      <w:lvlJc w:val="left"/>
      <w:lvlText w:val="%1."/>
      <w:numFmt w:val="decimal"/>
      <w:start w:val="8"/>
    </w:lvl>
  </w:abstractNum>
  <w:abstractNum w:abstractNumId="35">
    <w:nsid w:val="310C50B3"/>
    <w:multiLevelType w:val="hybridMultilevel"/>
    <w:lvl w:ilvl="0">
      <w:lvlJc w:val="left"/>
      <w:lvlText w:val="%1."/>
      <w:numFmt w:val="decimal"/>
      <w:start w:val="9"/>
    </w:lvl>
  </w:abstractNum>
  <w:abstractNum w:abstractNumId="36">
    <w:nsid w:val="5FF87E05"/>
    <w:multiLevelType w:val="hybridMultilevel"/>
    <w:lvl w:ilvl="0">
      <w:lvlJc w:val="left"/>
      <w:lvlText w:val="%1"/>
      <w:numFmt w:val="decimal"/>
      <w:start w:val="1"/>
    </w:lvl>
    <w:lvl w:ilvl="1">
      <w:lvlJc w:val="left"/>
      <w:lvlText w:val="(%2)"/>
      <w:numFmt w:val="lowerRoman"/>
      <w:start w:val="1"/>
    </w:lvl>
  </w:abstractNum>
  <w:abstractNum w:abstractNumId="37">
    <w:nsid w:val="2F305DEF"/>
    <w:multiLevelType w:val="hybridMultilevel"/>
    <w:lvl w:ilvl="0">
      <w:lvlJc w:val="left"/>
      <w:lvlText w:val="%1."/>
      <w:numFmt w:val="decimal"/>
      <w:start w:val="10"/>
    </w:lvl>
    <w:lvl w:ilvl="1">
      <w:lvlJc w:val="left"/>
      <w:lvlText w:val="%2"/>
      <w:numFmt w:val="lowerRoman"/>
      <w:start w:val="1"/>
    </w:lvl>
  </w:abstractNum>
  <w:abstractNum w:abstractNumId="38">
    <w:nsid w:val="25A70BF7"/>
    <w:multiLevelType w:val="hybridMultilevel"/>
    <w:lvl w:ilvl="0">
      <w:lvlJc w:val="left"/>
      <w:lvlText w:val="%1."/>
      <w:numFmt w:val="decimal"/>
      <w:start w:val="11"/>
    </w:lvl>
  </w:abstractNum>
  <w:abstractNum w:abstractNumId="39">
    <w:nsid w:val="1DBABF00"/>
    <w:multiLevelType w:val="hybridMultilevel"/>
    <w:lvl w:ilvl="0">
      <w:lvlJc w:val="left"/>
      <w:lvlText w:val="%1."/>
      <w:numFmt w:val="decimal"/>
      <w:start w:val="12"/>
    </w:lvl>
  </w:abstractNum>
  <w:abstractNum w:abstractNumId="40">
    <w:nsid w:val="4AD084E9"/>
    <w:multiLevelType w:val="hybridMultilevel"/>
    <w:lvl w:ilvl="0">
      <w:lvlJc w:val="left"/>
      <w:lvlText w:val="(%1)"/>
      <w:numFmt w:val="lowerRoman"/>
      <w:start w:val="4"/>
    </w:lvl>
  </w:abstractNum>
  <w:abstractNum w:abstractNumId="41">
    <w:nsid w:val="1F48EAA1"/>
    <w:multiLevelType w:val="hybridMultilevel"/>
    <w:lvl w:ilvl="0">
      <w:lvlJc w:val="left"/>
      <w:lvlText w:val="(%1)"/>
      <w:numFmt w:val="lowerRoman"/>
      <w:start w:val="8"/>
    </w:lvl>
  </w:abstractNum>
  <w:abstractNum w:abstractNumId="42">
    <w:nsid w:val="1381823A"/>
    <w:multiLevelType w:val="hybridMultilevel"/>
    <w:lvl w:ilvl="0">
      <w:lvlJc w:val="left"/>
      <w:lvlText w:val="%1."/>
      <w:numFmt w:val="decimal"/>
      <w:start w:val="13"/>
    </w:lvl>
  </w:abstractNum>
  <w:abstractNum w:abstractNumId="43">
    <w:nsid w:val="5DB70AE5"/>
    <w:multiLevelType w:val="hybridMultilevel"/>
    <w:lvl w:ilvl="0">
      <w:lvlJc w:val="left"/>
      <w:lvlText w:val="%1."/>
      <w:numFmt w:val="decimal"/>
      <w:start w:val="14"/>
    </w:lvl>
  </w:abstractNum>
  <w:abstractNum w:abstractNumId="44">
    <w:nsid w:val="100F8FCA"/>
    <w:multiLevelType w:val="hybridMultilevel"/>
    <w:lvl w:ilvl="0">
      <w:lvlJc w:val="left"/>
      <w:lvlText w:val="%1."/>
      <w:numFmt w:val="decimal"/>
      <w:start w:val="15"/>
    </w:lvl>
  </w:abstractNum>
  <w:abstractNum w:abstractNumId="45">
    <w:nsid w:val="6590700B"/>
    <w:multiLevelType w:val="hybridMultilevel"/>
    <w:lvl w:ilvl="0">
      <w:lvlJc w:val="left"/>
      <w:lvlText w:val=","/>
      <w:numFmt w:val="bullet"/>
      <w:start w:val="1"/>
    </w:lvl>
    <w:lvl w:ilvl="1">
      <w:lvlJc w:val="left"/>
      <w:lvlText w:val="(%2)"/>
      <w:numFmt w:val="lowerRoman"/>
      <w:start w:val="1"/>
    </w:lvl>
  </w:abstractNum>
  <w:abstractNum w:abstractNumId="46">
    <w:nsid w:val="15014ACB"/>
    <w:multiLevelType w:val="hybridMultilevel"/>
    <w:lvl w:ilvl="0">
      <w:lvlJc w:val="left"/>
      <w:lvlText w:val=","/>
      <w:numFmt w:val="bullet"/>
      <w:start w:val="1"/>
    </w:lvl>
    <w:lvl w:ilvl="1">
      <w:lvlJc w:val="left"/>
      <w:lvlText w:val="(%2)"/>
      <w:numFmt w:val="lowerRoman"/>
      <w:start w:val="3"/>
    </w:lvl>
  </w:abstractNum>
  <w:abstractNum w:abstractNumId="47">
    <w:nsid w:val="5F5E7FD0"/>
    <w:multiLevelType w:val="hybridMultilevel"/>
    <w:lvl w:ilvl="0">
      <w:lvlJc w:val="left"/>
      <w:lvlText w:val="(%1)"/>
      <w:numFmt w:val="lowerRoman"/>
      <w:start w:val="1"/>
    </w:lvl>
  </w:abstractNum>
  <w:abstractNum w:abstractNumId="48">
    <w:nsid w:val="98A3148"/>
    <w:multiLevelType w:val="hybridMultilevel"/>
    <w:lvl w:ilvl="0">
      <w:lvlJc w:val="left"/>
      <w:lvlText w:val="%1."/>
      <w:numFmt w:val="decimal"/>
      <w:start w:val="16"/>
    </w:lvl>
  </w:abstractNum>
  <w:abstractNum w:abstractNumId="49">
    <w:nsid w:val="799D0247"/>
    <w:multiLevelType w:val="hybridMultilevel"/>
    <w:lvl w:ilvl="0">
      <w:lvlJc w:val="left"/>
      <w:lvlText w:val="%1."/>
      <w:numFmt w:val="decimal"/>
      <w:start w:val="17"/>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1."/>
      <w:numFmt w:val="decimal"/>
      <w:start w:val="2"/>
    </w:lvl>
  </w:abstractNum>
  <w:abstractNum w:abstractNumId="52">
    <w:nsid w:val="168E121F"/>
    <w:multiLevelType w:val="hybridMultilevel"/>
    <w:lvl w:ilvl="0">
      <w:lvlJc w:val="left"/>
      <w:lvlText w:val="%1."/>
      <w:numFmt w:val="decimal"/>
      <w:start w:val="3"/>
    </w:lvl>
  </w:abstractNum>
  <w:abstractNum w:abstractNumId="53">
    <w:nsid w:val="1EBA5D23"/>
    <w:multiLevelType w:val="hybridMultilevel"/>
    <w:lvl w:ilvl="0">
      <w:lvlJc w:val="left"/>
      <w:lvlText w:val="%1."/>
      <w:numFmt w:val="decimal"/>
      <w:start w:val="4"/>
    </w:lvl>
  </w:abstractNum>
  <w:abstractNum w:abstractNumId="54">
    <w:nsid w:val="661E3F1E"/>
    <w:multiLevelType w:val="hybridMultilevel"/>
    <w:lvl w:ilvl="0">
      <w:lvlJc w:val="left"/>
      <w:lvlText w:val="%1."/>
      <w:numFmt w:val="decimal"/>
      <w:start w:val="5"/>
    </w:lvl>
  </w:abstractNum>
  <w:abstractNum w:abstractNumId="55">
    <w:nsid w:val="5DC79EA8"/>
    <w:multiLevelType w:val="hybridMultilevel"/>
    <w:lvl w:ilvl="0">
      <w:lvlJc w:val="left"/>
      <w:lvlText w:val="%1."/>
      <w:numFmt w:val="decimal"/>
      <w:start w:val="6"/>
    </w:lvl>
  </w:abstractNum>
  <w:abstractNum w:abstractNumId="56">
    <w:nsid w:val="540A471C"/>
    <w:multiLevelType w:val="hybridMultilevel"/>
    <w:lvl w:ilvl="0">
      <w:lvlJc w:val="left"/>
      <w:lvlText w:val="(%1)"/>
      <w:numFmt w:val="decimal"/>
      <w:start w:val="15"/>
    </w:lvl>
  </w:abstractNum>
  <w:abstractNum w:abstractNumId="57">
    <w:nsid w:val="7BD3EE7B"/>
    <w:multiLevelType w:val="hybridMultilevel"/>
    <w:lvl w:ilvl="0">
      <w:lvlJc w:val="left"/>
      <w:lvlText w:val="%1."/>
      <w:numFmt w:val="decimal"/>
      <w:start w:val="7"/>
    </w:lvl>
  </w:abstractNum>
  <w:abstractNum w:abstractNumId="58">
    <w:nsid w:val="51D9C564"/>
    <w:multiLevelType w:val="hybridMultilevel"/>
    <w:lvl w:ilvl="0">
      <w:lvlJc w:val="left"/>
      <w:lvlText w:val="%1."/>
      <w:numFmt w:val="decimal"/>
      <w:start w:val="8"/>
    </w:lvl>
  </w:abstractNum>
  <w:abstractNum w:abstractNumId="59">
    <w:nsid w:val="613EFDC5"/>
    <w:multiLevelType w:val="hybridMultilevel"/>
    <w:lvl w:ilvl="0">
      <w:lvlJc w:val="left"/>
      <w:lvlText w:val="%1."/>
      <w:numFmt w:val="decimal"/>
      <w:start w:val="9"/>
    </w:lvl>
  </w:abstractNum>
  <w:abstractNum w:abstractNumId="60">
    <w:nsid w:val="BF72B14"/>
    <w:multiLevelType w:val="hybridMultilevel"/>
    <w:lvl w:ilvl="0">
      <w:lvlJc w:val="left"/>
      <w:lvlText w:val="%1."/>
      <w:numFmt w:val="decimal"/>
      <w:start w:val="10"/>
    </w:lvl>
  </w:abstractNum>
  <w:abstractNum w:abstractNumId="61">
    <w:nsid w:val="11447B73"/>
    <w:multiLevelType w:val="hybridMultilevel"/>
    <w:lvl w:ilvl="0">
      <w:lvlJc w:val="left"/>
      <w:lvlText w:val="%1."/>
      <w:numFmt w:val="decimal"/>
      <w:start w:val="11"/>
    </w:lvl>
  </w:abstractNum>
  <w:abstractNum w:abstractNumId="62">
    <w:nsid w:val="42963E5A"/>
    <w:multiLevelType w:val="hybridMultilevel"/>
    <w:lvl w:ilvl="0">
      <w:lvlJc w:val="left"/>
      <w:lvlText w:val="%1."/>
      <w:numFmt w:val="decimal"/>
      <w:start w:val="12"/>
    </w:lvl>
  </w:abstractNum>
  <w:abstractNum w:abstractNumId="63">
    <w:nsid w:val="A0382C5"/>
    <w:multiLevelType w:val="hybridMultilevel"/>
    <w:lvl w:ilvl="0">
      <w:lvlJc w:val="left"/>
      <w:lvlText w:val="%1."/>
      <w:numFmt w:val="decimal"/>
      <w:start w:val="13"/>
    </w:lvl>
  </w:abstractNum>
  <w:abstractNum w:abstractNumId="64">
    <w:nsid w:val="8F2B15E"/>
    <w:multiLevelType w:val="hybridMultilevel"/>
    <w:lvl w:ilvl="0">
      <w:lvlJc w:val="left"/>
      <w:lvlText w:val="%1."/>
      <w:numFmt w:val="decimal"/>
      <w:start w:val="14"/>
    </w:lvl>
  </w:abstractNum>
  <w:abstractNum w:abstractNumId="65">
    <w:nsid w:val="1A32234B"/>
    <w:multiLevelType w:val="hybridMultilevel"/>
    <w:lvl w:ilvl="0">
      <w:lvlJc w:val="left"/>
      <w:lvlText w:val="%1."/>
      <w:numFmt w:val="decimal"/>
      <w:start w:val="15"/>
    </w:lvl>
  </w:abstractNum>
  <w:abstractNum w:abstractNumId="66">
    <w:nsid w:val="3B0FD379"/>
    <w:multiLevelType w:val="hybridMultilevel"/>
    <w:lvl w:ilvl="0">
      <w:lvlJc w:val="left"/>
      <w:lvlText w:val="%1."/>
      <w:numFmt w:val="decimal"/>
      <w:start w:val="16"/>
    </w:lvl>
  </w:abstractNum>
  <w:abstractNum w:abstractNumId="67">
    <w:nsid w:val="68EB2F63"/>
    <w:multiLevelType w:val="hybridMultilevel"/>
    <w:lvl w:ilvl="0">
      <w:lvlJc w:val="left"/>
      <w:lvlText w:val="%1."/>
      <w:numFmt w:val="decimal"/>
      <w:start w:val="17"/>
    </w:lvl>
  </w:abstractNum>
  <w:abstractNum w:abstractNumId="68">
    <w:nsid w:val="4962813B"/>
    <w:multiLevelType w:val="hybridMultilevel"/>
    <w:lvl w:ilvl="0">
      <w:lvlJc w:val="left"/>
      <w:lvlText w:val="%1."/>
      <w:numFmt w:val="decimal"/>
      <w:start w:val="18"/>
    </w:lvl>
  </w:abstractNum>
  <w:abstractNum w:abstractNumId="69">
    <w:nsid w:val="60B6DF70"/>
    <w:multiLevelType w:val="hybridMultilevel"/>
    <w:lvl w:ilvl="0">
      <w:lvlJc w:val="left"/>
      <w:lvlText w:val="%1."/>
      <w:numFmt w:val="decimal"/>
      <w:start w:val="19"/>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2"/>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1."/>
      <w:numFmt w:val="decimal"/>
      <w:start w:val="3"/>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1)"/>
      <w:numFmt w:val="lowerRoman"/>
      <w:start w:val="1"/>
    </w:lvl>
  </w:abstractNum>
  <w:abstractNum w:abstractNumId="76">
    <w:nsid w:val="7FB7E0AA"/>
    <w:multiLevelType w:val="hybridMultilevel"/>
    <w:lvl w:ilvl="0">
      <w:lvlJc w:val="left"/>
      <w:lvlText w:val="%1."/>
      <w:numFmt w:val="decimal"/>
      <w:start w:val="4"/>
    </w:lvl>
  </w:abstractNum>
  <w:abstractNum w:abstractNumId="77">
    <w:nsid w:val="6EB5BD4"/>
    <w:multiLevelType w:val="hybridMultilevel"/>
    <w:lvl w:ilvl="0">
      <w:lvlJc w:val="left"/>
      <w:lvlText w:val="%1."/>
      <w:numFmt w:val="decimal"/>
      <w:start w:val="5"/>
    </w:lvl>
  </w:abstractNum>
  <w:abstractNum w:abstractNumId="78">
    <w:nsid w:val="6F6DD9AC"/>
    <w:multiLevelType w:val="hybridMultilevel"/>
    <w:lvl w:ilvl="0">
      <w:lvlJc w:val="left"/>
      <w:lvlText w:val="%1."/>
      <w:numFmt w:val="decimal"/>
      <w:start w:val="6"/>
    </w:lvl>
  </w:abstractNum>
  <w:abstractNum w:abstractNumId="79">
    <w:nsid w:val="94211F2"/>
    <w:multiLevelType w:val="hybridMultilevel"/>
    <w:lvl w:ilvl="0">
      <w:lvlJc w:val="left"/>
      <w:lvlText w:val="%1."/>
      <w:numFmt w:val="decimal"/>
      <w:start w:val="7"/>
    </w:lvl>
  </w:abstractNum>
  <w:abstractNum w:abstractNumId="80">
    <w:nsid w:val="885E1B"/>
    <w:multiLevelType w:val="hybridMultilevel"/>
    <w:lvl w:ilvl="0">
      <w:lvlJc w:val="left"/>
      <w:lvlText w:val="%1."/>
      <w:numFmt w:val="decimal"/>
      <w:start w:val="8"/>
    </w:lvl>
  </w:abstractNum>
  <w:abstractNum w:abstractNumId="81">
    <w:nsid w:val="76272110"/>
    <w:multiLevelType w:val="hybridMultilevel"/>
    <w:lvl w:ilvl="0">
      <w:lvlJc w:val="left"/>
      <w:lvlText w:val="%1."/>
      <w:numFmt w:val="decimal"/>
      <w:start w:val="9"/>
    </w:lvl>
  </w:abstractNum>
  <w:abstractNum w:abstractNumId="82">
    <w:nsid w:val="4C04A8AF"/>
    <w:multiLevelType w:val="hybridMultilevel"/>
    <w:lvl w:ilvl="0">
      <w:lvlJc w:val="left"/>
      <w:lvlText w:val="%1."/>
      <w:numFmt w:val="decimal"/>
      <w:start w:val="10"/>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lowerLetter"/>
      <w:start w:val="2"/>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lowerLetter"/>
      <w:start w:val="4"/>
    </w:lvl>
  </w:abstractNum>
  <w:abstractNum w:abstractNumId="87">
    <w:nsid w:val="68EBC550"/>
    <w:multiLevelType w:val="hybridMultilevel"/>
    <w:lvl w:ilvl="0">
      <w:lvlJc w:val="left"/>
      <w:lvlText w:val="%1."/>
      <w:numFmt w:val="decimal"/>
      <w:start w:val="11"/>
    </w:lvl>
  </w:abstractNum>
  <w:abstractNum w:abstractNumId="88">
    <w:nsid w:val="2DF6D648"/>
    <w:multiLevelType w:val="hybridMultilevel"/>
    <w:lvl w:ilvl="0">
      <w:lvlJc w:val="left"/>
      <w:lvlText w:val="%1."/>
      <w:numFmt w:val="decimal"/>
      <w:start w:val="12"/>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2021-08-11T05:21:34Z</dcterms:created>
  <dcterms:modified xsi:type="dcterms:W3CDTF">2021-08-11T05:21:34Z</dcterms:modified>
</cp:coreProperties>
</file>