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160" w:hanging="572"/>
        <w:spacing w:after="0" w:line="23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43180</wp:posOffset>
            </wp:positionV>
            <wp:extent cx="1183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001-36379</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ENERGOUS CORPORATION</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314" w:right="339" w:bottom="1440" w:gutter="0" w:footer="0" w:header="0"/>
        </w:sectPr>
      </w:pPr>
    </w:p>
    <w:p>
      <w:pPr>
        <w:spacing w:after="0" w:line="113"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46-1318953</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i w:val="1"/>
          <w:iCs w:val="1"/>
          <w:color w:val="auto"/>
        </w:rPr>
        <w:t>(I.R.S. Employer Identification No.)</w:t>
      </w:r>
    </w:p>
    <w:p>
      <w:pPr>
        <w:spacing w:after="0" w:line="108" w:lineRule="exact"/>
        <w:rPr>
          <w:sz w:val="24"/>
          <w:szCs w:val="24"/>
          <w:color w:val="auto"/>
        </w:rPr>
      </w:pPr>
    </w:p>
    <w:p>
      <w:pPr>
        <w:sectPr>
          <w:pgSz w:w="11900" w:h="16838" w:orient="portrait"/>
          <w:cols w:equalWidth="0" w:num="2">
            <w:col w:w="6480" w:space="720"/>
            <w:col w:w="4040"/>
          </w:cols>
          <w:pgMar w:left="320" w:top="31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3590 North First Street, Suite 210, San Jose, CA 95134</w:t>
      </w:r>
    </w:p>
    <w:p>
      <w:pPr>
        <w:sectPr>
          <w:pgSz w:w="11900" w:h="16838" w:orient="portrait"/>
          <w:cols w:equalWidth="0" w:num="1">
            <w:col w:w="11240"/>
          </w:cols>
          <w:pgMar w:left="320" w:top="314" w:right="339" w:bottom="1440" w:gutter="0" w:footer="0" w:header="0"/>
          <w:type w:val="continuous"/>
        </w:sectPr>
      </w:pPr>
    </w:p>
    <w:p>
      <w:pPr>
        <w:spacing w:after="0" w:line="50" w:lineRule="exact"/>
        <w:rPr>
          <w:sz w:val="24"/>
          <w:szCs w:val="24"/>
          <w:color w:val="auto"/>
        </w:rPr>
      </w:pPr>
    </w:p>
    <w:p>
      <w:pPr>
        <w:ind w:left="4080"/>
        <w:spacing w:after="0"/>
        <w:rPr>
          <w:sz w:val="20"/>
          <w:szCs w:val="20"/>
          <w:color w:val="auto"/>
        </w:rPr>
      </w:pPr>
      <w:r>
        <w:rPr>
          <w:rFonts w:ascii="Arial" w:cs="Arial" w:eastAsia="Arial" w:hAnsi="Arial"/>
          <w:sz w:val="13"/>
          <w:szCs w:val="13"/>
          <w:i w:val="1"/>
          <w:iCs w:val="1"/>
          <w:color w:val="auto"/>
        </w:rPr>
        <w:t>(Address of principal executive office)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(Zip code)</w:t>
      </w:r>
    </w:p>
    <w:p>
      <w:pPr>
        <w:spacing w:after="0" w:line="48" w:lineRule="exact"/>
        <w:rPr>
          <w:sz w:val="24"/>
          <w:szCs w:val="24"/>
          <w:color w:val="auto"/>
        </w:rPr>
      </w:pPr>
    </w:p>
    <w:p>
      <w:pPr>
        <w:sectPr>
          <w:pgSz w:w="11900" w:h="16838" w:orient="portrait"/>
          <w:cols w:equalWidth="0" w:num="2">
            <w:col w:w="6280" w:space="280"/>
            <w:col w:w="4680"/>
          </w:cols>
          <w:pgMar w:left="320" w:top="31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(408) 963-0200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6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Common Stock, $0.00001 par value</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WATT</w:t>
            </w:r>
          </w:p>
        </w:tc>
        <w:tc>
          <w:tcPr>
            <w:tcW w:w="120" w:type="dxa"/>
            <w:vAlign w:val="bottom"/>
          </w:tcPr>
          <w:p>
            <w:pPr>
              <w:spacing w:after="0"/>
              <w:rPr>
                <w:sz w:val="15"/>
                <w:szCs w:val="15"/>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The Nasdaq Stock Market</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3" w:lineRule="exact"/>
        <w:rPr>
          <w:sz w:val="24"/>
          <w:szCs w:val="24"/>
          <w:color w:val="auto"/>
        </w:rPr>
      </w:pPr>
    </w:p>
    <w:p>
      <w:pPr>
        <w:ind w:right="1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20"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74" w:lineRule="exact"/>
        <w:rPr>
          <w:sz w:val="24"/>
          <w:szCs w:val="24"/>
          <w:color w:val="auto"/>
        </w:rPr>
      </w:pPr>
    </w:p>
    <w:p>
      <w:pPr>
        <w:ind w:right="8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440" w:right="106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12, 2021, there were 61,939,578 shares of our Common Stock, par value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 FINANCIAL INFORMATION</w:t>
              </w:r>
            </w:hyperlink>
          </w:p>
        </w:tc>
        <w:tc>
          <w:tcPr>
            <w:tcW w:w="6100" w:type="dxa"/>
            <w:vAlign w:val="bottom"/>
            <w:gridSpan w:val="4"/>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1560" w:type="dxa"/>
            <w:vAlign w:val="bottom"/>
            <w:tcBorders>
              <w:bottom w:val="single" w:sz="8" w:color="0000EE"/>
            </w:tcBorders>
            <w:gridSpan w:val="5"/>
          </w:tcPr>
          <w:p>
            <w:pPr>
              <w:ind w:left="40"/>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940" w:type="dxa"/>
            <w:vAlign w:val="bottom"/>
            <w:gridSpan w:val="9"/>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4"/>
        </w:trPr>
        <w:tc>
          <w:tcPr>
            <w:tcW w:w="560" w:type="dxa"/>
            <w:vAlign w:val="bottom"/>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2.</w:t>
              </w:r>
            </w:hyperlink>
          </w:p>
        </w:tc>
        <w:tc>
          <w:tcPr>
            <w:tcW w:w="8500" w:type="dxa"/>
            <w:vAlign w:val="bottom"/>
            <w:gridSpan w:val="14"/>
          </w:tcPr>
          <w:p>
            <w:pPr>
              <w:ind w:left="40"/>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4"/>
        </w:trPr>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Item 3.</w:t>
              </w:r>
            </w:hyperlink>
          </w:p>
        </w:tc>
        <w:tc>
          <w:tcPr>
            <w:tcW w:w="4340" w:type="dxa"/>
            <w:vAlign w:val="bottom"/>
            <w:tcBorders>
              <w:top w:val="single" w:sz="8" w:color="0000EE"/>
              <w:bottom w:val="single" w:sz="8" w:color="0000EE"/>
            </w:tcBorders>
            <w:gridSpan w:val="11"/>
          </w:tcPr>
          <w:p>
            <w:pPr>
              <w:ind w:left="40"/>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2"/>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45"/>
        </w:trPr>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Item 4.</w:t>
              </w:r>
            </w:hyperlink>
          </w:p>
        </w:tc>
        <w:tc>
          <w:tcPr>
            <w:tcW w:w="1840" w:type="dxa"/>
            <w:vAlign w:val="bottom"/>
            <w:tcBorders>
              <w:bottom w:val="single" w:sz="8" w:color="0000EE"/>
            </w:tcBorders>
            <w:gridSpan w:val="7"/>
          </w:tcPr>
          <w:p>
            <w:pPr>
              <w:ind w:left="4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Controls and Procedures</w:t>
              </w:r>
            </w:hyperlink>
          </w:p>
        </w:tc>
        <w:tc>
          <w:tcPr>
            <w:tcW w:w="6660" w:type="dxa"/>
            <w:vAlign w:val="bottom"/>
            <w:gridSpan w:val="7"/>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44"/>
        </w:trPr>
        <w:tc>
          <w:tcPr>
            <w:tcW w:w="9060" w:type="dxa"/>
            <w:vAlign w:val="bottom"/>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PART II – OTHER INFORMATION</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44"/>
        </w:trPr>
        <w:tc>
          <w:tcPr>
            <w:tcW w:w="560" w:type="dxa"/>
            <w:vAlign w:val="bottom"/>
            <w:tcBorders>
              <w:top w:val="single" w:sz="8" w:color="0000EE"/>
            </w:tcBorders>
          </w:tcPr>
          <w:p>
            <w:pPr>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Item 1.</w:t>
              </w:r>
            </w:hyperlink>
          </w:p>
        </w:tc>
        <w:tc>
          <w:tcPr>
            <w:tcW w:w="2100" w:type="dxa"/>
            <w:vAlign w:val="bottom"/>
            <w:tcBorders>
              <w:top w:val="single" w:sz="8" w:color="0000EE"/>
            </w:tcBorders>
            <w:gridSpan w:val="8"/>
          </w:tcPr>
          <w:p>
            <w:pPr>
              <w:ind w:left="40"/>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6400" w:type="dxa"/>
            <w:vAlign w:val="bottom"/>
            <w:gridSpan w:val="6"/>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45"/>
        </w:trPr>
        <w:tc>
          <w:tcPr>
            <w:tcW w:w="1940" w:type="dxa"/>
            <w:vAlign w:val="bottom"/>
            <w:tcBorders>
              <w:top w:val="single" w:sz="8" w:color="0000EE"/>
            </w:tcBorders>
            <w:gridSpan w:val="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1A. Risk Factors</w:t>
              </w:r>
            </w:hyperlink>
          </w:p>
        </w:tc>
        <w:tc>
          <w:tcPr>
            <w:tcW w:w="7120" w:type="dxa"/>
            <w:vAlign w:val="bottom"/>
            <w:gridSpan w:val="10"/>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44"/>
        </w:trPr>
        <w:tc>
          <w:tcPr>
            <w:tcW w:w="560" w:type="dxa"/>
            <w:vAlign w:val="bottom"/>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2.</w:t>
              </w:r>
            </w:hyperlink>
          </w:p>
        </w:tc>
        <w:tc>
          <w:tcPr>
            <w:tcW w:w="8500" w:type="dxa"/>
            <w:vAlign w:val="bottom"/>
            <w:gridSpan w:val="14"/>
          </w:tcPr>
          <w:p>
            <w:pPr>
              <w:ind w:left="40"/>
              <w:spacing w:after="0"/>
              <w:rPr>
                <w:rFonts w:ascii="Arial" w:cs="Arial" w:eastAsia="Arial" w:hAnsi="Arial"/>
                <w:sz w:val="18"/>
                <w:szCs w:val="18"/>
                <w:color w:val="0000EE"/>
              </w:rPr>
            </w:pPr>
            <w:hyperlink w:anchor="page34">
              <w:r>
                <w:rPr>
                  <w:rFonts w:ascii="Arial" w:cs="Arial" w:eastAsia="Arial" w:hAnsi="Arial"/>
                  <w:sz w:val="18"/>
                  <w:szCs w:val="18"/>
                  <w:color w:val="0000EE"/>
                </w:rPr>
                <w:t>Recent Sales of Unregistered Securities; Use of Proceeds from Registered Securities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44"/>
        </w:trPr>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3.</w:t>
              </w:r>
            </w:hyperlink>
          </w:p>
        </w:tc>
        <w:tc>
          <w:tcPr>
            <w:tcW w:w="2380" w:type="dxa"/>
            <w:vAlign w:val="bottom"/>
            <w:tcBorders>
              <w:top w:val="single" w:sz="8" w:color="0000EE"/>
              <w:bottom w:val="single" w:sz="8" w:color="0000EE"/>
            </w:tcBorders>
            <w:gridSpan w:val="9"/>
          </w:tcPr>
          <w:p>
            <w:pPr>
              <w:ind w:left="40"/>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Defaults Upon Senior Securities</w:t>
              </w:r>
            </w:hyperlink>
          </w:p>
        </w:tc>
        <w:tc>
          <w:tcPr>
            <w:tcW w:w="3740" w:type="dxa"/>
            <w:vAlign w:val="bottom"/>
            <w:tcBorders>
              <w:top w:val="single" w:sz="8" w:color="0000EE"/>
            </w:tcBorders>
            <w:gridSpan w:val="3"/>
          </w:tcPr>
          <w:p>
            <w:pPr>
              <w:spacing w:after="0"/>
              <w:rPr>
                <w:sz w:val="24"/>
                <w:szCs w:val="24"/>
                <w:color w:val="auto"/>
              </w:rPr>
            </w:pPr>
          </w:p>
        </w:tc>
        <w:tc>
          <w:tcPr>
            <w:tcW w:w="2380" w:type="dxa"/>
            <w:vAlign w:val="bottom"/>
            <w:gridSpan w:val="2"/>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44"/>
        </w:trPr>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4.</w:t>
              </w:r>
            </w:hyperlink>
          </w:p>
        </w:tc>
        <w:tc>
          <w:tcPr>
            <w:tcW w:w="1820" w:type="dxa"/>
            <w:vAlign w:val="bottom"/>
            <w:tcBorders>
              <w:bottom w:val="single" w:sz="8" w:color="0000EE"/>
            </w:tcBorders>
            <w:gridSpan w:val="6"/>
          </w:tcPr>
          <w:p>
            <w:pPr>
              <w:ind w:left="40"/>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Mine Safety Disclosures</w:t>
              </w:r>
            </w:hyperlink>
          </w:p>
        </w:tc>
        <w:tc>
          <w:tcPr>
            <w:tcW w:w="6680" w:type="dxa"/>
            <w:vAlign w:val="bottom"/>
            <w:gridSpan w:val="8"/>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45"/>
        </w:trPr>
        <w:tc>
          <w:tcPr>
            <w:tcW w:w="560" w:type="dxa"/>
            <w:vAlign w:val="bottom"/>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5.</w:t>
              </w:r>
            </w:hyperlink>
          </w:p>
        </w:tc>
        <w:tc>
          <w:tcPr>
            <w:tcW w:w="8500" w:type="dxa"/>
            <w:vAlign w:val="bottom"/>
            <w:gridSpan w:val="14"/>
          </w:tcPr>
          <w:p>
            <w:pPr>
              <w:ind w:left="40"/>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45"/>
        </w:trPr>
        <w:tc>
          <w:tcPr>
            <w:tcW w:w="560" w:type="dxa"/>
            <w:vAlign w:val="bottom"/>
            <w:tcBorders>
              <w:top w:val="single" w:sz="8" w:color="0000EE"/>
            </w:tcBorders>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6.</w:t>
              </w:r>
            </w:hyperlink>
          </w:p>
        </w:tc>
        <w:tc>
          <w:tcPr>
            <w:tcW w:w="1360" w:type="dxa"/>
            <w:vAlign w:val="bottom"/>
            <w:tcBorders>
              <w:top w:val="single" w:sz="8" w:color="0000EE"/>
            </w:tcBorders>
            <w:gridSpan w:val="3"/>
          </w:tcPr>
          <w:p>
            <w:pPr>
              <w:ind w:left="40"/>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7140" w:type="dxa"/>
            <w:vAlign w:val="bottom"/>
            <w:gridSpan w:val="11"/>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350"/>
        </w:trPr>
        <w:tc>
          <w:tcPr>
            <w:tcW w:w="56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BALANCE SHEETS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3"/>
                <w:szCs w:val="13"/>
                <w:color w:val="auto"/>
              </w:rPr>
            </w:pPr>
          </w:p>
        </w:tc>
        <w:tc>
          <w:tcPr>
            <w:tcW w:w="15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w w:val="98"/>
              </w:rPr>
              <w:t>December 31, 2020</w:t>
            </w:r>
          </w:p>
        </w:tc>
        <w:tc>
          <w:tcPr>
            <w:tcW w:w="120" w:type="dxa"/>
            <w:vAlign w:val="bottom"/>
          </w:tcPr>
          <w:p>
            <w:pPr>
              <w:spacing w:after="0"/>
              <w:rPr>
                <w:sz w:val="13"/>
                <w:szCs w:val="13"/>
                <w:color w:val="auto"/>
              </w:rPr>
            </w:pPr>
          </w:p>
        </w:tc>
      </w:tr>
      <w:tr>
        <w:trPr>
          <w:trHeight w:val="156"/>
        </w:trPr>
        <w:tc>
          <w:tcPr>
            <w:tcW w:w="6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6420" w:type="dxa"/>
            <w:vAlign w:val="bottom"/>
            <w:shd w:val="clear" w:color="auto" w:fill="CFF0FC"/>
          </w:tcPr>
          <w:p>
            <w:pPr>
              <w:ind w:left="3240"/>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Current assets: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44,758,397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50,729,661</w:t>
            </w:r>
          </w:p>
        </w:tc>
        <w:tc>
          <w:tcPr>
            <w:tcW w:w="120" w:type="dxa"/>
            <w:vAlign w:val="bottom"/>
            <w:shd w:val="clear" w:color="auto" w:fill="CFF0FC"/>
          </w:tcPr>
          <w:p>
            <w:pPr>
              <w:spacing w:after="0"/>
              <w:rPr>
                <w:sz w:val="19"/>
                <w:szCs w:val="19"/>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156,775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75,850</w:t>
            </w:r>
          </w:p>
        </w:tc>
        <w:tc>
          <w:tcPr>
            <w:tcW w:w="120" w:type="dxa"/>
            <w:vAlign w:val="bottom"/>
          </w:tcPr>
          <w:p>
            <w:pPr>
              <w:spacing w:after="0"/>
              <w:rPr>
                <w:sz w:val="19"/>
                <w:szCs w:val="19"/>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742,193</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636,702</w:t>
            </w:r>
          </w:p>
        </w:tc>
        <w:tc>
          <w:tcPr>
            <w:tcW w:w="120" w:type="dxa"/>
            <w:vAlign w:val="bottom"/>
            <w:shd w:val="clear" w:color="auto" w:fill="CFF0FC"/>
          </w:tcPr>
          <w:p>
            <w:pPr>
              <w:spacing w:after="0"/>
              <w:rPr>
                <w:sz w:val="19"/>
                <w:szCs w:val="19"/>
                <w:color w:val="auto"/>
              </w:rPr>
            </w:pPr>
          </w:p>
        </w:tc>
      </w:tr>
      <w:tr>
        <w:trPr>
          <w:trHeight w:val="223"/>
        </w:trPr>
        <w:tc>
          <w:tcPr>
            <w:tcW w:w="64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45,657,365</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51,442,213</w:t>
            </w:r>
          </w:p>
        </w:tc>
        <w:tc>
          <w:tcPr>
            <w:tcW w:w="120" w:type="dxa"/>
            <w:vAlign w:val="bottom"/>
          </w:tcPr>
          <w:p>
            <w:pPr>
              <w:spacing w:after="0"/>
              <w:rPr>
                <w:sz w:val="19"/>
                <w:szCs w:val="19"/>
                <w:color w:val="auto"/>
              </w:rPr>
            </w:pPr>
          </w:p>
        </w:tc>
      </w:tr>
      <w:tr>
        <w:trPr>
          <w:trHeight w:val="223"/>
        </w:trPr>
        <w:tc>
          <w:tcPr>
            <w:tcW w:w="6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449,664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402,711</w:t>
            </w:r>
          </w:p>
        </w:tc>
        <w:tc>
          <w:tcPr>
            <w:tcW w:w="120" w:type="dxa"/>
            <w:vAlign w:val="bottom"/>
            <w:shd w:val="clear" w:color="auto" w:fill="CFF0FC"/>
          </w:tcPr>
          <w:p>
            <w:pPr>
              <w:spacing w:after="0"/>
              <w:rPr>
                <w:sz w:val="19"/>
                <w:szCs w:val="19"/>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Operating lease right-of-use assets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1,097,377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1,293,291</w:t>
            </w:r>
          </w:p>
        </w:tc>
        <w:tc>
          <w:tcPr>
            <w:tcW w:w="120" w:type="dxa"/>
            <w:vAlign w:val="bottom"/>
          </w:tcPr>
          <w:p>
            <w:pPr>
              <w:spacing w:after="0"/>
              <w:rPr>
                <w:sz w:val="19"/>
                <w:szCs w:val="19"/>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CFF0FC"/>
          </w:tcPr>
          <w:p>
            <w:pPr>
              <w:spacing w:after="0"/>
              <w:rPr>
                <w:sz w:val="19"/>
                <w:szCs w:val="19"/>
                <w:color w:val="auto"/>
              </w:rPr>
            </w:pPr>
          </w:p>
        </w:tc>
      </w:tr>
      <w:tr>
        <w:trPr>
          <w:trHeight w:val="263"/>
        </w:trPr>
        <w:tc>
          <w:tcPr>
            <w:tcW w:w="6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47,206,016</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53,139,825</w:t>
            </w:r>
          </w:p>
        </w:tc>
        <w:tc>
          <w:tcPr>
            <w:tcW w:w="120" w:type="dxa"/>
            <w:vAlign w:val="bottom"/>
            <w:tcBorders>
              <w:bottom w:val="single" w:sz="8" w:color="CFF0FC"/>
            </w:tcBorders>
          </w:tcPr>
          <w:p>
            <w:pPr>
              <w:spacing w:after="0"/>
              <w:rPr>
                <w:sz w:val="22"/>
                <w:szCs w:val="22"/>
                <w:color w:val="auto"/>
              </w:rPr>
            </w:pPr>
          </w:p>
        </w:tc>
      </w:tr>
      <w:tr>
        <w:trPr>
          <w:trHeight w:val="210"/>
        </w:trPr>
        <w:tc>
          <w:tcPr>
            <w:tcW w:w="6420" w:type="dxa"/>
            <w:vAlign w:val="bottom"/>
            <w:shd w:val="clear" w:color="auto" w:fill="CFF0FC"/>
          </w:tcPr>
          <w:p>
            <w:pPr>
              <w:ind w:left="1620"/>
              <w:spacing w:after="0"/>
              <w:rPr>
                <w:sz w:val="20"/>
                <w:szCs w:val="20"/>
                <w:color w:val="auto"/>
              </w:rPr>
            </w:pPr>
            <w:r>
              <w:rPr>
                <w:rFonts w:ascii="Arial" w:cs="Arial" w:eastAsia="Arial" w:hAnsi="Arial"/>
                <w:sz w:val="18"/>
                <w:szCs w:val="18"/>
                <w:b w:val="1"/>
                <w:bCs w:val="1"/>
                <w:color w:val="auto"/>
              </w:rPr>
              <w:t>LIABILITIES AND STOCKHOLDERS' EQUITY</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420" w:type="dxa"/>
            <w:vAlign w:val="bottom"/>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1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1,450,767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1,096,839</w:t>
            </w:r>
          </w:p>
        </w:tc>
        <w:tc>
          <w:tcPr>
            <w:tcW w:w="120" w:type="dxa"/>
            <w:vAlign w:val="bottom"/>
            <w:shd w:val="clear" w:color="auto" w:fill="CFF0FC"/>
          </w:tcPr>
          <w:p>
            <w:pPr>
              <w:spacing w:after="0"/>
              <w:rPr>
                <w:sz w:val="19"/>
                <w:szCs w:val="19"/>
                <w:color w:val="auto"/>
              </w:rPr>
            </w:pPr>
          </w:p>
        </w:tc>
      </w:tr>
      <w:tr>
        <w:trPr>
          <w:trHeight w:val="229"/>
        </w:trPr>
        <w:tc>
          <w:tcPr>
            <w:tcW w:w="642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1,756,286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1,576,287</w:t>
            </w:r>
          </w:p>
        </w:tc>
        <w:tc>
          <w:tcPr>
            <w:tcW w:w="120" w:type="dxa"/>
            <w:vAlign w:val="bottom"/>
          </w:tcPr>
          <w:p>
            <w:pPr>
              <w:spacing w:after="0"/>
              <w:rPr>
                <w:sz w:val="19"/>
                <w:szCs w:val="19"/>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 portion</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805,557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825,431</w:t>
            </w:r>
          </w:p>
        </w:tc>
        <w:tc>
          <w:tcPr>
            <w:tcW w:w="120" w:type="dxa"/>
            <w:vAlign w:val="bottom"/>
            <w:shd w:val="clear" w:color="auto" w:fill="CFF0FC"/>
          </w:tcPr>
          <w:p>
            <w:pPr>
              <w:spacing w:after="0"/>
              <w:rPr>
                <w:sz w:val="19"/>
                <w:szCs w:val="19"/>
                <w:color w:val="auto"/>
              </w:rPr>
            </w:pPr>
          </w:p>
        </w:tc>
      </w:tr>
      <w:tr>
        <w:trPr>
          <w:trHeight w:val="230"/>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Borders>
              <w:bottom w:val="single" w:sz="8" w:color="CFF0FC"/>
            </w:tcBorders>
          </w:tcPr>
          <w:p>
            <w:pPr>
              <w:spacing w:after="0"/>
              <w:rPr>
                <w:sz w:val="19"/>
                <w:szCs w:val="19"/>
                <w:color w:val="auto"/>
              </w:rPr>
            </w:pPr>
          </w:p>
        </w:tc>
      </w:tr>
      <w:tr>
        <w:trPr>
          <w:trHeight w:val="223"/>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9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4,029,610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3,510,557</w:t>
            </w:r>
          </w:p>
        </w:tc>
        <w:tc>
          <w:tcPr>
            <w:tcW w:w="120" w:type="dxa"/>
            <w:vAlign w:val="bottom"/>
            <w:shd w:val="clear" w:color="auto" w:fill="CFF0FC"/>
          </w:tcPr>
          <w:p>
            <w:pPr>
              <w:spacing w:after="0"/>
              <w:rPr>
                <w:sz w:val="19"/>
                <w:szCs w:val="19"/>
                <w:color w:val="auto"/>
              </w:rPr>
            </w:pPr>
          </w:p>
        </w:tc>
      </w:tr>
      <w:tr>
        <w:trPr>
          <w:trHeight w:val="453"/>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long-term portion</w:t>
            </w:r>
          </w:p>
        </w:tc>
        <w:tc>
          <w:tcPr>
            <w:tcW w:w="9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386,424</w:t>
            </w: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576,762</w:t>
            </w:r>
          </w:p>
        </w:tc>
        <w:tc>
          <w:tcPr>
            <w:tcW w:w="120" w:type="dxa"/>
            <w:vAlign w:val="bottom"/>
            <w:tcBorders>
              <w:bottom w:val="single" w:sz="8" w:color="CFF0FC"/>
            </w:tcBorders>
          </w:tcPr>
          <w:p>
            <w:pPr>
              <w:spacing w:after="0"/>
              <w:rPr>
                <w:sz w:val="24"/>
                <w:szCs w:val="24"/>
                <w:color w:val="auto"/>
              </w:rPr>
            </w:pPr>
          </w:p>
        </w:tc>
      </w:tr>
      <w:tr>
        <w:trPr>
          <w:trHeight w:val="223"/>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9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4,416,034</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4,087,319</w:t>
            </w:r>
          </w:p>
        </w:tc>
        <w:tc>
          <w:tcPr>
            <w:tcW w:w="120" w:type="dxa"/>
            <w:vAlign w:val="bottom"/>
            <w:shd w:val="clear" w:color="auto" w:fill="CFF0FC"/>
          </w:tcPr>
          <w:p>
            <w:pPr>
              <w:spacing w:after="0"/>
              <w:rPr>
                <w:sz w:val="19"/>
                <w:szCs w:val="19"/>
                <w:color w:val="auto"/>
              </w:rPr>
            </w:pPr>
          </w:p>
        </w:tc>
      </w:tr>
      <w:tr>
        <w:trPr>
          <w:trHeight w:val="452"/>
        </w:trPr>
        <w:tc>
          <w:tcPr>
            <w:tcW w:w="64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420" w:type="dxa"/>
            <w:vAlign w:val="bottom"/>
          </w:tcPr>
          <w:p>
            <w:pPr>
              <w:ind w:left="260"/>
              <w:spacing w:after="0"/>
              <w:rPr>
                <w:sz w:val="20"/>
                <w:szCs w:val="20"/>
                <w:color w:val="auto"/>
              </w:rPr>
            </w:pPr>
            <w:r>
              <w:rPr>
                <w:rFonts w:ascii="Arial" w:cs="Arial" w:eastAsia="Arial" w:hAnsi="Arial"/>
                <w:sz w:val="18"/>
                <w:szCs w:val="18"/>
                <w:color w:val="auto"/>
              </w:rPr>
              <w:t>Preferred Stock, $0.00001 par value, 10,000,000 shares authorized</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20" w:type="dxa"/>
            <w:vAlign w:val="bottom"/>
          </w:tcPr>
          <w:p>
            <w:pPr>
              <w:ind w:left="380"/>
              <w:spacing w:after="0"/>
              <w:rPr>
                <w:sz w:val="20"/>
                <w:szCs w:val="20"/>
                <w:color w:val="auto"/>
              </w:rPr>
            </w:pPr>
            <w:r>
              <w:rPr>
                <w:rFonts w:ascii="Arial" w:cs="Arial" w:eastAsia="Arial" w:hAnsi="Arial"/>
                <w:sz w:val="18"/>
                <w:szCs w:val="18"/>
                <w:color w:val="auto"/>
              </w:rPr>
              <w:t>at March 31, 2021 and December 31, 2020; no shares issued or</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420" w:type="dxa"/>
            <w:vAlign w:val="bottom"/>
          </w:tcPr>
          <w:p>
            <w:pPr>
              <w:ind w:left="380"/>
              <w:spacing w:after="0"/>
              <w:rPr>
                <w:sz w:val="20"/>
                <w:szCs w:val="20"/>
                <w:color w:val="auto"/>
              </w:rPr>
            </w:pPr>
            <w:r>
              <w:rPr>
                <w:rFonts w:ascii="Arial" w:cs="Arial" w:eastAsia="Arial" w:hAnsi="Arial"/>
                <w:sz w:val="18"/>
                <w:szCs w:val="18"/>
                <w:color w:val="auto"/>
              </w:rPr>
              <w:t>outstanding</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5"/>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$0.00001 par value, 200,000,000 shares authorized</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 March 31, 2021 and December 31, 2020, respectively; 61,919,824</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61,292,412 shares issued and outstanding at March 31, 2021</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December 31, 2020, respectively.</w:t>
            </w: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FF0FC"/>
          </w:tcPr>
          <w:p>
            <w:pPr>
              <w:spacing w:after="0"/>
              <w:rPr>
                <w:sz w:val="20"/>
                <w:szCs w:val="20"/>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346,287,871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344,024,638</w:t>
            </w:r>
          </w:p>
        </w:tc>
        <w:tc>
          <w:tcPr>
            <w:tcW w:w="120" w:type="dxa"/>
            <w:vAlign w:val="bottom"/>
          </w:tcPr>
          <w:p>
            <w:pPr>
              <w:spacing w:after="0"/>
              <w:rPr>
                <w:sz w:val="19"/>
                <w:szCs w:val="19"/>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(303,498,509)</w:t>
            </w: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(294,972,746)</w:t>
            </w:r>
          </w:p>
        </w:tc>
      </w:tr>
      <w:tr>
        <w:trPr>
          <w:trHeight w:val="223"/>
        </w:trPr>
        <w:tc>
          <w:tcPr>
            <w:tcW w:w="6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9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42,789,982</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49,052,506</w:t>
            </w:r>
          </w:p>
        </w:tc>
        <w:tc>
          <w:tcPr>
            <w:tcW w:w="120" w:type="dxa"/>
            <w:vAlign w:val="bottom"/>
            <w:tcBorders>
              <w:bottom w:val="single" w:sz="8" w:color="CFF0FC"/>
            </w:tcBorders>
          </w:tcPr>
          <w:p>
            <w:pPr>
              <w:spacing w:after="0"/>
              <w:rPr>
                <w:sz w:val="19"/>
                <w:szCs w:val="19"/>
                <w:color w:val="auto"/>
              </w:rPr>
            </w:pPr>
          </w:p>
        </w:tc>
      </w:tr>
      <w:tr>
        <w:trPr>
          <w:trHeight w:val="223"/>
        </w:trPr>
        <w:tc>
          <w:tcPr>
            <w:tcW w:w="64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47,206,016</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53,139,825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gridSpan w:val="6"/>
          </w:tcPr>
          <w:p>
            <w:pPr>
              <w:ind w:left="18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1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145,065</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4,591,244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1,794,212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1,447,909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2,287,396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Cost of services revenue</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8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8,672,852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8,715,150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(8,527,787)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(8,653,675)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w:t>
            </w:r>
          </w:p>
        </w:tc>
        <w:tc>
          <w:tcPr>
            <w:tcW w:w="18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income</w:t>
            </w:r>
          </w:p>
        </w:tc>
        <w:tc>
          <w:tcPr>
            <w:tcW w:w="18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8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(8,525,763)</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(8,597,736)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loss per common share</w:t>
            </w:r>
          </w:p>
        </w:tc>
        <w:tc>
          <w:tcPr>
            <w:tcW w:w="18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61,567,003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34,816,553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200" w:type="dxa"/>
            <w:vAlign w:val="bottom"/>
            <w:gridSpan w:val="3"/>
            <w:vMerge w:val="restart"/>
          </w:tcPr>
          <w:p>
            <w:pPr>
              <w:jc w:val="right"/>
              <w:ind w:right="42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20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458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284"/>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4"/>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4"/>
              <w:spacing w:after="0" w:line="155"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January 1, 2021</w:t>
            </w: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61,292,412</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04"/>
              <w:spacing w:after="0" w:line="169" w:lineRule="exact"/>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87"/>
              </w:rPr>
              <w:t>614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344,024,638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(294,972,746)</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49,052,506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Stock-based compensation - restricted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120"/>
              <w:spacing w:after="0"/>
              <w:rPr>
                <w:sz w:val="20"/>
                <w:szCs w:val="20"/>
                <w:color w:val="auto"/>
              </w:rPr>
            </w:pPr>
            <w:r>
              <w:rPr>
                <w:rFonts w:ascii="Arial" w:cs="Arial" w:eastAsia="Arial" w:hAnsi="Arial"/>
                <w:sz w:val="15"/>
                <w:szCs w:val="15"/>
                <w:color w:val="auto"/>
              </w:rPr>
              <w:t>stock units ("RSUs")</w:t>
            </w:r>
          </w:p>
        </w:tc>
        <w:tc>
          <w:tcPr>
            <w:tcW w:w="13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2,088,910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2,088,910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 compensation - employee</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stock purchase plan ("ESPP")</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57,316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57,316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Issuance of shares for RSUs</w:t>
            </w:r>
          </w:p>
        </w:tc>
        <w:tc>
          <w:tcPr>
            <w:tcW w:w="1120" w:type="dxa"/>
            <w:vAlign w:val="bottom"/>
          </w:tcPr>
          <w:p>
            <w:pPr>
              <w:jc w:val="right"/>
              <w:spacing w:after="0"/>
              <w:rPr>
                <w:sz w:val="20"/>
                <w:szCs w:val="20"/>
                <w:color w:val="auto"/>
              </w:rPr>
            </w:pPr>
            <w:r>
              <w:rPr>
                <w:rFonts w:ascii="Arial" w:cs="Arial" w:eastAsia="Arial" w:hAnsi="Arial"/>
                <w:sz w:val="15"/>
                <w:szCs w:val="15"/>
                <w:color w:val="auto"/>
              </w:rPr>
              <w:t>627,412</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contributions to the ESPP</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117,013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117,013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Net loss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(8,525,763)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(8,525,763)</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March 31, 2021 (unaudited)</w:t>
            </w: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vMerge w:val="continue"/>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61,919,824</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87"/>
              </w:rPr>
              <w:t>620</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346,287,871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(303,498,509)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42,789,982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4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5"/>
              </w:rPr>
              <w:t>Additional</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79"/>
        </w:trPr>
        <w:tc>
          <w:tcPr>
            <w:tcW w:w="458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5"/>
              </w:rPr>
              <w:t>Paid-in</w:t>
            </w:r>
          </w:p>
        </w:tc>
        <w:tc>
          <w:tcPr>
            <w:tcW w:w="10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Accumulated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169"/>
        </w:trPr>
        <w:tc>
          <w:tcPr>
            <w:tcW w:w="458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284"/>
              <w:spacing w:after="0" w:line="169" w:lineRule="exact"/>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Amount</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4"/>
              <w:spacing w:after="0" w:line="169" w:lineRule="exact"/>
              <w:rPr>
                <w:sz w:val="20"/>
                <w:szCs w:val="20"/>
                <w:color w:val="auto"/>
              </w:rPr>
            </w:pPr>
            <w:r>
              <w:rPr>
                <w:rFonts w:ascii="Arial" w:cs="Arial" w:eastAsia="Arial" w:hAnsi="Arial"/>
                <w:sz w:val="15"/>
                <w:szCs w:val="15"/>
                <w:b w:val="1"/>
                <w:bCs w:val="1"/>
                <w:color w:val="auto"/>
                <w:w w:val="95"/>
              </w:rPr>
              <w:t>Capital</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4"/>
              <w:spacing w:after="0" w:line="169" w:lineRule="exact"/>
              <w:rPr>
                <w:sz w:val="20"/>
                <w:szCs w:val="20"/>
                <w:color w:val="auto"/>
              </w:rPr>
            </w:pPr>
            <w:r>
              <w:rPr>
                <w:rFonts w:ascii="Arial" w:cs="Arial" w:eastAsia="Arial" w:hAnsi="Arial"/>
                <w:sz w:val="15"/>
                <w:szCs w:val="15"/>
                <w:b w:val="1"/>
                <w:bCs w:val="1"/>
                <w:color w:val="auto"/>
                <w:w w:val="95"/>
              </w:rPr>
              <w:t>Deficit</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4"/>
              <w:spacing w:after="0" w:line="169" w:lineRule="exact"/>
              <w:rPr>
                <w:sz w:val="20"/>
                <w:szCs w:val="20"/>
                <w:color w:val="auto"/>
              </w:rPr>
            </w:pPr>
            <w:r>
              <w:rPr>
                <w:rFonts w:ascii="Arial" w:cs="Arial" w:eastAsia="Arial" w:hAnsi="Arial"/>
                <w:sz w:val="15"/>
                <w:szCs w:val="15"/>
                <w:b w:val="1"/>
                <w:bCs w:val="1"/>
                <w:color w:val="auto"/>
                <w:w w:val="95"/>
              </w:rPr>
              <w:t>Equity</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January 1, 2020</w:t>
            </w: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33,203,806</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04"/>
              <w:spacing w:after="0" w:line="169" w:lineRule="exact"/>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87"/>
              </w:rPr>
              <w:t>333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282,153,201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(263,140,660)</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19,012,874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Stock-based compensation - restricted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120"/>
              <w:spacing w:after="0"/>
              <w:rPr>
                <w:sz w:val="20"/>
                <w:szCs w:val="20"/>
                <w:color w:val="auto"/>
              </w:rPr>
            </w:pPr>
            <w:r>
              <w:rPr>
                <w:rFonts w:ascii="Arial" w:cs="Arial" w:eastAsia="Arial" w:hAnsi="Arial"/>
                <w:sz w:val="15"/>
                <w:szCs w:val="15"/>
                <w:color w:val="auto"/>
              </w:rPr>
              <w:t>stock units ("RSUs")</w:t>
            </w:r>
          </w:p>
        </w:tc>
        <w:tc>
          <w:tcPr>
            <w:tcW w:w="13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2,321,820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2,321,820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 compensation - performance</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share units ("PSUs")</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(88,348)</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(88,348)</w:t>
            </w:r>
          </w:p>
        </w:tc>
        <w:tc>
          <w:tcPr>
            <w:tcW w:w="0" w:type="dxa"/>
            <w:vAlign w:val="bottom"/>
          </w:tcPr>
          <w:p>
            <w:pPr>
              <w:spacing w:after="0"/>
              <w:rPr>
                <w:sz w:val="1"/>
                <w:szCs w:val="1"/>
                <w:color w:val="auto"/>
              </w:rPr>
            </w:pP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Stock-based compensation - employee</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120"/>
              <w:spacing w:after="0"/>
              <w:rPr>
                <w:sz w:val="20"/>
                <w:szCs w:val="20"/>
                <w:color w:val="auto"/>
              </w:rPr>
            </w:pPr>
            <w:r>
              <w:rPr>
                <w:rFonts w:ascii="Arial" w:cs="Arial" w:eastAsia="Arial" w:hAnsi="Arial"/>
                <w:sz w:val="15"/>
                <w:szCs w:val="15"/>
                <w:color w:val="auto"/>
              </w:rPr>
              <w:t>stock purchase plan ("ESPP")</w:t>
            </w:r>
          </w:p>
        </w:tc>
        <w:tc>
          <w:tcPr>
            <w:tcW w:w="13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42,827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42,827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Issuance of shares for RSUs</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396,559</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5"/>
                <w:szCs w:val="15"/>
                <w:color w:val="auto"/>
              </w:rPr>
              <w:t>Proceeds from contributions to the ESPP</w:t>
            </w:r>
          </w:p>
        </w:tc>
        <w:tc>
          <w:tcPr>
            <w:tcW w:w="13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113,059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113,059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Issuance of shares in an at-the-market ("ATM")</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offering, net of $141,322 in issuance costs</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4,351,652</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5,506,836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5,506,880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5"/>
                <w:szCs w:val="15"/>
                <w:color w:val="auto"/>
              </w:rPr>
              <w:t>Net loss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(8,597,736)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(8,597,736)</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March 31, 2020 (unaudited)</w:t>
            </w: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vMerge w:val="continue"/>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37,952,017</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04"/>
              <w:spacing w:after="0" w:line="169" w:lineRule="exact"/>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87"/>
              </w:rPr>
              <w:t>381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290,049,391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(271,738,396)</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18,311,376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6"/>
        </w:trPr>
        <w:tc>
          <w:tcPr>
            <w:tcW w:w="77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(8,525,763)</w:t>
            </w: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(8,597,736)</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121,699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74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2,146,226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2,276,299</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operating lease right-of-use assets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188,445</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74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(80,925)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(29,029)</w:t>
            </w:r>
          </w:p>
        </w:tc>
      </w:tr>
      <w:tr>
        <w:trPr>
          <w:trHeight w:val="229"/>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(105,491)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98,212</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353,928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(633,268)</w:t>
            </w:r>
          </w:p>
        </w:tc>
      </w:tr>
      <w:tr>
        <w:trPr>
          <w:trHeight w:val="230"/>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(628,052)</w:t>
            </w:r>
          </w:p>
        </w:tc>
      </w:tr>
      <w:tr>
        <w:trPr>
          <w:trHeight w:val="229"/>
        </w:trPr>
        <w:tc>
          <w:tcPr>
            <w:tcW w:w="7760" w:type="dxa"/>
            <w:vAlign w:val="bottom"/>
          </w:tcPr>
          <w:p>
            <w:pPr>
              <w:ind w:left="74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(210,212)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(169,681)</w:t>
            </w:r>
          </w:p>
        </w:tc>
      </w:tr>
      <w:tr>
        <w:trPr>
          <w:trHeight w:val="229"/>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(5,976,550)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(7,340,111)</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(111,727)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(111,727)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proceeds from the sales of common stock</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5,506,880</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contributions to employee stock purchase plan</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117,013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113,059</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5,619,939</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(5,971,264)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(1,720,172)</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 - beginning</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50,729,661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21,684,089</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and cash equivalents - ending</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44,758,397</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19,963,917</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Common stock issued for RSUs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 1 - Business Organization, Nature of Operations</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Energous Corporation (the “Company”) was incorporated in Delaware on October 30, 2012. The Company has developed its WattUp® technology, consisting of proprietary semiconductor chipsets, software, hardware designs and antennas, that enables radio frequency (“RF”) based charging for electronic devices, providing wire-free contact and non-contact charging solutions, with the potential to enable charging with mobility. The Company believes its proprietary WattUp technology can be utilized in consumer electronics such as wearables, hearing aids, earbuds, Bluetooth headsets, Internet of Things (“IoT”) devices, smartphones, tablets, e-book readers, keyboards, mice, remote controls, rechargeable lights, cylindrical batteries, medical devices and other devices with charging requirements that would otherwise require battery replacement or wired power connection.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Liquidity and Management Plans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2021 and 2020, the Company recorded revenue of $145,065 and $61,475, respectively. During the three months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2021 and 2020, the Company recorded a net loss of $8,525,763 and $8,597,736, respectively. Net cash used in operating activities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$5,976,550 and $7,340,111 for the three months ended March 31, 2021 and 2020, respectively. The Company is currently meeting its liquidity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through the proceeds of securities offerings that raised net proceeds of $53,556,202 during 2020, along with payments received from customers.</w:t>
      </w:r>
    </w:p>
    <w:p>
      <w:pPr>
        <w:spacing w:after="0" w:line="18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March 31, 2021, the Company had cash on hand of $44,758,397. The Company expects that cash on hand as of March 31, 2021, together with anticipated revenues, will be sufficient to fund the Company’s operations into May 2022.</w:t>
      </w:r>
    </w:p>
    <w:p>
      <w:pPr>
        <w:spacing w:after="0" w:line="14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Research and development of new technologies is by its nature unpredictable. Although the Company intends to continue its research and development activities,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financings, commercial agreements with customers or strategic partners, and other alternatives, depending upon market conditions. There is no assurance that such financing would be available on terms that the Company would find acceptable, or at all.</w:t>
      </w:r>
    </w:p>
    <w:p>
      <w:pPr>
        <w:spacing w:after="0" w:line="13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competition and global market fluctuations.</w:t>
      </w:r>
    </w:p>
    <w:p>
      <w:pPr>
        <w:spacing w:after="0" w:line="14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March 2020, the World Health Organization declared the outbreak of a novel coronavirus (COVID-19) as a pandemic. The pandemic continues to affect the United States and the world. The Company is monitoring the ongoing effects of COVID-19 (including continued outbreaks) and the related business and travel restrictions and changes to behavior intended to reduce its spread, and COVID-19’s impact on the Company’s operations, financial position, cash flows, inventory, supply chains, global regulatory approvals, purchasing trends, customer payments, and the industry in general, in addition to the impact on its employees. Due to the continuing developments and fluidity of this situation, the magnitude and duration of the pandemic and its impact on the Company's operations and liquidity are still uncertain as of the date of this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U.S. Securities and Exchange Commission (“SEC”).</w:t>
      </w:r>
    </w:p>
    <w:p>
      <w:pPr>
        <w:spacing w:after="0" w:line="14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These unaudited condensed interim financial statements should be read in conjunction with the audited financial statements and notes thereto for the fiscal year ended December 31, 2020 included in the Company's Annual Report on Form 10-K for the fiscal year ended December 31, 2020, filed with the SEC on March 24, 2021. The accounting policies used in preparing these unaudited condensed interim financial statements are consistent with those described in the Company’s December 31, 2020 audited financial statements</w:t>
      </w:r>
      <w:r>
        <w:rPr>
          <w:rFonts w:ascii="Arial" w:cs="Arial" w:eastAsia="Arial" w:hAnsi="Arial"/>
          <w:sz w:val="18"/>
          <w:szCs w:val="18"/>
          <w:i w:val="1"/>
          <w:iCs w:val="1"/>
          <w:color w:val="auto"/>
        </w:rPr>
        <w:t>.</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57"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 Company’s significant estimates and assumptions include the valuation of stock-based compensation instruments, recognition of revenue, the useful lives of long-lived assets, and income tax expense.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On January 1, 2018, the Company adopted Accounting Standards Update No. 2014-09, "Revenue from Contracts with Customers" (Topic 606).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Topic 606, the Company recognizes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the performance obligations are met or delivered.</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revenue primarily consists of product development projects revenue and royalty revenue from Dialog. The Company also provides contract services for Dialog. During the three months ended March 31, 2021, the Company recognized $145,065 in product development projects revenue, $0 in royalty revenue and $0 in contract services revenue. During the three months ended March 31, 2020, the Company recognized $20,850 in product development projects revenue, $0 in royalty revenue and $40,625 in contract services revenue.</w:t>
      </w:r>
    </w:p>
    <w:p>
      <w:pPr>
        <w:spacing w:after="0" w:line="14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a point in time based on when the performance obligation is met. The payment associated with achieving the performance obligation is generally commensurate with the Company’s effort or the value of the deliverable and is nonrefundable. The Company records the expenses related to these product development projects in research and development expense, in the periods such expenses were incurred.</w:t>
      </w:r>
    </w:p>
    <w:p>
      <w:pPr>
        <w:spacing w:after="0" w:line="1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records royalty revenue from its manufacturing partner, Dialog, and such royalty revenue is recognized at a point in time based on shipments from Dialog to its customers.</w:t>
      </w:r>
    </w:p>
    <w:p>
      <w:pPr>
        <w:spacing w:after="0" w:line="14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recognizes contract services revenue from Dialog over the period of time that the services are performed. The costs associated with this revenue are recognized as the services are performed and are included in cost of services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Research and development expenses are charged to operations as incurred. For internally developed patents, all patent application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$4,591,244 and $4,575,303 for the three months ended March 31, 2021 and 2020, respectively.</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accounts for equity instruments issued to employees, board members and contractors in accordance with accounting guidance that requires awards to be recorded at their fair value on the date of grant and are amortized over the vesting period of the award. The Company recognizes compensation costs on a straight-line basis over the requisite service period of the award, which is typically the vesting term of the equity instrument issued.</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Under the Company’s Employee Stock Purchase Plan (“ESPP”), employees may purchase a limited number of shares of the Company’s common stock at a 15% discount from the lower of the closing market prices measured on the first and last days of each half-year period. The Company recognizes stock-based compensation expense for the fair value of the purchase options, as measured on the grant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March 31, 2021,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three months ended March 31, 2021 or 2020. The Company files income tax returns with the United States and California governments.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9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7,137,741 and 7,206,004 for the three months ended March 31, 2021 and 2020, respectively, because their inclusion would be anti-dilutive.</w:t>
      </w:r>
    </w:p>
    <w:p>
      <w:pPr>
        <w:spacing w:after="0" w:line="1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Potentially dilutive securities outlined in the table below have been excluded from the computation of diluted net loss per share because the effect of their inclusion would have been anti-dilutive.</w:t>
      </w:r>
    </w:p>
    <w:p>
      <w:pPr>
        <w:spacing w:after="0" w:line="202"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For the Three Months</w:t>
      </w:r>
    </w:p>
    <w:p>
      <w:pPr>
        <w:jc w:val="center"/>
        <w:ind w:left="598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55"/>
        </w:trPr>
        <w:tc>
          <w:tcPr>
            <w:tcW w:w="6140" w:type="dxa"/>
            <w:vAlign w:val="bottom"/>
            <w:tcBorders>
              <w:bottom w:val="single" w:sz="8" w:color="CFF0FC"/>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2320" w:type="dxa"/>
            <w:vAlign w:val="bottom"/>
            <w:tcBorders>
              <w:top w:val="single" w:sz="8" w:color="auto"/>
              <w:bottom w:val="single" w:sz="8" w:color="auto"/>
            </w:tcBorders>
          </w:tcPr>
          <w:p>
            <w:pPr>
              <w:jc w:val="right"/>
              <w:ind w:right="93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Warrant issued to private investors</w:t>
            </w:r>
          </w:p>
        </w:tc>
        <w:tc>
          <w:tcPr>
            <w:tcW w:w="1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36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3,938,802</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Options to purchase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550,985</w:t>
            </w:r>
          </w:p>
        </w:tc>
        <w:tc>
          <w:tcPr>
            <w:tcW w:w="3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550,985</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RSUs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1,851,254</w:t>
            </w:r>
          </w:p>
        </w:tc>
        <w:tc>
          <w:tcPr>
            <w:tcW w:w="36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2,048,540</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PSUs</w:t>
            </w:r>
          </w:p>
        </w:tc>
        <w:tc>
          <w:tcPr>
            <w:tcW w:w="860" w:type="dxa"/>
            <w:vAlign w:val="bottom"/>
          </w:tcPr>
          <w:p>
            <w:pPr>
              <w:jc w:val="right"/>
              <w:spacing w:after="0"/>
              <w:rPr>
                <w:sz w:val="20"/>
                <w:szCs w:val="20"/>
                <w:color w:val="auto"/>
              </w:rPr>
            </w:pPr>
            <w:r>
              <w:rPr>
                <w:rFonts w:ascii="Arial" w:cs="Arial" w:eastAsia="Arial" w:hAnsi="Arial"/>
                <w:sz w:val="18"/>
                <w:szCs w:val="18"/>
                <w:color w:val="auto"/>
              </w:rPr>
              <w:t>1,450,713</w:t>
            </w:r>
          </w:p>
        </w:tc>
        <w:tc>
          <w:tcPr>
            <w:tcW w:w="3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667,677</w:t>
            </w:r>
          </w:p>
        </w:tc>
        <w:tc>
          <w:tcPr>
            <w:tcW w:w="120" w:type="dxa"/>
            <w:vAlign w:val="bottom"/>
          </w:tcPr>
          <w:p>
            <w:pPr>
              <w:spacing w:after="0"/>
              <w:rPr>
                <w:sz w:val="19"/>
                <w:szCs w:val="19"/>
                <w:color w:val="auto"/>
              </w:rPr>
            </w:pPr>
          </w:p>
        </w:tc>
      </w:tr>
      <w:tr>
        <w:trPr>
          <w:trHeight w:val="223"/>
        </w:trPr>
        <w:tc>
          <w:tcPr>
            <w:tcW w:w="61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potentially dilutive securities</w:t>
            </w:r>
          </w:p>
        </w:tc>
        <w:tc>
          <w:tcPr>
            <w:tcW w:w="14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7,137,741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7,206,004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January 1, 2019, 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spacing w:after="0" w:line="21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4 – Commitments and Contingencies, </w:t>
      </w:r>
      <w:r>
        <w:rPr>
          <w:rFonts w:ascii="Arial" w:cs="Arial" w:eastAsia="Arial" w:hAnsi="Arial"/>
          <w:sz w:val="17"/>
          <w:szCs w:val="17"/>
          <w:i w:val="1"/>
          <w:iCs w:val="1"/>
          <w:color w:val="auto"/>
        </w:rPr>
        <w:t>Operating Leases</w:t>
      </w:r>
      <w:r>
        <w:rPr>
          <w:rFonts w:ascii="Arial" w:cs="Arial" w:eastAsia="Arial" w:hAnsi="Arial"/>
          <w:sz w:val="17"/>
          <w:szCs w:val="17"/>
          <w:color w:val="auto"/>
        </w:rPr>
        <w:t xml:space="preserve"> for further discussion of the Company’s operating leases.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In December 2019, the FASB issued ASU No. 2019-12, “Income Taxes (Topic 740),”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removes certain exceptions under Topic 740 and improves consistent application by clarifying and amending existing guidance. This standard is effective for annual reporting periods beginning after December 15, 2020. The Company adopted this standard, and the adoption did not have a material impact on its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Subsequent Events</w:t>
      </w:r>
    </w:p>
    <w:p>
      <w:pPr>
        <w:spacing w:after="0" w:line="19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evaluates events that have occurred after the balance sheet date of March 31, 2021, through the date which the financial statements are available to be issued.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San Jose Lease</w:t>
      </w:r>
    </w:p>
    <w:p>
      <w:pPr>
        <w:spacing w:after="0" w:line="18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On July 1, 2019, the Company signed a new lease agreement for the lease of its office space at its corporate headquarters in San Jose, California for an additional three years. The lease agreement includes space on the first floor of the building that had been previously subleased. Upon expiration of the original lease on September 30, 2019, the new monthly lease payment starting October 1, 2019 was $52,970 and is subject to annual escalations up to a maximum monthly lease payment of $64,941.</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Costa Mesa Lease</w:t>
      </w:r>
    </w:p>
    <w:p>
      <w:pPr>
        <w:spacing w:after="0" w:line="25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On July 15, 2019, the Company signed a new lease agreement for the lease of office space in Costa Mesa, California for an additional two years. Upon expiration of the original lease on September 30, 2019, the new monthly lease payment starting October 1, 2019 was $9,773 and is subject to an annual escalation up to a maximum monthly lease payment of $10,200.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 Commitments</w:t>
      </w:r>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February 2016, the FASB issued its final standard on lease accounting, ASU No. 2016-02, “Leases (Topic 842),” which superseded Topic 840, “Leases,” which was further modified in ASU No. 2018-10, “Codification Improvements” to clarify the implementation guidance. The new accounting standard was effective for the Company beginning on January 1, 2019 and required the recognition on the balance sheet of right-of-use assets and lease liabilities. The Company elected the optional transition method and adopted the new guidance on January 1, 2019 on a modified retrospective basis with no restatement of prior period amounts. The Company’s adoption of the new standard resulted in the recognition of right-of-use assets of $414,426 and operating lease liabilities of $485,747, with no material cumulative effect adjustment to equity as of the date of adoption. The Company anticipates having future total lease payments of $1,224,876 during the period from the second quarter of 2021 to the third quarter of 2022. As of March 31, 2021, the company has total operating lease right-of-use assets of $1,097,377, current portion operating lease liabilities of $805,557 and long-term portion of operating lease liabilities of $386,424. The weighted average remaining lease term is 1.4 years as of March 31,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undiscounted cash flows to lease liabilities recognized as of March 31, 2021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155"/>
        </w:trPr>
        <w:tc>
          <w:tcPr>
            <w:tcW w:w="9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Borders>
              <w:top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230"/>
        </w:trPr>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640,407</w:t>
            </w:r>
          </w:p>
        </w:tc>
        <w:tc>
          <w:tcPr>
            <w:tcW w:w="100" w:type="dxa"/>
            <w:vAlign w:val="bottom"/>
            <w:shd w:val="clear" w:color="auto" w:fill="CFF0FC"/>
          </w:tcPr>
          <w:p>
            <w:pPr>
              <w:spacing w:after="0"/>
              <w:rPr>
                <w:sz w:val="19"/>
                <w:szCs w:val="19"/>
                <w:color w:val="auto"/>
              </w:rPr>
            </w:pPr>
          </w:p>
        </w:tc>
      </w:tr>
      <w:tr>
        <w:trPr>
          <w:trHeight w:val="229"/>
        </w:trPr>
        <w:tc>
          <w:tcPr>
            <w:tcW w:w="9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FF0FC"/>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584,469</w:t>
            </w:r>
          </w:p>
        </w:tc>
        <w:tc>
          <w:tcPr>
            <w:tcW w:w="100" w:type="dxa"/>
            <w:vAlign w:val="bottom"/>
            <w:tcBorders>
              <w:bottom w:val="single" w:sz="8" w:color="CFF0FC"/>
            </w:tcBorders>
          </w:tcPr>
          <w:p>
            <w:pPr>
              <w:spacing w:after="0"/>
              <w:rPr>
                <w:sz w:val="19"/>
                <w:szCs w:val="19"/>
                <w:color w:val="auto"/>
              </w:rPr>
            </w:pPr>
          </w:p>
        </w:tc>
      </w:tr>
      <w:tr>
        <w:trPr>
          <w:trHeight w:val="223"/>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1,224,876</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gridSpan w:val="2"/>
          </w:tcPr>
          <w:p>
            <w:pPr>
              <w:spacing w:after="0"/>
              <w:rPr>
                <w:sz w:val="20"/>
                <w:szCs w:val="20"/>
                <w:color w:val="auto"/>
              </w:rPr>
            </w:pPr>
            <w:r>
              <w:rPr>
                <w:rFonts w:ascii="Arial" w:cs="Arial" w:eastAsia="Arial" w:hAnsi="Arial"/>
                <w:sz w:val="18"/>
                <w:szCs w:val="18"/>
                <w:color w:val="auto"/>
              </w:rPr>
              <w:t>Present value discount (4% weighted average)</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(32,895)</w:t>
            </w:r>
          </w:p>
        </w:tc>
      </w:tr>
      <w:tr>
        <w:trPr>
          <w:trHeight w:val="223"/>
        </w:trPr>
        <w:tc>
          <w:tcPr>
            <w:tcW w:w="9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1,191,981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Hosted Design Software Agreement</w:t>
      </w:r>
    </w:p>
    <w:p>
      <w:pPr>
        <w:spacing w:after="0" w:line="18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222222"/>
        </w:rPr>
        <w:t>On June 25, 2015, the Company entered into a three-year agreement to license electronic design automation software in a hosted environment. Pursuant to the agreement, under which services began July 2015, the Company is required to remit quarterly payments in the amount of approximately $101,000 with the last payment due March 30, 2018. On December 18, 2015, the agreement was amended to redefine the hardware and software configuration and the quarterly payments increased to approximately $198,000. In July 2018, the Company renewed the agreement for an additional three years, and the Company is required to remit quarterly payments of approximately $218,000. The current subscription term expires on June 23,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Litigations, Claims, and Assessments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MBO Bonus Plan</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and in good standing, and achieve the performance objectives selected by the Compensation Committee.</w:t>
      </w:r>
    </w:p>
    <w:p>
      <w:pPr>
        <w:spacing w:after="0" w:line="14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the Bonus Plan, the Compensation Committee is responsible for selecting the amounts of potential bonuses for executive officers, the performance metrics used to determine whether any such bonuses will be paid and determining whether those performance metrics have been achieved.</w:t>
      </w:r>
    </w:p>
    <w:p>
      <w:pPr>
        <w:spacing w:after="0" w:line="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three months ended March 31, 2021, the Company accrued $391,578 in expense under the Bonus Plan, which will be paid during the second quarter of 2021. During the three months ended March 31, 2020, the Company accrued $284,591 in expense, which was paid during the second quarter of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Agreement</w:t>
      </w:r>
    </w:p>
    <w:p>
      <w:pPr>
        <w:spacing w:after="0" w:line="19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15, 2018, the Compensation Committee approved a form of Severance and Change in Control Agreement (“Severance Agreement”) that the Company may enter into with executive officers (“Executive”).</w:t>
      </w:r>
    </w:p>
    <w:p>
      <w:pPr>
        <w:spacing w:after="0" w:line="13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Under the Severance Agreement, if an Executive is terminated in a qualifying termination, the Company agrees to pay the Executive six to 12 months of that Executive’s monthly base salary. If Executive elects continued coverage under the Consolidated Omnibus Budget Reconciliation Act of 1985, as amended (“COBRA”) the Company will pay the full amount of Executive’s premiums under the Company’s health, dental and vision plans, including coverage for the Executive’s eligible dependents, for the six to 12 month period following the Executive’s termination.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Employee Agreement – Stephen Rizzone</w:t>
      </w:r>
    </w:p>
    <w:p>
      <w:pPr>
        <w:spacing w:after="0" w:line="1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April 3, 2015, the Company entered into an Amended and Restated Executive Employment Agreement with Stephen R. Rizzone, the Company’s President and Chief Executive Officer (“Employment Agreement”).</w:t>
      </w:r>
    </w:p>
    <w:p>
      <w:pPr>
        <w:spacing w:after="0" w:line="13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Employment Agreement effective as of January 1, 2015, has an initial term of four years and automatically renews each year after the initial term. The Employment Agreement provides for an annual base salary of $365,000, and Mr. Rizzone is eligible to receive quarterly cash bonuses from the MBO Bonus Plan with a total target amount equal to 100% of his base salary based upon achievement of performance-based objectives established by the Board.</w:t>
      </w:r>
    </w:p>
    <w:p>
      <w:pPr>
        <w:spacing w:after="0" w:line="176" w:lineRule="exact"/>
        <w:rPr>
          <w:sz w:val="20"/>
          <w:szCs w:val="20"/>
          <w:color w:val="auto"/>
        </w:rPr>
      </w:pPr>
    </w:p>
    <w:p>
      <w:pPr>
        <w:ind w:right="2020"/>
        <w:spacing w:after="0" w:line="461" w:lineRule="auto"/>
        <w:rPr>
          <w:sz w:val="20"/>
          <w:szCs w:val="20"/>
          <w:color w:val="auto"/>
        </w:rPr>
      </w:pPr>
      <w:r>
        <w:rPr>
          <w:rFonts w:ascii="Arial" w:cs="Arial" w:eastAsia="Arial" w:hAnsi="Arial"/>
          <w:sz w:val="18"/>
          <w:szCs w:val="18"/>
          <w:color w:val="auto"/>
        </w:rPr>
        <w:t xml:space="preserve">Mr. Rizzone is also eligible to receive all customary and usual benefits generally available to senior executives of the Company. </w:t>
      </w:r>
      <w:r>
        <w:rPr>
          <w:rFonts w:ascii="Arial" w:cs="Arial" w:eastAsia="Arial" w:hAnsi="Arial"/>
          <w:sz w:val="18"/>
          <w:szCs w:val="18"/>
          <w:b w:val="1"/>
          <w:bCs w:val="1"/>
          <w:i w:val="1"/>
          <w:iCs w:val="1"/>
          <w:color w:val="auto"/>
        </w:rPr>
        <w:t>Strategic Alliance Agreement</w:t>
      </w:r>
    </w:p>
    <w:p>
      <w:pPr>
        <w:spacing w:after="0" w:line="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In November 2016, the Company and Dialog Semiconductor plc (“Dialog”), a related party (see Note 7—Related Party Transactions),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(the “Dialog Exclusivity Requirement”). In addition, both parties agreed on a revenue sharing arrangement and will collaborate on the commercialization of Licensed Products based on a mutually-agreed upon plan. Each party will retain all of its intellectual property.</w:t>
      </w:r>
    </w:p>
    <w:p>
      <w:pPr>
        <w:spacing w:after="0" w:line="13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Alliance Agreement has an initial term of seven years and will automatically renew annually thereafter unless terminated by either party upon 180 days’ prior written notice. The Company may terminate the Alliance Agreement at any time after the third anniversary of the Agreement upon 180 days’ prior written notice to Dialog, or if Dialog breaches certain exclusivity obligations. Dialog may terminate the Alliance Agreement if sales of Licensed Products do not meet specified targets. The Company Exclusivity Requirement will terminate upon the earlier of January 1, 2021 or the occurrence of certain events relating to the Company’s pre-existing exclusivity obligations. The Company Exclusivity Requirement renews automatically on an annual basis unless the Company and Dialog agree to terminate the requirement.</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w:t>
      </w:r>
    </w:p>
    <w:p>
      <w:pPr>
        <w:spacing w:after="0" w:line="18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August 9, 2018, the Company filed a shelf registration statement on Form S-3 with the SEC, which became effective on August 17, 2018. This shelf registration statement allows the Company to sell, from time to time, any combination of debt or equity securities described in the registration statement up to aggregate proceeds of $75,000,000. Pursuant to this registration statement, in March 2019 the Company raised $23,319,156 (net of $1,680,844 in issuance costs) from an offering of shares of its common stock and warrants to purchase 1,666,666 shares of common stock at an exercise price of $10.00 per share. The Company also raised $4,557,693 (net of $339,081 in issuance costs) during the fourth quarter of 2019, $5,506,880 (net of $141,322 in issuance costs) during the first quarter of 2020 and $9,216,611 (net of $236,528 in issuance costs) during the second quarter of 2020, pursuant to this shelf registration statement.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On September 15, 2020, the Company filed a shelf registration statement on Form S-3 with the SEC, which became effective on September 24, 2020,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contains two prospectuses: a base prospectus, which covers the offering, issuance and sale by the Company of up to $75,000,000 of its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debt securities, warrants to purchase our common stock, preferred stock or debt securities, subscription rights to purchase its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preferred stock or debt securities and/or units consisting of some or all of these securities; and an at-the-market (“ATM”) sales agreement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 covering the offering, or the ATM Program, issuance and sale by the Company of up to a maximum aggregate offering price of $40,000,000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common stock that may be issued and sold under that certain sales agreement. The $40,000,000 of common stock that may be offered, issued and sold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sales agreement prospectus is included in the $75,000,000 of the Company’s securities that may be offered, issued and sold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the base prospectus. Pursuant to this shelf registration statement, the Company sold shares which raised net proceeds of $38,832,711 (net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$1,167,289 in issuance costs) during the third and fourth quarters of 2020. The ATM Program was completed as of the end of 2020 and no further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sold during the three months ended March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Outstanding</w:t>
      </w:r>
    </w:p>
    <w:p>
      <w:pPr>
        <w:spacing w:after="0" w:line="19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outstanding common shares typically include shares that are deemed delivered under US GAAP. Shares that are deemed delivered currently include shares that have vested, but have not yet been delivered, under tax-deferred equity awards, as well as shares purchased under our Employee Stock Purchase Program (“ESPP”) where actual transfer of shares normally occurs a few days after the completion of the purchase periods. There are no voting rights for shares that are deemed delivered under US GAAP until the actual delivery of shares takes place. On July 24, 2020, the stockholders of the Company approved an increase of the authorized share capital of the Company from 50,000,000 to 200,000,000 shares of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Equity Incentive Plan</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Effective on May 26, 2020, the Company’s stockholders approved the amendment and restatement of the 2013 Equity Incentive Plan to increase the number of shares reserved for issuance thereunder by 1,200,000 shares, bringing to 7,285,967 the total number of shares approved for issuance under that plan.</w:t>
      </w:r>
    </w:p>
    <w:p>
      <w:pPr>
        <w:spacing w:after="0" w:line="14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March 31, 2021, 930,611 shares of common stock remain eligible to be issued through equity-based instruments under the 2013 Equity Incentive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Non-Employee Equity Compensation Plan</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Effective on May 26, 2020, the Company’s stockholders approved the amendment and restatement of the 2014 Non-employee Equity Compensation Plan to increase the number of shares reserved for issuance through equity-based instruments thereunder by 800,000 shares, bringing to 1,650,000 the total number of shares approved for issuance under that plan.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 continued</w:t>
      </w:r>
    </w:p>
    <w:p>
      <w:pPr>
        <w:spacing w:after="0" w:line="19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March 31, 2021, 873,971 shares of common stock remain eligible to be issued through equity-based instruments under the 2014 Non-Employee Equity Compensation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Performance Share Unit Plan</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Effective on May 26, 2020, the Company’s stockholders approved the amendment and restatement of the 2015 Performance Share Unit Plan to increase the number of shares reserved for issuance through equity-based instruments thereunder by 700,000 shares, bringing to 3,410,104 the total number of shares approved for issuance under that plan.</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31, 2021, 681,238 shares of common stock remain eligible to be issued through equity-based instruments under the 2015 Performance Share Unit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Equity Inducement Plan</w:t>
      </w:r>
    </w:p>
    <w:p>
      <w:pPr>
        <w:spacing w:after="0" w:line="25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December 28, 2017, the Board approved the 2017 Equity Inducement Plan. Under the plan, the Board reserved 600,000 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March 31, 2021, 143,336 shares of common stock remain available to be issued through equity-based instruments under the 2017 Equity Inducement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1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April 2015, the Company’s Board approved the ESPP, under which 600,000 shares of common stock have been reserved for purchase by the Company’s employees, subject to the approval by the stockholders. On May 21, 2015, the Company’s stockholders approved the ESPP. Effective on May 26, 2020, the Company’s stockholders approved the amendment and restatement of the Employee Stock Purchase Plan to increase the number of shares reserved for issuance through equity-based instruments thereunder by 250,000 shares, bring to 850,000 the total number of shares approved for issuance under that plan. Under the ESPP, employees may designate an amount not less than 1% but not more than 10% of their annual compensation for the purchase of Company shares. No more than 7,500 shares may be purchased by an employee under the ESPP during an offering period. An offering period shall be six months in duration commencing on or about January 1 and July 1 of each year. The exercise price of the option will be the lesser of 85% of the fair market of the common stock on the first business day of the offering period and 85% of the fair market value of the common stock on the applicable exercise date.</w:t>
      </w:r>
    </w:p>
    <w:p>
      <w:pPr>
        <w:spacing w:after="0" w:line="1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March 31, 2021, 140,438 shares of common stock remain eligible to be issued under the ESPP. Employees contributed $117,013 through payroll withholdings as of March 31, 2021 to the ESPP for the current offering period that will end on June 30, 2021 and shares will be deemed delivered on that date.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stock option activity during the three months ended March 31, 2021: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 In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Years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550,985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550,985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Exercisable at January 1, 2021</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550,985</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Exercisable at March 31,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550,985</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As of March 31, 2021, the unamortized value of options was $0.</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4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Units (“RSUs”)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During the three months ended March 31, 2021, the Compensation Committee granted various employees RSUs covering 941,635 shares of common stock under the 2013 Equity Incentive Plan. The awards vest over terms ranging from two to three years.</w:t>
      </w:r>
    </w:p>
    <w:p>
      <w:pPr>
        <w:spacing w:after="0" w:line="13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During the three months ended March 31, 2021, the Compensation Committee and the Board of Directors granted various non-employees RSUs covering 125,000 shares of common stock under the 2014 Non-employee Equity Compensation Plan. The awards vest over one year.</w:t>
      </w:r>
    </w:p>
    <w:p>
      <w:pPr>
        <w:spacing w:after="0" w:line="200" w:lineRule="exact"/>
        <w:rPr>
          <w:sz w:val="20"/>
          <w:szCs w:val="20"/>
          <w:color w:val="auto"/>
        </w:rPr>
      </w:pPr>
    </w:p>
    <w:p>
      <w:pPr>
        <w:spacing w:after="0" w:line="3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31, 2021, the unamortized value of the RSUs was $6,355,220. The unamortized amount will be expensed over a weighted average period of 1.6 years. A summary of the activity related to RSUs for the three months ended March 31, 2021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7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77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1,421,168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RSUs 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1,066,635</w:t>
            </w:r>
          </w:p>
        </w:tc>
        <w:tc>
          <w:tcPr>
            <w:tcW w:w="160" w:type="dxa"/>
            <w:vAlign w:val="bottom"/>
          </w:tcPr>
          <w:p>
            <w:pPr>
              <w:spacing w:after="0"/>
              <w:rPr>
                <w:sz w:val="19"/>
                <w:szCs w:val="19"/>
                <w:color w:val="auto"/>
              </w:rPr>
            </w:pP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RSUs forfeited</w:t>
            </w: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(9,137)</w:t>
            </w:r>
          </w:p>
        </w:tc>
        <w:tc>
          <w:tcPr>
            <w:tcW w:w="4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RSUs vested</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(627,412)</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1,851,254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(“PSUs”)</w:t>
      </w:r>
    </w:p>
    <w:p>
      <w:pPr>
        <w:spacing w:after="0" w:line="18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Performance share units (“PSUs”) are grants that vest upon the achievement of certain performance goals. The goals are commonly related to the Company’s revenue, market capitalization or market share price of the common stock.</w:t>
      </w:r>
    </w:p>
    <w:p>
      <w:pPr>
        <w:spacing w:after="0" w:line="14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three months ended March 31, 2021, the Compensation Committee of the Board of Directors granted various employees PSUs covering 1,450,713 shares of common stock under the Company’s 2015 Performance Share Unit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Amortization for all PSU awards was $0 and $(88,348) for the three months ended March 31, 2021 and 2020,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related to PSUs for the three months ended March 31, 2021 is presented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PSUs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1,450,713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PSUs forfeited</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PSUs vested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1,450,713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current offering period under the ESPP started on January 1, 2021 and will conclude on June 30, 2021. During the year ended December 31, 2020, there were two offering periods. The first offering period began January 1, 2020 and concluded on June 30, 2020. The second offering period began on July 1, 2020 and concluded on December 31, 2020.</w:t>
      </w:r>
    </w:p>
    <w:p>
      <w:pPr>
        <w:spacing w:after="0" w:line="14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weighted-average grant-date fair value of the purchase option for each designated share purchased under this plan was approximately $0.75 and $0.57 for the three months ended March 31, 2021 and 2020,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recognized compensation expense for the plan of $57,316 and $42,827 for the three months ended March 31, 2021 and 2020, respectively.</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estimated the fair value of ESPP purchase options granted during the three months ended March 31, 2021 and 2020 using the Black-Scholes option pricing model. The fair values of stock options granted were estimated using the following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Dividend yield</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6 months</w:t>
            </w: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months</w:t>
            </w:r>
          </w:p>
        </w:tc>
      </w:tr>
      <w:tr>
        <w:trPr>
          <w:trHeight w:val="621"/>
        </w:trPr>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115"/>
        </w:trPr>
        <w:tc>
          <w:tcPr>
            <w:tcW w:w="7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total stock-based compensation costs recognized for the three months ended March 31, 2021 and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Three Months Ended March 31,</w:t>
            </w:r>
          </w:p>
        </w:tc>
        <w:tc>
          <w:tcPr>
            <w:tcW w:w="1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03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2,088,910</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2,321,820</w:t>
            </w:r>
          </w:p>
        </w:tc>
        <w:tc>
          <w:tcPr>
            <w:tcW w:w="12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PSUs</w:t>
            </w:r>
          </w:p>
        </w:tc>
        <w:tc>
          <w:tcPr>
            <w:tcW w:w="156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(88,348)</w:t>
            </w: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1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57,316</w:t>
            </w:r>
          </w:p>
        </w:tc>
        <w:tc>
          <w:tcPr>
            <w:tcW w:w="4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42,827</w:t>
            </w:r>
          </w:p>
        </w:tc>
        <w:tc>
          <w:tcPr>
            <w:tcW w:w="120" w:type="dxa"/>
            <w:vAlign w:val="bottom"/>
            <w:shd w:val="clear" w:color="auto" w:fill="CFF0FC"/>
          </w:tcPr>
          <w:p>
            <w:pPr>
              <w:spacing w:after="0"/>
              <w:rPr>
                <w:sz w:val="19"/>
                <w:szCs w:val="19"/>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ind w:right="14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2,146,226</w:t>
            </w:r>
          </w:p>
        </w:tc>
        <w:tc>
          <w:tcPr>
            <w:tcW w:w="400" w:type="dxa"/>
            <w:vAlign w:val="bottom"/>
          </w:tcPr>
          <w:p>
            <w:pPr>
              <w:spacing w:after="0"/>
              <w:rPr>
                <w:sz w:val="19"/>
                <w:szCs w:val="19"/>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2,276,299</w:t>
            </w:r>
          </w:p>
        </w:tc>
        <w:tc>
          <w:tcPr>
            <w:tcW w:w="12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stock-based compensation was reflected within the statements of operations as: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w w:val="96"/>
              </w:rPr>
              <w:t>Three Months Ended September 30,</w:t>
            </w:r>
          </w:p>
        </w:tc>
        <w:tc>
          <w:tcPr>
            <w:tcW w:w="1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68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03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500" w:type="dxa"/>
            <w:vAlign w:val="bottom"/>
            <w:shd w:val="clear" w:color="auto" w:fill="CFF0FC"/>
          </w:tcPr>
          <w:p>
            <w:pPr>
              <w:jc w:val="right"/>
              <w:ind w:right="13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1,149,277</w:t>
            </w: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1,100,978</w:t>
            </w:r>
          </w:p>
        </w:tc>
        <w:tc>
          <w:tcPr>
            <w:tcW w:w="120" w:type="dxa"/>
            <w:vAlign w:val="bottom"/>
            <w:shd w:val="clear" w:color="auto" w:fill="CFF0FC"/>
          </w:tcPr>
          <w:p>
            <w:pPr>
              <w:spacing w:after="0"/>
              <w:rPr>
                <w:sz w:val="19"/>
                <w:szCs w:val="19"/>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Sales and marketing</w:t>
            </w:r>
          </w:p>
        </w:tc>
        <w:tc>
          <w:tcPr>
            <w:tcW w:w="1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448,947</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364,458</w:t>
            </w:r>
          </w:p>
        </w:tc>
        <w:tc>
          <w:tcPr>
            <w:tcW w:w="12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5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548,002</w:t>
            </w:r>
          </w:p>
        </w:tc>
        <w:tc>
          <w:tcPr>
            <w:tcW w:w="4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810,863</w:t>
            </w:r>
          </w:p>
        </w:tc>
        <w:tc>
          <w:tcPr>
            <w:tcW w:w="120" w:type="dxa"/>
            <w:vAlign w:val="bottom"/>
            <w:shd w:val="clear" w:color="auto" w:fill="CFF0FC"/>
          </w:tcPr>
          <w:p>
            <w:pPr>
              <w:spacing w:after="0"/>
              <w:rPr>
                <w:sz w:val="19"/>
                <w:szCs w:val="19"/>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ind w:right="13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2,146,226</w:t>
            </w:r>
          </w:p>
        </w:tc>
        <w:tc>
          <w:tcPr>
            <w:tcW w:w="400" w:type="dxa"/>
            <w:vAlign w:val="bottom"/>
          </w:tcPr>
          <w:p>
            <w:pPr>
              <w:spacing w:after="0"/>
              <w:rPr>
                <w:sz w:val="19"/>
                <w:szCs w:val="19"/>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2,276,299</w:t>
            </w:r>
          </w:p>
        </w:tc>
        <w:tc>
          <w:tcPr>
            <w:tcW w:w="12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November 2016, the Company and Dialog entered into an alliance agreement for the manufacture, distribution and commercialization of products incorporating the Company’s wire-free charging technology (See Note 4 – Commitments and Contingencies, </w:t>
      </w:r>
      <w:r>
        <w:rPr>
          <w:rFonts w:ascii="Arial" w:cs="Arial" w:eastAsia="Arial" w:hAnsi="Arial"/>
          <w:sz w:val="17"/>
          <w:szCs w:val="17"/>
          <w:i w:val="1"/>
          <w:iCs w:val="1"/>
          <w:color w:val="auto"/>
        </w:rPr>
        <w:t>Strategic Alliance Agreement</w:t>
      </w:r>
      <w:r>
        <w:rPr>
          <w:rFonts w:ascii="Arial" w:cs="Arial" w:eastAsia="Arial" w:hAnsi="Arial"/>
          <w:sz w:val="17"/>
          <w:szCs w:val="17"/>
          <w:color w:val="auto"/>
        </w:rPr>
        <w:t>). On November 7, 2016 and June 28, 2017, the Company and Dialog entered into securities purchase agreements under which Dialog acquired a total of 1,739,691 shares and received warrants to purchase up to 1,417,565 shares. As of March 31, 2021, none of the warrants remain outstanding. As of March 31, 2021, Dialog owns approximately 2.8% of the Company’s outstanding common shares. The Company recorded $0 and $0 for the three months ended March 31, 2021 and 2020, respectively, in royalty revenue. Additionally, the Company recorded $0 and $40,625 in contract services revenue performed by Dialog during the three months ended March 31, 2021 and 2020. The Company recorded $0 and $39,544 in cost of services revenue associated with contract services performed for Dialog during the three months ended March 31, 2021 and 2020,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Customer Concentrations</w:t>
      </w:r>
    </w:p>
    <w:p>
      <w:pPr>
        <w:spacing w:after="0" w:line="25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One customer accounted for approximately 69% of the Company’s revenue for the three months ended March 31, 2021, and two customers accounted for approximately 82% of the Company’s revenue for the three months ended March 31, 2020. One customer accounted for approximately 64% of the accounts receivable balance as of March 31, 2021. Four customers accounted for approximately 92% of the accounts receivable balance as of December 31, 2020.</w:t>
      </w:r>
    </w:p>
    <w:p>
      <w:pPr>
        <w:spacing w:after="0" w:line="39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 w:name="page18"/>
    <w:bookmarkEnd w:id="17"/>
    <w:p>
      <w:pPr>
        <w:ind w:right="378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right="20"/>
        <w:spacing w:after="0" w:line="284" w:lineRule="auto"/>
        <w:rPr>
          <w:sz w:val="20"/>
          <w:szCs w:val="20"/>
          <w:color w:val="auto"/>
        </w:rPr>
      </w:pPr>
      <w:r>
        <w:rPr>
          <w:rFonts w:ascii="Arial" w:cs="Arial" w:eastAsia="Arial" w:hAnsi="Arial"/>
          <w:sz w:val="16"/>
          <w:szCs w:val="16"/>
          <w:color w:val="auto"/>
        </w:rPr>
        <w:t>As used in this Quarterly Report on Form 10-Q, unless the context otherwise requires the terms “we,” “us,” “our,” and “Energous” refer to Energous Corporation, a Delaware corporation. This report contains forward-looking statements within the meaning of Section 27A of the Securities Act of 1933, as amended, and Section 21E of the Securities Exchange Act of 1934, as amended,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the impact of COVID-19 on our business and our response to it; and expectations for revenues, liquidity cash flows and financial performance, the anticipated results of our research and development efforts, the timing for receipt of required regulatory approvals and product launches.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development partners; market acceptance of our technology; competition in our industry; our ability to protect our intellectual property; competition; and other risks and uncertainties described in the Risk Factors and in Management's Discussion and Analysis sections of our most recently filed Annual Report on Form 10-K and subsequently filed Quarterly Reports on Form 10-Q, including this Quarterly Report on Form 10-Q. We undertake no obligation to publicly update any of our forward-looking statements, whether as a result of new information, future developments or otherwise.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developed our WattUp® wireless power technology, consisting of proprietary semiconductor chipsets, software controls, hardware designs and antennas, that enables radio frequency (“RF”) based charging for electronic devices. The WattUp technology has a broad spectrum of capabilities, including near field wireless charging and at-a-distance wireless charging at various distances. In November 2016 we entered into a Strategic Alliance Agreement with Dialog Semiconductor plc (“Dialog”), an industry leader in Bluetooth low energy semiconductors and power management semiconductors. In conjunction with the Strategic Alliance Agreement, Dialog manufactures and is the exclusive distributor of integrated circuit (“IC”) products that incorporate our designs and provides sales and logistic support to customers on a global basis. We believe our proprietary WattUp technologies are well suited for many applications, including home automation, surface and implanted medical devices, electronic shelf labels, industrial IoT sensors, tracking devices, hearables, wearables, consumer electronics, public safety and military applications. Potential future applications include smartphones, commercial and industrial robotics, as well as automotive solutions and other devices with charging requirements that would otherwise require battery replacement or a wired power connection.</w:t>
      </w:r>
    </w:p>
    <w:p>
      <w:pPr>
        <w:spacing w:after="0" w:line="21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believe our technology is innovative in its approach, in that we are developing solutions that charge electronic devices with an RF energy zone. We are developing solutions that deliver wire-free energy for near field charging applications and are also developing at-a-distance charging at distances up to approximately three feet, as well as low-power charging for distances up to 15 feet and beyond, some of which involve mobility charging.</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To-date, we have developed multiple transmitters and receivers, including prototypes as well as partner production designs. The transmitters vary based on form factor, power specifications and frequencies, while the receivers are designed for applications including Bluetooth tracking tags, IoT sensors, hearing aids, electronic shelf labels, fitness bands, health sensors and devices, smartwatches, smartphones, smartglasses, industrial applications, keyboards, mice, headsets, earbuds, headphones, and more.</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 w:name="page19"/>
    <w:bookmarkEnd w:id="18"/>
    <w:p>
      <w:pPr>
        <w:ind w:right="60"/>
        <w:spacing w:after="0" w:line="257" w:lineRule="auto"/>
        <w:rPr>
          <w:sz w:val="20"/>
          <w:szCs w:val="20"/>
          <w:color w:val="auto"/>
        </w:rPr>
      </w:pPr>
      <w:r>
        <w:rPr>
          <w:rFonts w:ascii="Arial" w:cs="Arial" w:eastAsia="Arial" w:hAnsi="Arial"/>
          <w:sz w:val="18"/>
          <w:szCs w:val="18"/>
          <w:color w:val="auto"/>
        </w:rPr>
        <w:t>We have engagements with companies in the consumer electronics (CE), industrial, military and medical device markets that are in the both evaluation and product cycle pre-production stages of integrating WattUp-technology into devices being developed for the end-user. The first end product featuring our technology entered the market in 2019 and we expect additional WattUp enabled products to be announced and launched in 2021. We are also in discussions with potential customers in the consumer and industrial spaces that are considering our solutions to supply low power distance charging for products that could enter the market in 2022.</w:t>
      </w:r>
    </w:p>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2017, we announced Federal Communications Commission (“FCC”) certification of our first-generation WattUp Mid Field transmitter, which simultaneously powers multiple devices at a distance of up to three feet. This transmitter underwent rigorous, multi-month testing to verify that it met consumer safety and regulatory requirements. We believe this was the first certification of a Part 18 FCC-approved non-contact wireless charging transmitter, and that it establishes engineering design precedents that can streamline future regulatory approvals for our technology and for our customers’ end-products that employ our technology.</w:t>
      </w:r>
    </w:p>
    <w:p>
      <w:pPr>
        <w:spacing w:after="0" w:line="21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technology solution consists principally of transmitter controller ICs, power amplifier ICs and receiver ICs, as well as novel antenna designs, application prototypes and proprietary software algorithms. We submitted our first IC design for wafer fabrication in 2013 and since then have developed subsequent generations of transmitter and receiver ICs, antenna designs, and software algorithms. We have endeavored to optimize our technology by reducing size and cost, while at the same time increasing performance which enables our designs to be integrated into a broad range of devices. We have developed a “building block” approach that allows us to scale our product implementations by combining multiple transmitter building blocks or multiple receiver building blocks to meet the power, distance, size and cost requirements of customer applications requirements. Our technology is readily scalable because the same ICs that are used for contact-based charging can be used for distance-based charging solutions. We have developed two classes of chip solutions, a CMOS-based technology focused on low cost, small footprint and low power (less than 5 watts) and a GaAs/GaN-based technology capable of delivering higher power with greater efficiency. We intend to continue to invest in research and development with high power capabilities of 20 watts and beyond at high levels of efficiency. We also intend to continue to invest in improving product performance, efficiency, cost-performance, integration and miniaturization as required to reach multiple markets and expand the power-at-a-distance ecosystem, while maintaining a technology lead on potential competitors.</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sell evaluation kits to potential customers of our technology, to allow their respective engineering and product management departments to test and evaluate the technology. Our customers’ product development, technology integration and product introduction cycles occur over multiple quarters and generally span a period of more than a year to two years and can elapse before first evaluation and final shipment of the customer’s product. Once our customers begin to sell products to end customers that incorporate our technology, we would expect the commercialization cycle to shorten over time as the technology matures and market acceptance grows.</w:t>
      </w:r>
    </w:p>
    <w:p>
      <w:pPr>
        <w:spacing w:after="0" w:line="21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maintain exclusive rights to all intellectual property in our technology. We have implemented an aggressive intellectual property strategy and are continuing to pursue patent protection for new innovations. As of May 10, 2021, the Energous IP portfolio contained 236 awarded patents in the United States, which are organized along five (5) critical paths to implementation that we believe a competitor may have to navigate to commercialize WPT technology. The paths are: Processing Algorithms, Antenna Designs, Transmitter and Receiver ASICs, Other Software Controls (e.g., Bluetoothâ Management and Hardware (e.g., Board Layout). In addition to the inventions covered by these patents, we have also identified specific inventions that we believe are novel and patentable. We intend to file for patent protection for the most valuable of these, and for other inventions that we expect to develop. This is a significant annual expense and we continually monitor the costs and benefits of each patent application and pursue those that we believe are most protective for our business and expand the core value of the Company.</w:t>
      </w:r>
    </w:p>
    <w:p>
      <w:pPr>
        <w:spacing w:after="0" w:line="2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seasoned management team has both private and public company experience, as well as relevant industry experience. In addition, we have identified and hired key engineering resources in the areas of IC development, antenna development, hardware, software and firmware engineering as well as integration and testing, which will allow us to continue to expand our technology and intellectual property and to meet our customers’ support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March 2020, the World Health Organization declared the outbreak of COVID-19 as a pandemic. The pandemic continues to affect the United States and the world. We are monitoring the ongoing effects of COVID-19 (including continued outbreaks) and the related business and travel restrictions and changes to behavior intended to reduce its spread, and its impact on our operations, financial position, cash flows, inventory, supply chains, global regulatory approvals, purchasing trends, customer payments, and the industry in general, in addition to the impact on our employees.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p>
      <w:pPr>
        <w:spacing w:after="0" w:line="269" w:lineRule="auto"/>
        <w:rPr>
          <w:sz w:val="20"/>
          <w:szCs w:val="20"/>
          <w:color w:val="auto"/>
        </w:rPr>
      </w:pPr>
      <w:r>
        <w:rPr>
          <w:rFonts w:ascii="Arial" w:cs="Arial" w:eastAsia="Arial" w:hAnsi="Arial"/>
          <w:sz w:val="17"/>
          <w:szCs w:val="17"/>
          <w:color w:val="auto"/>
        </w:rPr>
        <w:t>The pandemic of COVID-19 has delayed adoption of our technology by potential customers who temporarily shut down their workforce and supply chain based in China, and who continue to evaluate their future prospects and business models, including partnerships with us. For example, in one case, the pandemic delayed the spring launch of a new product that incorporates our technology. Further delays in this or other products could result from the ongoing pandemic. These changes are due in part to changes in how business is conducted as a result of the pandemic, including state executive orders, local shelter-in-place orders, government-imposed quarantines and work-from-home policies in China, the United States, and elsewhere. We have implemented work-from-home policies for our employees that will likely be in place through the end of the year and possibly longer. The effects of state executive orders, local shelter-in-place orders, government-imposed quarantines and our work-from-home policies could negatively impact productivity, disrupt our research and development or other operations, and delay the planned launch of our customers’ new products that incorporate our technology, the magnitude of which will depend, in part, on the length and severity of the continuing restrictions and other limitations on our ability to conduct our business in the ordinary course. Due to the continuing developments and fluidity of this situation, the magnitude and duration of the pandemic and its impact on our operations and liquidity are still uncertain as of the date of this report.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2018 we adopted Accounting Standards Update No. 2014-09, "Revenue from Contracts with Customers" (Topic 606).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Topic 606, we recognize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the performance obligations are met or delivered.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Our revenue currently consists of product development projects revenue and royalty revenue from Dialog. We also provide contract services for Dialog.</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a point in time based on when the performance obligation is met. The payment associated with achieving the performance obligation is generally commensurate with our effort or the value of the deliverable and is nonrefundable. We record the expenses related to these product development projects in research and development expense, in the periods such expenses were incurred.</w:t>
      </w:r>
    </w:p>
    <w:p>
      <w:pPr>
        <w:spacing w:after="0" w:line="1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record royalty revenue from our manufacturing partner, Dialog, and such royalty revenue is recognized at a point in time based on shipments from Dialog to its customers.</w:t>
      </w:r>
    </w:p>
    <w:p>
      <w:pPr>
        <w:spacing w:after="0" w:line="14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recognize contract services revenue from Dialog over a period of time as the services are performed. The costs associated with this revenue are recognized as the services are performed and are included in cost of services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Three Months Ended March 31,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During the three months ended March 31, 2021 and 2020, we recorded revenue of $145,065 and $61,475, respectively.</w:t>
      </w:r>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 xml:space="preserve">Operating Expenses and Loss from Operations. </w:t>
      </w:r>
      <w:r>
        <w:rPr>
          <w:rFonts w:ascii="Arial" w:cs="Arial" w:eastAsia="Arial" w:hAnsi="Arial"/>
          <w:sz w:val="18"/>
          <w:szCs w:val="18"/>
          <w:color w:val="auto"/>
        </w:rPr>
        <w:t>Operating expenses are made up of research and development, sales and marketing,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and cost of services revenue. Losses from operations for the three months ended March 31, 2021 and 2020 were $8,527,787 and $8,653,675, respectively.</w:t>
      </w:r>
    </w:p>
    <w:p>
      <w:pPr>
        <w:spacing w:after="0" w:line="14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i w:val="1"/>
          <w:iCs w:val="1"/>
          <w:color w:val="auto"/>
        </w:rPr>
        <w:t xml:space="preserve">Research and Development Costs. </w:t>
      </w:r>
      <w:r>
        <w:rPr>
          <w:rFonts w:ascii="Arial" w:cs="Arial" w:eastAsia="Arial" w:hAnsi="Arial"/>
          <w:sz w:val="18"/>
          <w:szCs w:val="18"/>
          <w:color w:val="auto"/>
        </w:rPr>
        <w:t>Research and development costs were $4,591,244 and $4,575,303, respectively,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 The increase of $15,941 is primarily due to a $182,294 increase in compensation, consisting of a $133,995 increase in payroll costs and a $48,299 increase in stock-based compensation, a $40,368 increase in consulting and third party services expense, a $20,870 increase in regulatory testing and a $20,286 increase in regulatory legal costs, partially offset by a $64,807 decrease in legal costs pertaining to patent and intellectual property management, a $64,351 decrease in allocated rent, a $56,585 decrease in depreciation, a $36,917 decrease in engineering supplies, components and chip development costs due to project timing and a $31,150 decrease in travel expense due to a reduction in travel, meals and entertainment as a result of COVID-19 restrictions.</w:t>
      </w:r>
    </w:p>
    <w:p>
      <w:pPr>
        <w:spacing w:after="0" w:line="1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Sales and Marketing Costs. </w:t>
      </w:r>
      <w:r>
        <w:rPr>
          <w:rFonts w:ascii="Arial" w:cs="Arial" w:eastAsia="Arial" w:hAnsi="Arial"/>
          <w:sz w:val="18"/>
          <w:szCs w:val="18"/>
          <w:color w:val="auto"/>
        </w:rPr>
        <w:t>Sales and marketing costs for the three months ended March 31, 2021 and 2020 were $1,794,212 and $1,447,909,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of $346,303 is primarily due to a $379,486 increase in compensation, consisting of a $294,997 increase in payroll costs from a higher headcount within the department and an $84,489 increase in stock-based compensation, and a $54,514 increase in engineering supplies used by the sales and marketing staff for customer demonstrations, partially offset by a $54,505 decrease in tradeshow expense and a $20,238 decrease in consulting, public relations and third party services expense.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costs for the three months ended March 31, 2021 and 2020 were $2,287,396 and</w:t>
      </w:r>
    </w:p>
    <w:p>
      <w:pPr>
        <w:spacing w:after="0" w:line="3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$2,652,394, respectively. The decrease of $364,998 is primarily due to a $177,284 decrease in compensation, consisting of a $262,861 decrease in stock-based compensation as a result of having fewer outstanding equity awards after the retirement of three board members during the previous year, offset by an $85,577 increase in payroll costs, a $193,825 decrease in accounting and auditing fees, a $40,682 decrease in travel, meals and entertainment as a result of COVID-19 restrictions and a $37,678 decrease in consulting expense, partially offset by an $83,894 increase in insurance premiums.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the three months ended March 31, 2021 was $2,024 as compared to interest income of $55,939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The decrease of $53,915 is primarily due to lower savings interest rates.</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As a result of the above, net loss for the three months ended March 31, 2021 was $8,525,763 as compared to $8,597,736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2021 and 2020, we recorded revenue of $145,065 and $61,475, respectively. We incurred net losses of</w:t>
      </w:r>
    </w:p>
    <w:p>
      <w:pPr>
        <w:spacing w:after="0" w:line="35"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$8,525,763 and $8,597,736 for the three months ended March 31, 2021 and 2020, respectively. Net cash used in operating activities was $5,976,550 and $7,340,111 for the three months ended March 31, 2021 and 2020, respectively. We are currently meeting our liquidity requirements through the proceeds from securities offerings that raised net proceeds of $53,556,202 during 2020, along with payments received from customers.</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our current cash on hand, together with anticipated revenues and funds raised from the at-the-market (“ATM”) finance offering will be sufficient to fund our operations into May 2022. Although we intend to continue our research and development activities, there can be no assurance that our available resources will be sufficient to enable us to generate revenues sufficient to sustain operations. Accordingly, we may pursue additional financing, which could include offerings of equity or debt securities, bank financings, commercial agreements with customers or strategic partners, and other alternatives, depending upon market conditions. There is no assurance that such financing would be available on terms that we would find acceptable, or at all.</w:t>
      </w:r>
    </w:p>
    <w:p>
      <w:pPr>
        <w:spacing w:after="0" w:line="152" w:lineRule="exact"/>
        <w:rPr>
          <w:sz w:val="20"/>
          <w:szCs w:val="20"/>
          <w:color w:val="auto"/>
        </w:rPr>
      </w:pPr>
    </w:p>
    <w:p>
      <w:pPr>
        <w:ind w:right="20"/>
        <w:spacing w:after="0" w:line="327" w:lineRule="auto"/>
        <w:rPr>
          <w:sz w:val="20"/>
          <w:szCs w:val="20"/>
          <w:color w:val="auto"/>
        </w:rPr>
      </w:pPr>
      <w:r>
        <w:rPr>
          <w:rFonts w:ascii="Arial" w:cs="Arial" w:eastAsia="Arial" w:hAnsi="Arial"/>
          <w:sz w:val="15"/>
          <w:szCs w:val="15"/>
          <w:color w:val="auto"/>
        </w:rPr>
        <w:t>During the three months ended March 31, 2021, cash flows used in operating activities were $5,976,550, consisting of a net loss of $8,525,763, less non-cash expenses aggregating $2,406,914 (principally stock-based compensation of $2,146,226, decrease in amortization of operating lease right-of-use assets of $195,914 and depreciation and amortization expense of $64,774), a $210,212 decrease in operating lease liabilities, a $105,491 increase in prepaid expenses and other current assets and an $80,925 increase in accounts receivable, partially offset by a $353,928 increase in accounts payable and a $179,999 increase in accrued expenses.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1" w:name="page22"/>
    <w:bookmarkEnd w:id="21"/>
    <w:p>
      <w:pPr>
        <w:ind w:right="80"/>
        <w:spacing w:after="0" w:line="301" w:lineRule="auto"/>
        <w:rPr>
          <w:sz w:val="20"/>
          <w:szCs w:val="20"/>
          <w:color w:val="auto"/>
        </w:rPr>
      </w:pPr>
      <w:r>
        <w:rPr>
          <w:rFonts w:ascii="Arial" w:cs="Arial" w:eastAsia="Arial" w:hAnsi="Arial"/>
          <w:sz w:val="16"/>
          <w:szCs w:val="16"/>
          <w:color w:val="auto"/>
        </w:rPr>
        <w:t>During the three months ended March 31, 2020, cash flows used in operating activities were $7,340,111, consisting of a net loss of $8,597,736, less non-cash expenses aggregating $2,619,443 (principally stock-based compensation of $2,276,299, decrease in amortization of operating lease right-of-use assets of $188,445 and depreciation and amortization expense of $121,699), a $633,268 decrease in accounts payable, a $628,052 decrease in accrued expenses and a $169,681 decrease in operating lease liabilities, partially offset by a $98,212 decrease in prepaid expenses and other current assets.</w:t>
      </w:r>
    </w:p>
    <w:p>
      <w:pPr>
        <w:spacing w:after="0" w:line="13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During the three months ended March 31, 2021 and 2020, cash flows used in investing activities were $111,727 and $0, respectively. The cash used in investing activities for the three months ended March 31, 2021 consisted of the purchase of new testing equipment and engineering software.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2021, cash flows provided by financing activities were $117,013, which consisted of $117,013 in proceeds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contributions to the ESPP. During the three months ended March 31, 2020, cash flows provided by financing activities were $5,619,939, which consisted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$5,506,880 in net proceeds from the sale of shares of our common stock to the public in an ATM offering and $113,059 in proceeds from contributions to the ESPP.</w:t>
      </w:r>
    </w:p>
    <w:p>
      <w:pPr>
        <w:spacing w:after="0" w:line="20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Research and development of new technologies is, by its nature, unpredictable. Although we intend to continue our research and undertake development activities, there can be no assurance that our available resources will be sufficient to enable us to generate revenues sufficient to sustain operations.</w:t>
      </w:r>
    </w:p>
    <w:p>
      <w:pPr>
        <w:spacing w:after="0" w:line="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Furthermore, since we have no committed source of financing, there can be no assurance that we will be able to raise capital as and when we need it to continue our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did not have any off-balance sheet transactions.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There has been no material change in our exposure to market risk during the three months ended March 31, 2021. Please refer to "Quantitative and Qualitative Disclosures about Market Risk" contained in Part II, Item 7A of our Form 10-K for the year ended December 31, 2020 for a discussion of our exposure to market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established disclosure controls and procedures to ensure that material information relating to us is made known to the officers who certify our financial reports and the Board.</w:t>
      </w:r>
    </w:p>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Based on their evaluation as of March 31, 2021, our principal executive and principal financial officers have concluded that these disclosure controls and procedures (as defined in Rules 13a-15(e) and 15d-15(e) under the Exchange Act) were effective as of March 31, 2021 to provide reasonable assurance that information required to be disclosed by us in reports that we file under the Exchange Act is recorded, processed, summarized, and reported, within the time periods specified in Securities and Exchange Commission rules and forms and that information required to be disclosed by us in our reports filed or submitted under the Exchange Act is accumulated and communicated to management, including our principal executive officer and our principal financial officer, as appropriate to allow timely decisions regarding required disclosures.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quarter ended March 31, 2021,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520" w:firstLine="589"/>
        <w:spacing w:after="0" w:line="342" w:lineRule="auto"/>
        <w:rPr>
          <w:sz w:val="20"/>
          <w:szCs w:val="20"/>
          <w:color w:val="auto"/>
        </w:rPr>
      </w:pPr>
      <w:r>
        <w:rPr>
          <w:rFonts w:ascii="Arial" w:cs="Arial" w:eastAsia="Arial" w:hAnsi="Arial"/>
          <w:sz w:val="16"/>
          <w:szCs w:val="16"/>
          <w:color w:val="auto"/>
        </w:rPr>
        <w:t>We are not currently a party to any pending legal proceedings that we believe will have a material adverse effect on our business or financial condition. We may, however, be subject to various claims and legal actions arising in the ordinary course of business from time to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i w:val="1"/>
          <w:iCs w:val="1"/>
          <w:color w:val="auto"/>
        </w:rPr>
        <w:t>We are subject to many risks that may harm our business, prospects, results of operations and financial condition. This discussion highlights some of the risks that might adversely affect our future operating results in material ways. We believe these are the risks and uncertainties that are the most important ones we face. We cannot be certain that we will successfully address these risks, and if we are unable to address them, our business may not grow, our stock price may suffer and you could lose the value of your investment in our company. Other risks and uncertainties that we do not currently recognize as material risks,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history of generating meaningful product revenue, and we may never achieve or maintain profitability.</w:t>
      </w:r>
    </w:p>
    <w:p>
      <w:pPr>
        <w:spacing w:after="0" w:line="185"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have a limited operating history upon which investors may rely in evaluating our business and prospects. We have generated limited revenues to date, and as of March 31, 2021, we had an accumulated deficit of approximately $303 million. Our ability to generate revenues and achieve profitability will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significant scale to cover our costs of doing business, our losses will continue and we may not achieve profitability, which could negatively impact the value of your investment in our securities.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need additional financing to achieve our long-term business plans, and there is no guarantee that it will be available on acceptable terms, or at all.</w:t>
      </w:r>
    </w:p>
    <w:p>
      <w:pPr>
        <w:spacing w:after="0" w:line="130"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may not have sufficient funds to fully implement our long-term business plans. It is likely that we will need to raise additional capital through new financings, even if we begin to generate meaningful commercial revenue. For example, new product development for business partners may require considerable expense in advance of substantial revenue for such products. Such financings could include equity financing, which may be dilutive to stockholders, or debt financing, which could restrict our ability to borrow from other sources. In addition, such securities may contain rights, preferences or privileges senior to those of current stockholders. As a result of economic conditions, general global economic uncertainty (including as a result of actual or perceived disruption caused by COVID-19, or other infectious diseases), political change, and other factors, we do not know whether additional capital will be available when needed, or that, if available, we will be able to obtain additional capital on reasonable terms. If we are unable to raise additional capital due to the volatile global financial markets, general economic uncertainty or other factors, we may be required to curtail development of our technology or reduce operations as a result, or to sell or dispose of assets. Any inability to raise adequate funds on commercially reasonable terms could have a material adverse effect on our business, results of operations and financial condition, including the possibility that a lack of funds could cause our business to fail and liquidate with little or no return to investors.</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Risks Related to Our Technology and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all the features we seek to include in our technology.</w:t>
      </w:r>
    </w:p>
    <w:p>
      <w:pPr>
        <w:spacing w:after="0" w:line="185" w:lineRule="exact"/>
        <w:rPr>
          <w:sz w:val="20"/>
          <w:szCs w:val="20"/>
          <w:color w:val="auto"/>
        </w:rPr>
      </w:pPr>
    </w:p>
    <w:p>
      <w:pPr>
        <w:ind w:right="500" w:firstLine="589"/>
        <w:spacing w:after="0" w:line="296" w:lineRule="auto"/>
        <w:rPr>
          <w:sz w:val="20"/>
          <w:szCs w:val="20"/>
          <w:color w:val="auto"/>
        </w:rPr>
      </w:pPr>
      <w:r>
        <w:rPr>
          <w:rFonts w:ascii="Arial" w:cs="Arial" w:eastAsia="Arial" w:hAnsi="Arial"/>
          <w:sz w:val="16"/>
          <w:szCs w:val="16"/>
          <w:color w:val="auto"/>
        </w:rPr>
        <w:t>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over time. However, there can be no assurance that we will be successful in achieving all the features we are targeting and our inability to do so may limit the appeal of our technology to consumers.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demonstrate the commercial feasibility of the full capability of our technology.</w:t>
      </w:r>
    </w:p>
    <w:p>
      <w:pPr>
        <w:spacing w:after="0" w:line="198"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We have developed both commercial products, as well as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the inability to identify products utilizing our technology that will be in demand with customers, getting our technology designed into those products, designing new products for manufacturability, regulatory hurdles and achieving acceptable price points for final products. Although we intend to undertake development efforts with commercially reasonable diligence, there can be no assurance that our available resources will be sufficient to enable us to develop our technology to the extent needed to create future revenues to sustain our operations.</w:t>
      </w:r>
    </w:p>
    <w:p>
      <w:pPr>
        <w:spacing w:after="0" w:line="126"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Our technology must satisfy customer expectations and be suitable for them to use in consumer applications. Any delays in developing our technology that arise from factors of this sort would aggravate our exposure to the risk of having inadequate capital to fund the research and development needed to complete development of these products. Technical problems leading to delays would cause us to incur additional expenses that would increase our operating losses. If we experience significant delays in developing our technology and products based on it for use in potential commercial applications, particularly after incurring significant expenditures, our business may fail, and you could lose the value of your investment in our company. If we fail to develop practical and economical commercial products based on our technology, our business may fail and you could lose the value of your investment in our stock.</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outbreak of health epidemics, such as COVID-19, has and may further adversely affect our business, results of operations and financial condition.</w:t>
      </w:r>
    </w:p>
    <w:p>
      <w:pPr>
        <w:spacing w:after="0" w:line="287" w:lineRule="exact"/>
        <w:rPr>
          <w:sz w:val="20"/>
          <w:szCs w:val="20"/>
          <w:color w:val="auto"/>
        </w:rPr>
      </w:pPr>
    </w:p>
    <w:p>
      <w:pPr>
        <w:ind w:right="80" w:firstLine="589"/>
        <w:spacing w:after="0" w:line="268" w:lineRule="auto"/>
        <w:rPr>
          <w:sz w:val="20"/>
          <w:szCs w:val="20"/>
          <w:color w:val="auto"/>
        </w:rPr>
      </w:pPr>
      <w:r>
        <w:rPr>
          <w:rFonts w:ascii="Arial" w:cs="Arial" w:eastAsia="Arial" w:hAnsi="Arial"/>
          <w:sz w:val="17"/>
          <w:szCs w:val="17"/>
          <w:color w:val="auto"/>
        </w:rPr>
        <w:t>Any outbreaks of contagious diseases and other adverse public health developments in countries where we, our customers and suppliers operate could have a material and adverse effect on our business, results of operations and financial condition. For example, COVID-19 pandemic has resulted in significant governmental measures being implemented to control the spread of the virus, including quarantines, travel restrictions, manufacturing restrictions, declarations of states of emergency, business shutdown and restrictions on the movement of employees in China, the United States and many other countries. A majority of our potential customers have a significant dependence on the Chinese manufacturing and supply chain infrastructure. We believe the COVID-19 pandemic has delayed adoption of our technology by potential customers who temporarily shut down their workforce and supply chain based in China. In the United States, COVID-19 has resulted in travel and other restrictions in order to reduce the spread of the disease, including executive orders in California and several other state and local orders across the country, which, among other things, direct individuals to shelter at their places of residence, direct businesses and governmental agencies to cease non-essential operations at physical locations, prohibit certain non-essential gatherings, and order cessation of non-essential travel. As a result of these developments, we have implemented work-from-home policies for our employees that will likely be in place until at least the second half of 2021. The effects of state executive orders, local shelter-in-place orders, government-imposed quarantines and our work-from-home policies could negatively impact productivity, disrupt our research and development or other operations and delay the planned launch of our customers’ new products that incorporate our technology, the magnitude of which will depend, in part, on the length and severity of the continuing restrictions and other limitations on our ability to conduct our business in the ordinary course. Due to the continuing developments and fluidity of this situation, the magnitude and duration of the pandemic and its impact on our operations and liquidity are still uncertain as of the date of this report.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ind w:firstLine="589"/>
        <w:spacing w:after="0" w:line="279" w:lineRule="auto"/>
        <w:rPr>
          <w:sz w:val="20"/>
          <w:szCs w:val="20"/>
          <w:color w:val="auto"/>
        </w:rPr>
      </w:pPr>
      <w:r>
        <w:rPr>
          <w:rFonts w:ascii="Arial" w:cs="Arial" w:eastAsia="Arial" w:hAnsi="Arial"/>
          <w:sz w:val="17"/>
          <w:szCs w:val="17"/>
          <w:color w:val="auto"/>
        </w:rPr>
        <w:t>In addition, COVID-19 has resulted and may continue to result in a widespread health crisis that could contribute to increased market volatility and adversely affect the economies and financial markets of many countries, resulting in a global economic downturn that could affect interest in our products or demand by potential customers. Any of these events could materially and adversely affect our business, results of operations and financial condition. The extent of the impact will depend on future developments, which are highly uncertain and cannot be predicted.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Expanding our business operations as we intend will impose new demands on our financial, technical, operational and management resources.</w:t>
      </w:r>
    </w:p>
    <w:p>
      <w:pPr>
        <w:spacing w:after="0" w:line="208"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To date we have operated primarily in the research and development phase of our business. If we are successful, we will need to expand our business operations, which will impose new demands on our financial, technical, operational and management resources. If we do not upgrade our technical, administrative, operating and financial control systems, or if unexpected expansion difficulties arise, including issues relating to our research and development activities, then retention of experienced scientists, managers and engineers could become more challenging and have a material adverse effect on our business, results of operations and financial condition.</w:t>
      </w:r>
    </w:p>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products incorporating our technology are launched commercially but do not achieve widespread market acceptance, we will not be able to generate the revenue necessary to support our business.</w:t>
      </w:r>
    </w:p>
    <w:p>
      <w:pPr>
        <w:spacing w:after="0" w:line="130"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Market acceptance of a RF-based charging system as a preferred method for charging electronic devices will be crucial to our success. The following factors, among others, may affect the level of market acceptance of products in our industry:</w:t>
      </w:r>
    </w:p>
    <w:p>
      <w:pPr>
        <w:spacing w:after="0" w:line="62"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products incorporating our technology relative to other products or competing technologies;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user perceptions of the convenience, safety, efficiency and benefits of our technology;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sales and marketing efforts of our commercialization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support and rate of acceptance of our technology and solutions with our development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press and blog coverage, social media coverage, and other publicity factors that are not within our control;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185"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If we are unable to achieve or maintain market acceptance of our technology, and if related products do not win widespread market acceptance, our business will be significantly harmed.</w:t>
      </w:r>
    </w:p>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products incorporating our technology are launched commercially, we may experience seasonality or other unevenness in our financial results in consumer markets or a long and variable sales cycle in enterprise markets.</w:t>
      </w:r>
    </w:p>
    <w:p>
      <w:pPr>
        <w:spacing w:after="0" w:line="130"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Our strategy depends on our customers developing successful commercial products using our technology and selling them into the consumer, enterprise and commercial markets. We need to understand procurement and buying cycles to be successful in licensing our technology. We anticipate it is possible that demand for our technology may vary in different segments of the consumer electronics market, such as hearing aids, wearables, toys, watches, accessories, laptops, tablet, mobile phones and gaming systems. Such consumer markets are often seasonal, with peaks in and around the December holiday season and the August-September back-to-school season. Enterprises and commercial customers may have annual or other budgeting and buying cycles that could affect us, and, particularly if we are designated as a capital improvement project, we may have a long or unpredictable sales cycle.</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Future products based on our technology may require the user to purchase additional products to use with existing devices. To the extent these additional purchases are inconvenient, the adoption of our technology under development or other future products could be slowed, which would harm our business.</w:t>
      </w:r>
    </w:p>
    <w:p>
      <w:pPr>
        <w:spacing w:after="0" w:line="15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For rechargeable devices that utilize our receiver technology, the technology may be embedded in a sleeve, case or other enclosure. For example, products such as remote controls or toys equipped with replaceable AA size or other batteries would need to be outfitted with enhanced batteries and other hardware enabling the devices to be rechargeable by our system. In each case, an end user would be required to retrofit the device with a receiver and may be required to upgrade the battery technology used with the device (unless, for example, compatible battery technology and a receiver are built into the device). These additional steps and expenses may offset the convenience for users and discourage customers from licensing our technology. Such factors may inhibit adoption of our technology, which could harm our business. We have not developed an enhanced battery for use in devices with our technology, and our ability to enable use of our technology with devices that require an enhanced battery will depend on our ability to develop a commercial version of such a battery that could be manufactured at a reasonable cost. If a commercially practicable enhanced battery of this nature is not developed, our business could be harmed, and we may need to change our strategy and target markets.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i w:val="1"/>
          <w:iCs w:val="1"/>
          <w:color w:val="auto"/>
        </w:rPr>
        <w:t>Laboratory conditions differ from field conditions, which could reduce the effectiveness of our technology under development or other future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Failures to move from laboratory to the field effectively would harm our business.</w:t>
      </w:r>
    </w:p>
    <w:p>
      <w:pPr>
        <w:spacing w:after="0" w:line="184"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When used in the field, our technology may not perform as expected based on performance under controlled laboratory conditions. For example, in the case of distance charging, a laboratory configuration of transmission obstructions will be arranged for testing, but in the field receivers may be obstructed in many different and unpredictable ways. These conditions may significantly diminish the power received at the receiver or the effective range of the transmitter. The failure of products using our technology to meet the expectations of users in the field could harm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concerns and legal action by private parties may affect our business.</w:t>
      </w:r>
    </w:p>
    <w:p>
      <w:pPr>
        <w:spacing w:after="0" w:line="252"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We believe that our technology is safe. However, it is possible that we could discover safety issues with our technology or that some people may be concerned with RF-based charging in a manner that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medical ailments may blame the use of products incorporating our technology, as occurred with a small number of users of cellular telephones. A discovery of safety issues relating to our technology could have a material adverse effect on our business and any legal action against us claiming our technology caused harm could be expensive, divert management and adversely affect us or cause our business to fail, whether or not such legal actions were ultimately successful.</w:t>
      </w:r>
    </w:p>
    <w:p>
      <w:pPr>
        <w:spacing w:after="0" w:line="21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b w:val="1"/>
          <w:bCs w:val="1"/>
          <w:i w:val="1"/>
          <w:iCs w:val="1"/>
          <w:color w:val="auto"/>
        </w:rPr>
        <w:t>Our industry is subject to intense competition and rapid technological change, which may result in technology that is superior to ours. If we do not keep pace with changes in the marketplace and the direction of technological innovation and customer demands, our technology and products may become less useful or obsolete and our operating results will suffer.</w:t>
      </w:r>
    </w:p>
    <w:p>
      <w:pPr>
        <w:spacing w:after="0" w:line="143"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The consumer electronics industry in general, and the charging segments in particular, are subject to intense competition and rapidly evolving technologies. Because products incorporating our technology are expected to have long development cycles, we must anticipate changes in the marketplace and the direction of technological innovation and customer demands. To compete successfully, we will need to demonstrate the advantages of our products and technologies over established alternatives, and other emerging methods of power delivery. Traditional wall plug-in recharging remains an inexpensive alternative to our technology. Directly competing technologies such as inductive charging, magnetic resonance charging, conductive charging, ultrasound and other yet unidentified solutions may have greater consumer acceptance than the technology we have developed. Furthermore, some competitors may have greater resources than we have and may be better established in the market than we are. We cannot be certain which other companies may have already decided to or may in the future choose to enter our markets. For example, consumer electronics products companies may invest substantial resources in wireless power or other recharging technologies and may decide to enter our target markets. Successful developments of competitors that result in new approaches for recharging could reduce the attractiveness of our products and technologies or render them obsolete.</w:t>
      </w:r>
    </w:p>
    <w:p>
      <w:pPr>
        <w:spacing w:after="0" w:line="141"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Our future success will depend in large part on our ability to establish and maintain a competitive position in current and future technologies. Rapid technological development may render our technology or future products based on our technology obsolete. Many of our competitors have more corporate, financial, operational, sales and marketing resources than we have, as well as more experience in research and development. We cannot assure you that our competitors will not develop or market technologies that are more effective or commercially attractive than our products or that would render our technologies and products obsolete. We may not have or the financial resources, technical expertise, marketing, distribution or support capabilities to compete successfully in the future. Our success will depend in large part on our ability to maintain a competitive position with our technologies.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competitive position also depends on our ability to:</w:t>
      </w:r>
    </w:p>
    <w:p>
      <w:pPr>
        <w:spacing w:after="0" w:line="117" w:lineRule="exact"/>
        <w:rPr>
          <w:sz w:val="20"/>
          <w:szCs w:val="20"/>
          <w:color w:val="auto"/>
        </w:rPr>
      </w:pPr>
    </w:p>
    <w:p>
      <w:pPr>
        <w:ind w:left="880" w:right="28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generate widespread awareness, acceptance and adoption by the consumer and enterprise markets of our technology under development and future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a product that may be sold at an acceptable price point;</w:t>
      </w:r>
    </w:p>
    <w:p>
      <w:pPr>
        <w:spacing w:after="0" w:line="117" w:lineRule="exact"/>
        <w:rPr>
          <w:rFonts w:ascii="Arial" w:cs="Arial" w:eastAsia="Arial" w:hAnsi="Arial"/>
          <w:sz w:val="18"/>
          <w:szCs w:val="18"/>
          <w:color w:val="auto"/>
        </w:rPr>
      </w:pPr>
    </w:p>
    <w:p>
      <w:pPr>
        <w:ind w:left="880" w:right="14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new or enhanced technologies or features that improve the convenience, efficiency, safety or perceived safety, and productivity of our technology under development and future products;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6" w:name="page27"/>
    <w:bookmarkEnd w:id="26"/>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properly identify customer needs and deliver new products or product enhancements to address those needs;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the time required from proof of feasibility to routine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the timing and cost of regulatory approvals;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protect our inventions with patents or otherwise develop proprietary products and processes;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secure sufficient capital resources to expand both our continued research and development, and sales and marketing efforts.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our technology does not compete well based on these or other factors, our business could be harmed.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data security risks, including security breaches.</w:t>
      </w:r>
    </w:p>
    <w:p>
      <w:pPr>
        <w:spacing w:after="0" w:line="198"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We collect, process, store and transmit substantial amounts of information, including information about our customers. We take steps to protect the security and integrity of the information we collect, process, store or transmit, but there is no guarantee that inadvertent or unauthorized use or disclosure will not occur or that third parties will not gain unauthorized access to this information despite such efforts. Security breaches, computer malware, computer hacking attacks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who is able to illicitly obtain a customer’s identification and password credentials may be able to access the customer’s account and certain account data.</w:t>
      </w:r>
    </w:p>
    <w:p>
      <w:pPr>
        <w:spacing w:after="0" w:line="138"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Any actual or suspected security breach or other compromise of our security measures or those of our third-party vendors, whether as a result of hacking efforts, denial-of-service attacks, viruses, malicious software, break-ins,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Our insurance policies may not be adequate to reimburse us for direct losses caused by any such security breach or indirect losses due to resulting customer attrition.</w:t>
      </w:r>
    </w:p>
    <w:p>
      <w:pPr>
        <w:spacing w:after="0" w:line="121"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We rely on email and other messaging services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 Any of these events or circumstances could materially adversely affect our business, financial condition and operating results.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right="180" w:firstLine="589"/>
        <w:spacing w:after="0" w:line="277" w:lineRule="auto"/>
        <w:rPr>
          <w:sz w:val="20"/>
          <w:szCs w:val="20"/>
          <w:color w:val="auto"/>
        </w:rPr>
      </w:pPr>
      <w:r>
        <w:rPr>
          <w:rFonts w:ascii="Arial" w:cs="Arial" w:eastAsia="Arial" w:hAnsi="Arial"/>
          <w:sz w:val="18"/>
          <w:szCs w:val="18"/>
          <w:b w:val="1"/>
          <w:bCs w:val="1"/>
          <w:i w:val="1"/>
          <w:iCs w:val="1"/>
          <w:color w:val="auto"/>
        </w:rPr>
        <w:t>We depend upon our strategic relationship with Dialog Semiconductor, a provider of electronics products, and there can be no assurance that we will achieve the expected benefits of this relationship.</w:t>
      </w:r>
    </w:p>
    <w:p>
      <w:pPr>
        <w:spacing w:after="0" w:line="130" w:lineRule="exact"/>
        <w:rPr>
          <w:sz w:val="20"/>
          <w:szCs w:val="20"/>
          <w:color w:val="auto"/>
        </w:rPr>
      </w:pPr>
    </w:p>
    <w:p>
      <w:pPr>
        <w:ind w:right="60" w:firstLine="589"/>
        <w:spacing w:after="0" w:line="289" w:lineRule="auto"/>
        <w:rPr>
          <w:sz w:val="20"/>
          <w:szCs w:val="20"/>
          <w:color w:val="auto"/>
        </w:rPr>
      </w:pPr>
      <w:r>
        <w:rPr>
          <w:rFonts w:ascii="Arial" w:cs="Arial" w:eastAsia="Arial" w:hAnsi="Arial"/>
          <w:sz w:val="16"/>
          <w:szCs w:val="16"/>
          <w:color w:val="auto"/>
        </w:rPr>
        <w:t>We have entered into a strategic alliance agreement with Dialog Semiconductor, a provider of electronics products, pursuant to which we licensed our WattUp technology to Dialog and it became the exclusive provider of our technology. We intend to leverage Dialog’s sales and distribution channels and its operational capabilities to accelerate market adoption of our technology, while we focus our resources on research and development of our technology. There can be no assurance that Dialog will promote our technology successfully, or that it will be successful in producing and distributing related products to our customers’ specifications. Dialog may have other priorities or may encounter difficulties in its own business that interfere with the success of our relationship. If this strategic relationship does not work as we intend, then we may be required to seek an arrangement with another strategic partner, or to develop internal capabilities, which will require a commitment of management time and our financial resources to identify a replacement strategic partner, or to develop our own production and distribution capabilities. As a result, we may be unable without undue expense to replace this agreement with one or more new strategic relationships to promote and provide our technology which could increase our costs and delay revenues.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Other Legal Risks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is difficult and costly to protect our intellectual property and our proprietary technologies, and we may not be able to ensure their protection.</w:t>
      </w:r>
    </w:p>
    <w:p>
      <w:pPr>
        <w:spacing w:after="0" w:line="208"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Our success depends significantly on our ability to obtain, maintain and protect our proprietary rights to the technologies used in products incorporating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a combination of patent, trade secrets, copyright and trademark laws to protect our intellectual property and technology.</w:t>
      </w:r>
    </w:p>
    <w:p>
      <w:pPr>
        <w:spacing w:after="0" w:line="196" w:lineRule="exact"/>
        <w:rPr>
          <w:sz w:val="20"/>
          <w:szCs w:val="20"/>
          <w:color w:val="auto"/>
        </w:rPr>
      </w:pPr>
    </w:p>
    <w:p>
      <w:pPr>
        <w:ind w:right="200" w:firstLine="589"/>
        <w:spacing w:after="0" w:line="270" w:lineRule="auto"/>
        <w:rPr>
          <w:sz w:val="20"/>
          <w:szCs w:val="20"/>
          <w:color w:val="auto"/>
        </w:rPr>
      </w:pPr>
      <w:r>
        <w:rPr>
          <w:rFonts w:ascii="Arial" w:cs="Arial" w:eastAsia="Arial" w:hAnsi="Arial"/>
          <w:sz w:val="17"/>
          <w:szCs w:val="17"/>
          <w:color w:val="auto"/>
        </w:rPr>
        <w:t>We rely on a combination of patents, trade secrets, copyright and trademark laws, nondisclosure agreements and other contractual provisions and technical security measures to protect our intellectual property rights. These measures may not be adequate to safeguard our technology. If they do not protect our rights adequately, third parties could use our technology, and our ability to compete in the market would be reduced. 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future products. Our ability to prevent others from making or selling 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w:t>
      </w:r>
    </w:p>
    <w:p>
      <w:pPr>
        <w:spacing w:after="0" w:line="154"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auto"/>
        </w:rPr>
        <w:t>Similarly, even if patents are issued based on our applications or future applications, any issued patents may not provide us with any competitive advantages.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 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w:t>
      </w:r>
    </w:p>
    <w:p>
      <w:pPr>
        <w:spacing w:after="0" w:line="125"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Our strategy is to deploy our technology into the market by licensing patent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 w:name="page29"/>
    <w:bookmarkEnd w:id="28"/>
    <w:p>
      <w:pPr>
        <w:ind w:right="160" w:firstLine="589"/>
        <w:spacing w:after="0" w:line="273" w:lineRule="auto"/>
        <w:rPr>
          <w:sz w:val="20"/>
          <w:szCs w:val="20"/>
          <w:color w:val="auto"/>
        </w:rPr>
      </w:pPr>
      <w:r>
        <w:rPr>
          <w:rFonts w:ascii="Arial" w:cs="Arial" w:eastAsia="Arial" w:hAnsi="Arial"/>
          <w:sz w:val="17"/>
          <w:szCs w:val="17"/>
          <w:color w:val="auto"/>
        </w:rPr>
        <w:t>The policies we use to protect our trade secrets might not be effective in preventing misappropriation of our trade secrets by others. In addition, confidentiality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patent infringement or other intellectual property lawsuits that could be costly to defend.</w:t>
      </w:r>
    </w:p>
    <w:p>
      <w:pPr>
        <w:spacing w:after="0" w:line="198"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Because our industry is characterized by competing intellectual property, we may become involved in litigation based on claims that we have violated the intellectual property rights of others. Determining whether a 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may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can change between publication and patent grant, there may be published patent applications that may ultimately issue with claims that we infringe. There could also be existing patents that one or more of our technologies, products or parts may infringe and of which we are unaware. As the number of competitors in the market for wire-free power and alternative recharging solutions increases, and as the 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If we become subject to a patent infringement or other intellectual property lawsuit and if the relevant patents or other intellectual property were upheld as valid and enforceable and we were found to infringe or violate the terms of a license to which we are a party, we could be prevented from selling any infringing products of ours unless we could obtain a license or were able to redesign the product to avoid infringement. If we were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w:t>
      </w:r>
    </w:p>
    <w:p>
      <w:pPr>
        <w:spacing w:after="0" w:line="200" w:lineRule="exact"/>
        <w:rPr>
          <w:sz w:val="20"/>
          <w:szCs w:val="20"/>
          <w:color w:val="auto"/>
        </w:rPr>
      </w:pPr>
    </w:p>
    <w:p>
      <w:pPr>
        <w:spacing w:after="0" w:line="2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could become subject to product liability claims, product recalls, and warranty claims that could be expensive, divert management’s attention and harm our business.</w:t>
      </w:r>
    </w:p>
    <w:p>
      <w:pPr>
        <w:spacing w:after="0" w:line="197"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Our business exposes us to potential liability risks that are inherent in the marketing and sale of products used by consumers. We may be held liable if our technology causes injury or death or is found otherwise unsuitable. While we believe our technology is safe, users could allege or possibly prove defects (some of which could be alleged or proved to cause harm to users or others) because we design our technology to perform complex functions involving RF energy, possibly in close proximity to users. A product liability claim, regardless of its merit or eventual outcome, could result in significant legal defense costs. The coverage limits of our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 affect our sales or require a change in the design or manufacturing process, any of which could harm our reputation and business, harm our relationship with licensors of our products, result in a decline in revenue and harm our business.</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ind w:right="20" w:firstLine="589"/>
        <w:spacing w:after="0" w:line="293" w:lineRule="auto"/>
        <w:rPr>
          <w:sz w:val="20"/>
          <w:szCs w:val="20"/>
          <w:color w:val="auto"/>
        </w:rPr>
      </w:pPr>
      <w:r>
        <w:rPr>
          <w:rFonts w:ascii="Arial" w:cs="Arial" w:eastAsia="Arial" w:hAnsi="Arial"/>
          <w:sz w:val="16"/>
          <w:szCs w:val="16"/>
          <w:color w:val="auto"/>
        </w:rPr>
        <w:t>In addition, if a product that we or a strategic partner design is defective, whether due to design or manufacturing defects, improper use of the product or other reasons, we or our strategic partner may be required to notify regulatory authorities and/or to recall the product. A required notification to a regulatory authority or recall could result in an investigation by regulatory authorities of products incorporating our technology, which could in turn result in required recalls, restrictions on the sale of such products or other penalties. The adverse publicity resulting from any of these actions could adversely affect the perception of our customers and potential customers. These investigations or recalls, especially if accompanied by unfavorable publicity, could result in our incurring substantial costs, losing revenues and damaging our reputation, each of which would harm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secure advantageous license agreements for our technology, our business and results of operations will be adversely affected.</w:t>
      </w:r>
    </w:p>
    <w:p>
      <w:pPr>
        <w:spacing w:after="0" w:line="208"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We pursue the licensing of our technology as a primary means of revenue generation. Creating a licensing business relationship often takes a substantial effort, as we expect to have to convince the counterparty of the efficacy of our technology, meet design and manufacturing requirements, satisfy marketing and product needs, and comply with selection, review and contracting requirements. There can be no assurance that we will be able to gain access to potential licensing partners, or that they will ultimately decide to integrate our technology with their products.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Domestic and international regulators may deny approval for our technology, and future legislative or regulatory changes may impair our business.</w:t>
      </w:r>
    </w:p>
    <w:p>
      <w:pPr>
        <w:spacing w:after="0" w:line="208"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Our charging technology involves power transmission using radio frequency (RF) energy, which is subject to regulation by the Federal Communications Commission in the United States and by comparable regulatory agencies worldwide. It may also be subject to regulation by other agencies. Regulatory concerns include whether human exposure to radio frequency emissions are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 RF band that is also used for Wi-Fi routers and other wireless consumer electronics, and we also design it to operate at different frequencies as demanded for some customer applications. Applications at different frequencies may require separate regulatory approvals. Efforts to obtain regulatory approval for devices using our technology is costly and time consuming, and there can be no assurance that requisite regulatory approvals will be forthcoming.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Personnel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utilization of engineering consultants.</w:t>
      </w:r>
    </w:p>
    <w:p>
      <w:pPr>
        <w:spacing w:after="0" w:line="185"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To improve productivity and accelerate our development efforts while we build out our own engineering team, we may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 their performance, changes in their own operations, financial condition, or other matters outside of our control. Effective management of our consultants is important to our business and strategy. The failure of our consultants to perform as anticipated could result in substantial costs, divert management’s attention from other strategic activities, or create other operational or financial problems for us. Terminating or transitioning arrangements with key consultants could result in additional costs and a risk of operational delays, potential errors and possible control issues as a result of the termination or during the transition.</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 w:name="page31"/>
    <w:bookmarkEnd w:id="30"/>
    <w:p>
      <w:pPr>
        <w:ind w:right="120"/>
        <w:spacing w:after="0" w:line="308" w:lineRule="auto"/>
        <w:rPr>
          <w:sz w:val="20"/>
          <w:szCs w:val="20"/>
          <w:color w:val="auto"/>
        </w:rPr>
      </w:pPr>
      <w:r>
        <w:rPr>
          <w:rFonts w:ascii="Arial" w:cs="Arial" w:eastAsia="Arial" w:hAnsi="Arial"/>
          <w:sz w:val="17"/>
          <w:szCs w:val="17"/>
          <w:b w:val="1"/>
          <w:bCs w:val="1"/>
          <w:i w:val="1"/>
          <w:iCs w:val="1"/>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19"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Our ability to implement our business plan depends, to a critical extent, on the continued efforts and services of a very small number of key executives. If we lose the services of any of these persons, we could be required to expend significant time and money in the pursuit of replacements, which may result in a delay in the implementation of our business plan and plan of operations, including in particular the result of the establishment of the Office of the CEO by our Board in April 2021, following our chief executive officer’s announcement in connection with a temporary step down due to health reasons. If necessary, we can give no assurance that we could find satisfactory replacements for these individuals on terms that would not be unduly expensive or burdensome to us. We do not currently carry any key-person life insurance that would help us recoup our costs in the event of the death or disability of any of these executives.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and growth depend on our ability to attract, integrate and retain high-level engineering talent.</w:t>
      </w:r>
    </w:p>
    <w:p>
      <w:pPr>
        <w:spacing w:after="0" w:line="185"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investment in recruiting and training them. Volatility or lack of performance in our stock price may also affect our ability to attract and retain qualified personnel.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could make our common stock less attractive to investors.</w:t>
      </w:r>
    </w:p>
    <w:p>
      <w:pPr>
        <w:spacing w:after="0" w:line="130" w:lineRule="exact"/>
        <w:rPr>
          <w:sz w:val="20"/>
          <w:szCs w:val="20"/>
          <w:color w:val="auto"/>
        </w:rPr>
      </w:pPr>
    </w:p>
    <w:p>
      <w:pPr>
        <w:ind w:right="20" w:firstLine="864"/>
        <w:spacing w:after="0" w:line="273" w:lineRule="auto"/>
        <w:rPr>
          <w:sz w:val="20"/>
          <w:szCs w:val="20"/>
          <w:color w:val="auto"/>
        </w:rPr>
      </w:pPr>
      <w:r>
        <w:rPr>
          <w:rFonts w:ascii="Arial" w:cs="Arial" w:eastAsia="Arial" w:hAnsi="Arial"/>
          <w:sz w:val="17"/>
          <w:szCs w:val="17"/>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137" w:lineRule="exact"/>
        <w:rPr>
          <w:sz w:val="20"/>
          <w:szCs w:val="20"/>
          <w:color w:val="auto"/>
        </w:rPr>
      </w:pPr>
    </w:p>
    <w:p>
      <w:pPr>
        <w:ind w:right="80" w:firstLine="864"/>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effective internal control over financial reporting, investors may lose confidence in the accuracy of our financial reports.</w:t>
      </w:r>
    </w:p>
    <w:p>
      <w:pPr>
        <w:spacing w:after="0" w:line="219"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controls. Although our management has determined that our internal control over financial reporting was effective as of March 31, 2021, we cannot assure you that we will not identify any material weakness in our internal control in the future.</w:t>
      </w:r>
    </w:p>
    <w:p>
      <w:pPr>
        <w:spacing w:after="0" w:line="143"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We qualify as a “smaller reporting company” under new SEC rules such that we are not required to file an auditor attestation report. If we experience a material weakness in our internal controls, we may fail to detect errors in our financial accounting, which may require a financial statement restatement or otherwise harm our operating results, cause us to fail to meet our SEC reporting obligations or Nasdaq listing requirements,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which could adversely affect our business.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ind w:right="260" w:firstLine="589"/>
        <w:spacing w:after="0" w:line="263" w:lineRule="auto"/>
        <w:rPr>
          <w:sz w:val="20"/>
          <w:szCs w:val="20"/>
          <w:color w:val="auto"/>
        </w:rPr>
      </w:pPr>
      <w:r>
        <w:rPr>
          <w:rFonts w:ascii="Arial" w:cs="Arial" w:eastAsia="Arial" w:hAnsi="Arial"/>
          <w:sz w:val="18"/>
          <w:szCs w:val="18"/>
          <w:color w:val="auto"/>
        </w:rPr>
        <w:t>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might lose all of your investment.</w:t>
      </w:r>
    </w:p>
    <w:p>
      <w:pPr>
        <w:spacing w:after="0" w:line="198" w:lineRule="exact"/>
        <w:rPr>
          <w:sz w:val="20"/>
          <w:szCs w:val="20"/>
          <w:color w:val="auto"/>
        </w:rPr>
      </w:pPr>
    </w:p>
    <w:p>
      <w:pPr>
        <w:jc w:val="both"/>
        <w:ind w:right="60" w:firstLine="589"/>
        <w:spacing w:after="0" w:line="277" w:lineRule="auto"/>
        <w:rPr>
          <w:sz w:val="20"/>
          <w:szCs w:val="20"/>
          <w:color w:val="auto"/>
        </w:rPr>
      </w:pPr>
      <w:r>
        <w:rPr>
          <w:rFonts w:ascii="Arial" w:cs="Arial" w:eastAsia="Arial" w:hAnsi="Arial"/>
          <w:sz w:val="18"/>
          <w:szCs w:val="18"/>
          <w:color w:val="auto"/>
        </w:rPr>
        <w:t>Investing in our common stock involves a high degree of risk. As an investor, you might never recoup all, or even part of, your investment and you may never realize any return on your investment. You must be prepared to lose all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likely to continue to be volatile.</w:t>
      </w:r>
    </w:p>
    <w:p>
      <w:pPr>
        <w:spacing w:after="0" w:line="185" w:lineRule="exact"/>
        <w:rPr>
          <w:sz w:val="20"/>
          <w:szCs w:val="20"/>
          <w:color w:val="auto"/>
        </w:rPr>
      </w:pPr>
    </w:p>
    <w:p>
      <w:pPr>
        <w:jc w:val="both"/>
        <w:ind w:right="60" w:firstLine="589"/>
        <w:spacing w:after="0" w:line="311" w:lineRule="auto"/>
        <w:rPr>
          <w:sz w:val="20"/>
          <w:szCs w:val="20"/>
          <w:color w:val="auto"/>
        </w:rPr>
      </w:pPr>
      <w:r>
        <w:rPr>
          <w:rFonts w:ascii="Arial" w:cs="Arial" w:eastAsia="Arial" w:hAnsi="Arial"/>
          <w:sz w:val="16"/>
          <w:szCs w:val="16"/>
          <w:color w:val="auto"/>
        </w:rPr>
        <w:t>The market price of our common stock has fluctuated significantly since our initial public offering in 2014. Our common stock has experienced an intra-day trading high of $7.69 per share and a low of $1.69 per share on The Nasdaq Stock Market over the last 52 weeks, as of May 1, 2021. The price of our common stock is likely to continue to fluctuate significantly in response to many factors that are beyond our control, including:</w:t>
      </w:r>
    </w:p>
    <w:p>
      <w:pPr>
        <w:spacing w:after="0" w:line="41" w:lineRule="exact"/>
        <w:rPr>
          <w:sz w:val="20"/>
          <w:szCs w:val="20"/>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announcements;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variations in operating results;</w:t>
      </w:r>
    </w:p>
    <w:p>
      <w:pPr>
        <w:spacing w:after="0" w:line="117" w:lineRule="exact"/>
        <w:rPr>
          <w:rFonts w:ascii="Arial" w:cs="Arial" w:eastAsia="Arial" w:hAnsi="Arial"/>
          <w:sz w:val="18"/>
          <w:szCs w:val="18"/>
          <w:color w:val="auto"/>
        </w:rPr>
      </w:pPr>
    </w:p>
    <w:p>
      <w:pPr>
        <w:ind w:left="860" w:right="100" w:hanging="420"/>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and perceptions of future economic growth prospectus in the economy at large, including as a result of the impact of the COVID-19 pandemic;</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limited number of holders of our common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economic performance and/or market valuations of other technology companies;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announcements of significant strategic partnerships, regulatory developments and other events;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by other companies in our industry;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articles published or rumors circulated by third parties regarding our business, technology or development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or other transactions involving our capital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paid dividends in the past and have no immediate plans to pay dividends.</w:t>
      </w:r>
    </w:p>
    <w:p>
      <w:pPr>
        <w:spacing w:after="0" w:line="185"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spacing w:after="0" w:line="21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expect to continue to incur significant costs as a result of being a public reporting company and our management will be required to devote substantial time to meet our compliance obligations.</w:t>
      </w:r>
    </w:p>
    <w:p>
      <w:pPr>
        <w:spacing w:after="0" w:line="130"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As a public reporting company, we incur significant legal, accounting and other expenses. We are subject to reporting requirements of the Securities Exchange Act of 1934, as amended, and rules subsequently implemented by the Securities and Exchange Commission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can be expected to increase as we emerged from emerging growth company status and will increase significantly if we no longer qualify as a smaller reporting company.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98"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ind w:right="700"/>
        <w:spacing w:after="0" w:line="277" w:lineRule="auto"/>
        <w:rPr>
          <w:sz w:val="20"/>
          <w:szCs w:val="20"/>
          <w:color w:val="auto"/>
        </w:rPr>
      </w:pPr>
      <w:r>
        <w:rPr>
          <w:rFonts w:ascii="Arial" w:cs="Arial" w:eastAsia="Arial" w:hAnsi="Arial"/>
          <w:sz w:val="18"/>
          <w:szCs w:val="18"/>
          <w:b w:val="1"/>
          <w:bCs w:val="1"/>
          <w:i w:val="1"/>
          <w:iCs w:val="1"/>
          <w:color w:val="auto"/>
        </w:rPr>
        <w:t>Our ability to use Federal net operating loss carry forwards to reduce future tax payments may be limited if our taxable income does not reach sufficient levels.</w:t>
      </w:r>
    </w:p>
    <w:p>
      <w:pPr>
        <w:spacing w:after="0" w:line="130"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As of December 31, 2020, we had a Federal net operating loss (“NOL”) carryforward of approximately $205,474,000. Under the U.S. Tax Code, NOLs arising in tax years ending on or before December 31, 2017 can generally be carried forward to offset future taxable income for a period of 20 years, and NOLs arising in tax years ending after December 31, 2017 can generally be carried forward indefinitely. Our ability to use our NOLs will be dependent on our ability to generate taxable income, and the NOLs that arose in tax years ending on or before December 31, 2017 could expire before we generate sufficient taxable income to take advantage of the NOLs. As of December 31, 2020, based on our history of operating losses it is possible that a portion of our NOLs will not be fully realizable.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inhibit a takeover that stockholders consider favorable.</w:t>
      </w:r>
    </w:p>
    <w:p>
      <w:pPr>
        <w:spacing w:after="0" w:line="185"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Provisions of our certificate of incorporation and bylaws, and applicable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certificate of incorporation and bylaws:</w:t>
      </w:r>
    </w:p>
    <w:p>
      <w:pPr>
        <w:spacing w:after="0" w:line="41" w:lineRule="exact"/>
        <w:rPr>
          <w:sz w:val="20"/>
          <w:szCs w:val="20"/>
          <w:color w:val="auto"/>
        </w:rPr>
      </w:pPr>
    </w:p>
    <w:p>
      <w:pPr>
        <w:ind w:left="880" w:hanging="440"/>
        <w:spacing w:after="0" w:line="263"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provide for cumulative voting rights;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that all vacancies may be filled by the affirmative vote of a majority of directors then in office, even if less than a quorum.</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maintained.</w:t>
      </w:r>
    </w:p>
    <w:p>
      <w:pPr>
        <w:spacing w:after="0" w:line="198" w:lineRule="exact"/>
        <w:rPr>
          <w:sz w:val="20"/>
          <w:szCs w:val="20"/>
          <w:color w:val="auto"/>
        </w:rPr>
      </w:pPr>
    </w:p>
    <w:p>
      <w:pPr>
        <w:ind w:right="200" w:firstLine="589"/>
        <w:spacing w:after="0" w:line="296" w:lineRule="auto"/>
        <w:rPr>
          <w:sz w:val="20"/>
          <w:szCs w:val="20"/>
          <w:color w:val="auto"/>
        </w:rPr>
      </w:pPr>
      <w:r>
        <w:rPr>
          <w:rFonts w:ascii="Arial" w:cs="Arial" w:eastAsia="Arial" w:hAnsi="Arial"/>
          <w:sz w:val="16"/>
          <w:szCs w:val="16"/>
          <w:color w:val="auto"/>
        </w:rPr>
        <w:t>Our stock is currently traded on The Nasdaq Stock Market, but we can provide no assurance that we will be able to maintain an active trading market on The Nasdaq Stock Market or any other exchange in the future, including if we no longer meet the applicable listing standards of Nasdaq. If an active market for our common stock is not maintained, or if we no longer qualify to be listed on Nasdaq, it may be difficult for our stockholders to sell or purchase shares on such a national securities exchange, or otherwise. An inactive market may also impair our ability to raise capital to continue to fund operations by selling shares and impair our ability to acquire other companies or technologies by using our shares as consideration.</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 w:name="page34"/>
    <w:bookmarkEnd w:id="33"/>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43"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Sales of Unregistered Securities;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to be filed as a part of this report are listed in the Exhibit Index.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00" w:type="dxa"/>
            <w:vAlign w:val="bottom"/>
            <w:gridSpan w:val="6"/>
          </w:tcPr>
          <w:p>
            <w:pPr>
              <w:ind w:left="1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180" w:type="dxa"/>
            <w:vAlign w:val="bottom"/>
          </w:tcPr>
          <w:p>
            <w:pPr>
              <w:spacing w:after="0"/>
              <w:rPr>
                <w:sz w:val="24"/>
                <w:szCs w:val="24"/>
                <w:color w:val="auto"/>
              </w:rPr>
            </w:pPr>
          </w:p>
        </w:tc>
        <w:tc>
          <w:tcPr>
            <w:tcW w:w="8000" w:type="dxa"/>
            <w:vAlign w:val="bottom"/>
            <w:gridSpan w:val="6"/>
            <w:vMerge w:val="restart"/>
          </w:tcPr>
          <w:p>
            <w:pPr>
              <w:ind w:left="2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180" w:type="dxa"/>
            <w:vAlign w:val="bottom"/>
          </w:tcPr>
          <w:p>
            <w:pPr>
              <w:spacing w:after="0"/>
              <w:rPr>
                <w:sz w:val="14"/>
                <w:szCs w:val="14"/>
                <w:color w:val="auto"/>
              </w:rPr>
            </w:pPr>
          </w:p>
        </w:tc>
        <w:tc>
          <w:tcPr>
            <w:tcW w:w="80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100" w:type="dxa"/>
            <w:vAlign w:val="bottom"/>
            <w:tcBorders>
              <w:top w:val="single" w:sz="8" w:color="auto"/>
              <w:bottom w:val="single" w:sz="8" w:color="0000EE"/>
            </w:tcBorders>
            <w:gridSpan w:val="5"/>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Periodic Report by an officer of the Office of the Chief Executive Officer (principal executive officer) pursuant to Rule 13a-</w:t>
              </w:r>
            </w:hyperlink>
          </w:p>
        </w:tc>
        <w:tc>
          <w:tcPr>
            <w:tcW w:w="8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14(a)/15d-14a (filed herewith)</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Certification of Periodic Report by an officer of the Office of the Chief Executive Officer (principal executive officer) pursuant to Rule 13a-</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14(a)/15d-14a (filed herewith)</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4"/>
                <w:szCs w:val="24"/>
                <w:color w:val="auto"/>
              </w:rPr>
            </w:pPr>
          </w:p>
        </w:tc>
        <w:tc>
          <w:tcPr>
            <w:tcW w:w="10180" w:type="dxa"/>
            <w:vAlign w:val="bottom"/>
            <w:gridSpan w:val="7"/>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Certification of Periodic Report by the Chief Financial Officer and an officer of the Office of the Chief Executive Officer (principal financial</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and executive officer) pursuant to Rule 13a-14(a)/15d-14a (filed herewith)</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80" w:type="dxa"/>
            <w:vAlign w:val="bottom"/>
            <w:gridSpan w:val="7"/>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Certification of Periodic Report by the Office of the Chief Executive Officer (principal executive officers) and the Chief Financial Officer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(principal financial officer) pursuant to U.S.C. Section 1350 (furnished herewith)</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8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Inline XBRL Instance Document (filed herewith)</w:t>
            </w:r>
          </w:p>
        </w:tc>
        <w:tc>
          <w:tcPr>
            <w:tcW w:w="43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 (filed herewith)</w:t>
            </w:r>
          </w:p>
        </w:tc>
        <w:tc>
          <w:tcPr>
            <w:tcW w:w="0" w:type="dxa"/>
            <w:vAlign w:val="bottom"/>
          </w:tcPr>
          <w:p>
            <w:pPr>
              <w:spacing w:after="0"/>
              <w:rPr>
                <w:sz w:val="1"/>
                <w:szCs w:val="1"/>
                <w:color w:val="auto"/>
              </w:rPr>
            </w:pPr>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180" w:type="dxa"/>
            <w:vAlign w:val="bottom"/>
            <w:gridSpan w:val="7"/>
          </w:tcPr>
          <w:p>
            <w:pPr>
              <w:spacing w:after="0"/>
              <w:rPr>
                <w:sz w:val="20"/>
                <w:szCs w:val="20"/>
                <w:color w:val="auto"/>
              </w:rPr>
            </w:pPr>
            <w:r>
              <w:rPr>
                <w:rFonts w:ascii="Arial" w:cs="Arial" w:eastAsia="Arial" w:hAnsi="Arial"/>
                <w:sz w:val="18"/>
                <w:szCs w:val="18"/>
                <w:color w:val="auto"/>
                <w:w w:val="95"/>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5087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168" w:lineRule="exact"/>
        <w:rPr>
          <w:sz w:val="20"/>
          <w:szCs w:val="20"/>
          <w:color w:val="auto"/>
        </w:rPr>
      </w:pPr>
    </w:p>
    <w:p>
      <w:pPr>
        <w:jc w:val="both"/>
        <w:ind w:left="440" w:hanging="432"/>
        <w:spacing w:after="0" w:line="263"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spacing w:after="0"/>
        <w:tabs>
          <w:tab w:leader="none" w:pos="5300" w:val="left"/>
          <w:tab w:leader="none" w:pos="582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Brian Sereda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57"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Brian Sereda</w:t>
      </w:r>
    </w:p>
    <w:p>
      <w:pPr>
        <w:spacing w:after="0" w:line="36"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Title:</w:t>
        <w:tab/>
        <w:t>Senior Vice President, Chief Financial Officer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and an officer of the Office of the Chief</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Executive Officer (Principal Financial and</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Accounting Officer and Principal Executive Officer)</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5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Cesar Johnston, certify that:</w:t>
      </w:r>
    </w:p>
    <w:p>
      <w:pPr>
        <w:spacing w:after="0" w:line="198" w:lineRule="exact"/>
        <w:rPr>
          <w:sz w:val="20"/>
          <w:szCs w:val="20"/>
          <w:color w:val="auto"/>
        </w:rPr>
      </w:pPr>
    </w:p>
    <w:p>
      <w:pPr>
        <w:ind w:left="940" w:hanging="541"/>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Energous Corporation;</w:t>
      </w:r>
    </w:p>
    <w:p>
      <w:pPr>
        <w:spacing w:after="0" w:line="211" w:lineRule="exact"/>
        <w:rPr>
          <w:rFonts w:ascii="Arial" w:cs="Arial" w:eastAsia="Arial" w:hAnsi="Arial"/>
          <w:sz w:val="18"/>
          <w:szCs w:val="18"/>
          <w:color w:val="auto"/>
        </w:rPr>
      </w:pPr>
    </w:p>
    <w:p>
      <w:pPr>
        <w:jc w:val="both"/>
        <w:ind w:left="940" w:right="100" w:hanging="541"/>
        <w:spacing w:after="0" w:line="263"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40" w:right="60" w:hanging="541"/>
        <w:spacing w:after="0" w:line="308"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940" w:right="20" w:hanging="541"/>
        <w:spacing w:after="0" w:line="291" w:lineRule="auto"/>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1340" w:right="80" w:hanging="536"/>
        <w:spacing w:after="0" w:line="263"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40" w:hanging="536"/>
        <w:spacing w:after="0" w:line="263"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40" w:right="180" w:hanging="536"/>
        <w:spacing w:after="0" w:line="342" w:lineRule="auto"/>
        <w:tabs>
          <w:tab w:leader="none" w:pos="13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right="200" w:hanging="536"/>
        <w:spacing w:after="0" w:line="263"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40" w:right="540" w:hanging="541"/>
        <w:spacing w:after="0" w:line="263"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340" w:right="420" w:hanging="536"/>
        <w:spacing w:after="0" w:line="342" w:lineRule="auto"/>
        <w:tabs>
          <w:tab w:leader="none" w:pos="13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40" w:right="120" w:hanging="536"/>
        <w:spacing w:after="0" w:line="277"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Cesar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Cesar Johnston</w:t>
      </w:r>
    </w:p>
    <w:p>
      <w:pPr>
        <w:spacing w:after="0" w:line="23" w:lineRule="exact"/>
        <w:rPr>
          <w:sz w:val="20"/>
          <w:szCs w:val="20"/>
          <w:color w:val="auto"/>
        </w:rPr>
      </w:pPr>
    </w:p>
    <w:p>
      <w:pPr>
        <w:jc w:val="center"/>
        <w:ind w:right="5620"/>
        <w:spacing w:after="0"/>
        <w:tabs>
          <w:tab w:leader="none" w:pos="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of Engineering, Chief Operating Officer</w:t>
      </w:r>
    </w:p>
    <w:p>
      <w:pPr>
        <w:spacing w:after="0" w:line="9"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and an officer of the Office of the Chief Executive Officer</w:t>
      </w:r>
    </w:p>
    <w:p>
      <w:pPr>
        <w:sectPr>
          <w:pgSz w:w="11900" w:h="16838" w:orient="portrait"/>
          <w:cols w:equalWidth="0" w:num="1">
            <w:col w:w="11240"/>
          </w:cols>
          <w:pgMar w:left="320" w:top="35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Neeraj Sahejpal, certify that:</w:t>
      </w:r>
    </w:p>
    <w:p>
      <w:pPr>
        <w:spacing w:after="0" w:line="198" w:lineRule="exact"/>
        <w:rPr>
          <w:sz w:val="20"/>
          <w:szCs w:val="20"/>
          <w:color w:val="auto"/>
        </w:rPr>
      </w:pPr>
    </w:p>
    <w:p>
      <w:pPr>
        <w:ind w:left="940" w:hanging="541"/>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Energous Corporation;</w:t>
      </w:r>
    </w:p>
    <w:p>
      <w:pPr>
        <w:spacing w:after="0" w:line="211" w:lineRule="exact"/>
        <w:rPr>
          <w:rFonts w:ascii="Arial" w:cs="Arial" w:eastAsia="Arial" w:hAnsi="Arial"/>
          <w:sz w:val="18"/>
          <w:szCs w:val="18"/>
          <w:color w:val="auto"/>
        </w:rPr>
      </w:pPr>
    </w:p>
    <w:p>
      <w:pPr>
        <w:jc w:val="both"/>
        <w:ind w:left="940" w:right="100" w:hanging="541"/>
        <w:spacing w:after="0" w:line="263"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40" w:right="60" w:hanging="541"/>
        <w:spacing w:after="0" w:line="308" w:lineRule="auto"/>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940" w:right="20" w:hanging="541"/>
        <w:spacing w:after="0" w:line="291" w:lineRule="auto"/>
        <w:tabs>
          <w:tab w:leader="none" w:pos="9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1340" w:right="80" w:hanging="536"/>
        <w:spacing w:after="0" w:line="263" w:lineRule="auto"/>
        <w:tabs>
          <w:tab w:leader="none" w:pos="13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40" w:hanging="536"/>
        <w:spacing w:after="0" w:line="263" w:lineRule="auto"/>
        <w:tabs>
          <w:tab w:leader="none" w:pos="13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40" w:right="180" w:hanging="536"/>
        <w:spacing w:after="0" w:line="342" w:lineRule="auto"/>
        <w:tabs>
          <w:tab w:leader="none" w:pos="13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right="200" w:hanging="536"/>
        <w:spacing w:after="0" w:line="263" w:lineRule="auto"/>
        <w:tabs>
          <w:tab w:leader="none" w:pos="13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40" w:right="540" w:hanging="541"/>
        <w:spacing w:after="0" w:line="263"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340" w:right="420" w:hanging="536"/>
        <w:spacing w:after="0" w:line="342" w:lineRule="auto"/>
        <w:tabs>
          <w:tab w:leader="none" w:pos="13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40" w:right="120" w:hanging="536"/>
        <w:spacing w:after="0" w:line="277" w:lineRule="auto"/>
        <w:tabs>
          <w:tab w:leader="none" w:pos="13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Neeraj Sahejpal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Neeraj Sahejpal</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 of Marketing and Strategy and an officer of</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Office of the Chief Executive Officer</w:t>
      </w:r>
    </w:p>
    <w:p>
      <w:pPr>
        <w:sectPr>
          <w:pgSz w:w="11900" w:h="16838" w:orient="portrait"/>
          <w:cols w:equalWidth="0" w:num="1">
            <w:col w:w="11240"/>
          </w:cols>
          <w:pgMar w:left="320" w:top="35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Sereda, certify that:</w:t>
      </w:r>
    </w:p>
    <w:p>
      <w:pPr>
        <w:spacing w:after="0" w:line="198" w:lineRule="exact"/>
        <w:rPr>
          <w:sz w:val="20"/>
          <w:szCs w:val="20"/>
          <w:color w:val="auto"/>
        </w:rPr>
      </w:pPr>
    </w:p>
    <w:p>
      <w:pPr>
        <w:ind w:left="940" w:hanging="541"/>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Energous Corporation;</w:t>
      </w:r>
    </w:p>
    <w:p>
      <w:pPr>
        <w:spacing w:after="0" w:line="211" w:lineRule="exact"/>
        <w:rPr>
          <w:rFonts w:ascii="Arial" w:cs="Arial" w:eastAsia="Arial" w:hAnsi="Arial"/>
          <w:sz w:val="18"/>
          <w:szCs w:val="18"/>
          <w:color w:val="auto"/>
        </w:rPr>
      </w:pPr>
    </w:p>
    <w:p>
      <w:pPr>
        <w:jc w:val="both"/>
        <w:ind w:left="940" w:right="100" w:hanging="541"/>
        <w:spacing w:after="0" w:line="263"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40" w:right="60" w:hanging="541"/>
        <w:spacing w:after="0" w:line="308" w:lineRule="auto"/>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940" w:right="20" w:hanging="541"/>
        <w:spacing w:after="0" w:line="291" w:lineRule="auto"/>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1340" w:right="80" w:hanging="536"/>
        <w:spacing w:after="0" w:line="263"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40" w:hanging="536"/>
        <w:spacing w:after="0" w:line="263"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40" w:right="180" w:hanging="536"/>
        <w:spacing w:after="0" w:line="342" w:lineRule="auto"/>
        <w:tabs>
          <w:tab w:leader="none" w:pos="1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right="200" w:hanging="536"/>
        <w:spacing w:after="0" w:line="263"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40" w:right="540" w:hanging="541"/>
        <w:spacing w:after="0" w:line="263"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340" w:right="420" w:hanging="536"/>
        <w:spacing w:after="0" w:line="342" w:lineRule="auto"/>
        <w:tabs>
          <w:tab w:leader="none" w:pos="1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40" w:right="120" w:hanging="536"/>
        <w:spacing w:after="0" w:line="277"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Sereda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Brian Sereda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100"/>
              <w:spacing w:after="0"/>
              <w:rPr>
                <w:sz w:val="20"/>
                <w:szCs w:val="20"/>
                <w:color w:val="auto"/>
              </w:rPr>
            </w:pPr>
            <w:r>
              <w:rPr>
                <w:rFonts w:ascii="Arial" w:cs="Arial" w:eastAsia="Arial" w:hAnsi="Arial"/>
                <w:sz w:val="18"/>
                <w:szCs w:val="18"/>
                <w:color w:val="auto"/>
                <w:w w:val="93"/>
              </w:rPr>
              <w:t>Senior Vice President, Chief Financial Officer and an officer of the</w:t>
            </w:r>
          </w:p>
        </w:tc>
      </w:tr>
      <w:tr>
        <w:trPr>
          <w:trHeight w:val="230"/>
        </w:trPr>
        <w:tc>
          <w:tcPr>
            <w:tcW w:w="580" w:type="dxa"/>
            <w:vAlign w:val="bottom"/>
          </w:tcPr>
          <w:p>
            <w:pPr>
              <w:spacing w:after="0"/>
              <w:rPr>
                <w:sz w:val="20"/>
                <w:szCs w:val="20"/>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Office of the Chief Executive Officer</w:t>
            </w:r>
          </w:p>
        </w:tc>
      </w:tr>
    </w:tbl>
    <w:p>
      <w:pPr>
        <w:sectPr>
          <w:pgSz w:w="11900" w:h="16838" w:orient="portrait"/>
          <w:cols w:equalWidth="0" w:num="1">
            <w:col w:w="11240"/>
          </w:cols>
          <w:pgMar w:left="320" w:top="35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Energous Corporation (the “Company”) on Form 10-Q for the period ended March 31, 2021 as filed with the Securities and Exchange Commission on the date hereof (the “Report”), we, Cesar Johnston, Executive Vice President of Engineering, Chief Operating Officer and an officer of the Office of the Chief Executive Officer of the Company, Neeraj Sahejpal, Senior Vice President of Marketing and Strategy and an officer of the Office of the Chief Executive Officer of the Company, and Brian Sereda, Senior Vice President, Chief Financial Officer and an officer of the Office of the Chief Executive Officer of the Company, certify, pursuant to 18 U.S.C. § 1350, as adopted pursuant to § 906 of the Sarbanes-Oxley Act of 2002, that:</w:t>
      </w:r>
    </w:p>
    <w:p>
      <w:pPr>
        <w:spacing w:after="0" w:line="15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Energous Corporation and will be retained by Energous Corporation and furnished to the Securities and Exchange Commission or its staff upon request.</w:t>
      </w:r>
    </w:p>
    <w:p>
      <w:pPr>
        <w:sectPr>
          <w:pgSz w:w="11900" w:h="16838" w:orient="portrait"/>
          <w:cols w:equalWidth="0" w:num="1">
            <w:col w:w="11240"/>
          </w:cols>
          <w:pgMar w:left="320" w:top="351"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Cesar Johnston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Cesar Johnston</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180"/>
              <w:spacing w:after="0"/>
              <w:rPr>
                <w:sz w:val="20"/>
                <w:szCs w:val="20"/>
                <w:color w:val="auto"/>
              </w:rPr>
            </w:pPr>
            <w:r>
              <w:rPr>
                <w:rFonts w:ascii="Arial" w:cs="Arial" w:eastAsia="Arial" w:hAnsi="Arial"/>
                <w:sz w:val="18"/>
                <w:szCs w:val="18"/>
                <w:color w:val="auto"/>
                <w:w w:val="92"/>
              </w:rPr>
              <w:t>Executive Vice President of Engineering, Chief Operating Officer</w:t>
            </w:r>
          </w:p>
        </w:tc>
      </w:tr>
      <w:tr>
        <w:trPr>
          <w:trHeight w:val="216"/>
        </w:trPr>
        <w:tc>
          <w:tcPr>
            <w:tcW w:w="66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and an officer of the Office of the Chief Executive Officer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180"/>
              <w:spacing w:after="0"/>
              <w:rPr>
                <w:sz w:val="20"/>
                <w:szCs w:val="20"/>
                <w:color w:val="auto"/>
              </w:rPr>
            </w:pPr>
            <w:r>
              <w:rPr>
                <w:rFonts w:ascii="Arial" w:cs="Arial" w:eastAsia="Arial" w:hAnsi="Arial"/>
                <w:sz w:val="18"/>
                <w:szCs w:val="18"/>
                <w:color w:val="auto"/>
              </w:rPr>
              <w:t>May 17, 2021</w:t>
            </w:r>
          </w:p>
        </w:tc>
      </w:tr>
      <w:tr>
        <w:trPr>
          <w:trHeight w:val="432"/>
        </w:trPr>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Sereda</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ind w:left="180"/>
              <w:spacing w:after="0" w:line="195" w:lineRule="exact"/>
              <w:rPr>
                <w:sz w:val="20"/>
                <w:szCs w:val="20"/>
                <w:color w:val="auto"/>
              </w:rPr>
            </w:pPr>
            <w:r>
              <w:rPr>
                <w:rFonts w:ascii="Arial" w:cs="Arial" w:eastAsia="Arial" w:hAnsi="Arial"/>
                <w:sz w:val="18"/>
                <w:szCs w:val="18"/>
                <w:color w:val="auto"/>
              </w:rPr>
              <w:t>Brian Sereda</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180"/>
              <w:spacing w:after="0"/>
              <w:rPr>
                <w:sz w:val="20"/>
                <w:szCs w:val="20"/>
                <w:color w:val="auto"/>
              </w:rPr>
            </w:pPr>
            <w:r>
              <w:rPr>
                <w:rFonts w:ascii="Arial" w:cs="Arial" w:eastAsia="Arial" w:hAnsi="Arial"/>
                <w:sz w:val="18"/>
                <w:szCs w:val="18"/>
                <w:color w:val="auto"/>
                <w:w w:val="95"/>
              </w:rPr>
              <w:t>Senior Vice President, Chief Financial Officer and an officer of</w:t>
            </w:r>
          </w:p>
        </w:tc>
      </w:tr>
      <w:tr>
        <w:trPr>
          <w:trHeight w:val="216"/>
        </w:trPr>
        <w:tc>
          <w:tcPr>
            <w:tcW w:w="66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the Office of the Chief Executive Officer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180"/>
              <w:spacing w:after="0"/>
              <w:rPr>
                <w:sz w:val="20"/>
                <w:szCs w:val="20"/>
                <w:color w:val="auto"/>
              </w:rPr>
            </w:pPr>
            <w:r>
              <w:rPr>
                <w:rFonts w:ascii="Arial" w:cs="Arial" w:eastAsia="Arial" w:hAnsi="Arial"/>
                <w:sz w:val="18"/>
                <w:szCs w:val="18"/>
                <w:color w:val="auto"/>
              </w:rPr>
              <w:t>May 17, 2021</w:t>
            </w: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Neeraj Sahejpal</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Neeraj Sahejpal</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ind w:left="80"/>
              <w:spacing w:after="0"/>
              <w:rPr>
                <w:sz w:val="20"/>
                <w:szCs w:val="20"/>
                <w:color w:val="auto"/>
              </w:rPr>
            </w:pPr>
            <w:r>
              <w:rPr>
                <w:rFonts w:ascii="Arial" w:cs="Arial" w:eastAsia="Arial" w:hAnsi="Arial"/>
                <w:sz w:val="18"/>
                <w:szCs w:val="18"/>
                <w:color w:val="auto"/>
                <w:w w:val="91"/>
              </w:rPr>
              <w:t>Senior Vice President of Marketing and Strategy and an officer of</w:t>
            </w:r>
          </w:p>
        </w:tc>
      </w:tr>
      <w:tr>
        <w:trPr>
          <w:trHeight w:val="216"/>
        </w:trPr>
        <w:tc>
          <w:tcPr>
            <w:tcW w:w="58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Arial" w:cs="Arial" w:eastAsia="Arial" w:hAnsi="Arial"/>
                <w:sz w:val="18"/>
                <w:szCs w:val="18"/>
                <w:color w:val="auto"/>
              </w:rPr>
              <w:t>the Office of the Chief Executive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860" w:type="dxa"/>
            <w:vAlign w:val="bottom"/>
          </w:tcPr>
          <w:p>
            <w:pPr>
              <w:ind w:left="80"/>
              <w:spacing w:after="0"/>
              <w:rPr>
                <w:sz w:val="20"/>
                <w:szCs w:val="20"/>
                <w:color w:val="auto"/>
              </w:rPr>
            </w:pPr>
            <w:r>
              <w:rPr>
                <w:rFonts w:ascii="Arial" w:cs="Arial" w:eastAsia="Arial" w:hAnsi="Arial"/>
                <w:sz w:val="18"/>
                <w:szCs w:val="18"/>
                <w:color w:val="auto"/>
              </w:rPr>
              <w:t>May 17, 2021</w:t>
            </w:r>
          </w:p>
        </w:tc>
      </w:tr>
    </w:tbl>
    <w:p>
      <w:pPr>
        <w:spacing w:after="0" w:line="1" w:lineRule="exact"/>
        <w:rPr>
          <w:sz w:val="20"/>
          <w:szCs w:val="20"/>
          <w:color w:val="auto"/>
        </w:rPr>
      </w:pPr>
    </w:p>
    <w:sectPr>
      <w:pgSz w:w="11900" w:h="16838" w:orient="portrait"/>
      <w:cols w:equalWidth="0" w:num="2">
        <w:col w:w="5600" w:space="200"/>
        <w:col w:w="5440"/>
      </w:cols>
      <w:pgMar w:left="320" w:top="35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2021-05-18T00:05:57Z</dcterms:created>
  <dcterms:modified xsi:type="dcterms:W3CDTF">2021-05-18T00:05:57Z</dcterms:modified>
</cp:coreProperties>
</file>