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600"/>
        <w:ind w:left="0" w:right="0" w:hanging="0"/>
        <w:jc w:val="left"/>
        <w:rPr/>
      </w:pPr>
      <w:hyperlink w:anchor="TOC">
        <w:bookmarkStart w:id="0" w:name="watt-20240331x10q.htm"/>
        <w:bookmarkStart w:id="1" w:name="kswatt20240331x10q"/>
        <w:bookmarkEnd w:id="0"/>
        <w:bookmarkEnd w:id="1"/>
        <w:r>
          <w:rPr>
            <w:rStyle w:val="InternetLink"/>
            <w:rFonts w:ascii="Times New Roman;Times;serif" w:hAnsi="Times New Roman;Times;serif"/>
            <w:b w:val="false"/>
            <w:i w:val="false"/>
            <w:caps w:val="false"/>
            <w:smallCaps w:val="false"/>
            <w:sz w:val="20"/>
          </w:rPr>
          <w:t>Table of Contents</w:t>
        </w:r>
      </w:hyperlink>
    </w:p>
    <w:p>
      <w:pPr>
        <w:pStyle w:val="TextBody"/>
        <w:pBdr>
          <w:top w:val="single" w:sz="24" w:space="1" w:color="000000"/>
          <w:bottom w:val="single" w:sz="8" w:space="1" w:color="000000"/>
        </w:pBdr>
        <w:bidi w:val="0"/>
        <w:spacing w:before="0" w:after="0"/>
        <w:ind w:left="0" w:right="0" w:hanging="0"/>
        <w:jc w:val="left"/>
        <w:rPr/>
      </w:pPr>
      <w:r>
        <w:rPr/>
        <w:t>​</w:t>
      </w:r>
    </w:p>
    <w:p>
      <w:pPr>
        <w:pStyle w:val="TextBody"/>
        <w:bidi w:val="0"/>
        <w:spacing w:before="0" w:after="0"/>
        <w:ind w:left="0" w:right="0" w:hanging="0"/>
        <w:jc w:val="center"/>
        <w:rPr/>
      </w:pPr>
      <w:bookmarkStart w:id="2" w:name="_4a96d11d_4826_4725_a376_5adc81fad5cd"/>
      <w:bookmarkEnd w:id="2"/>
      <w:r>
        <w:rPr/>
        <w:t>​</w:t>
      </w:r>
    </w:p>
    <w:p>
      <w:pPr>
        <w:pStyle w:val="TextBody"/>
        <w:bidi w:val="0"/>
        <w:spacing w:before="0" w:after="0"/>
        <w:ind w:left="0" w:right="0" w:hanging="0"/>
        <w:jc w:val="center"/>
        <w:rPr>
          <w:rFonts w:ascii="Times New Roman;Times;serif" w:hAnsi="Times New Roman;Times;serif"/>
          <w:b/>
          <w:sz w:val="34"/>
        </w:rPr>
      </w:pPr>
      <w:r>
        <w:rPr>
          <w:rFonts w:ascii="Times New Roman;Times;serif" w:hAnsi="Times New Roman;Times;serif"/>
          <w:b/>
          <w:sz w:val="34"/>
        </w:rPr>
        <w:t>UNITED STATES</w:t>
      </w:r>
    </w:p>
    <w:p>
      <w:pPr>
        <w:pStyle w:val="TextBody"/>
        <w:bidi w:val="0"/>
        <w:spacing w:before="0" w:after="0"/>
        <w:ind w:left="0" w:right="0" w:hanging="0"/>
        <w:jc w:val="center"/>
        <w:rPr>
          <w:rFonts w:ascii="Times New Roman;Times;serif" w:hAnsi="Times New Roman;Times;serif"/>
          <w:b/>
          <w:sz w:val="34"/>
        </w:rPr>
      </w:pPr>
      <w:r>
        <w:rPr>
          <w:rFonts w:ascii="Times New Roman;Times;serif" w:hAnsi="Times New Roman;Times;serif"/>
          <w:b/>
          <w:sz w:val="34"/>
        </w:rPr>
        <w:t>SECURITIES AND EXCHANGE COMMISSION</w:t>
      </w:r>
    </w:p>
    <w:p>
      <w:pPr>
        <w:pStyle w:val="TextBody"/>
        <w:bidi w:val="0"/>
        <w:spacing w:before="0" w:after="140"/>
        <w:ind w:left="0" w:right="0" w:hanging="0"/>
        <w:jc w:val="center"/>
        <w:rPr>
          <w:rFonts w:ascii="Times New Roman;Times;serif" w:hAnsi="Times New Roman;Times;serif"/>
          <w:b/>
          <w:sz w:val="22"/>
        </w:rPr>
      </w:pPr>
      <w:r>
        <w:rPr>
          <w:rFonts w:ascii="Times New Roman;Times;serif" w:hAnsi="Times New Roman;Times;serif"/>
          <w:b/>
          <w:sz w:val="22"/>
        </w:rPr>
        <w:t>Washington, D.C. 20549</w:t>
      </w:r>
    </w:p>
    <w:p>
      <w:pPr>
        <w:pStyle w:val="TextBody"/>
        <w:bidi w:val="0"/>
        <w:spacing w:before="0" w:after="140"/>
        <w:ind w:left="0" w:right="0" w:hanging="0"/>
        <w:jc w:val="center"/>
        <w:rPr>
          <w:rFonts w:ascii="Times New Roman;Times;serif" w:hAnsi="Times New Roman;Times;serif"/>
          <w:b/>
          <w:sz w:val="34"/>
        </w:rPr>
      </w:pPr>
      <w:r>
        <w:rPr>
          <w:rFonts w:ascii="Times New Roman;Times;serif" w:hAnsi="Times New Roman;Times;serif"/>
          <w:b/>
          <w:sz w:val="34"/>
        </w:rPr>
        <w:t>FORM 10-Q</w:t>
      </w:r>
    </w:p>
    <w:p>
      <w:pPr>
        <w:pStyle w:val="TextBody"/>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(Mark One)</w:t>
      </w:r>
    </w:p>
    <w:p>
      <w:pPr>
        <w:pStyle w:val="Normal"/>
        <w:bidi w:val="0"/>
        <w:spacing w:before="0" w:after="0"/>
        <w:jc w:val="left"/>
        <w:rPr>
          <w:sz w:val="4"/>
          <w:szCs w:val="4"/>
        </w:rPr>
      </w:pPr>
      <w:r>
        <w:rPr>
          <w:sz w:val="4"/>
          <w:szCs w:val="4"/>
        </w:rPr>
      </w:r>
      <w:bookmarkStart w:id="3" w:name="Tc_TL7zL21luEW_WE64vWaa0Q_1_1"/>
      <w:bookmarkStart w:id="4" w:name="_007a1084_f453_40de_a1c1_d1ad9cac1790"/>
      <w:bookmarkStart w:id="5" w:name="Tc_TL7zL21luEW_WE64vWaa0Q_1_1"/>
      <w:bookmarkStart w:id="6" w:name="_007a1084_f453_40de_a1c1_d1ad9cac1790"/>
      <w:bookmarkEnd w:id="5"/>
      <w:bookmarkEnd w:id="6"/>
    </w:p>
    <w:tbl>
      <w:tblPr>
        <w:tblW w:w="10205" w:type="dxa"/>
        <w:jc w:val="left"/>
        <w:tblInd w:w="0" w:type="dxa"/>
        <w:tblLayout w:type="fixed"/>
        <w:tblCellMar>
          <w:top w:w="0" w:type="dxa"/>
          <w:left w:w="0" w:type="dxa"/>
          <w:bottom w:w="0" w:type="dxa"/>
          <w:right w:w="0" w:type="dxa"/>
        </w:tblCellMar>
      </w:tblPr>
      <w:tblGrid>
        <w:gridCol w:w="331"/>
        <w:gridCol w:w="9874"/>
      </w:tblGrid>
      <w:tr>
        <w:trPr/>
        <w:tc>
          <w:tcPr>
            <w:tcW w:w="3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210185" cy="175260"/>
                      <wp:effectExtent l="0" t="0" r="0" b="0"/>
                      <wp:wrapNone/>
                      <wp:docPr id="1" name="Frame1"/>
                      <a:graphic xmlns:a="http://schemas.openxmlformats.org/drawingml/2006/main">
                        <a:graphicData uri="http://schemas.microsoft.com/office/word/2010/wordprocessingShape">
                          <wps:wsp>
                            <wps:cNvSpPr txBox="1"/>
                            <wps:spPr>
                              <a:xfrm>
                                <a:off x="0" y="0"/>
                                <a:ext cx="210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87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269990" cy="175260"/>
                      <wp:effectExtent l="0" t="0" r="0" b="0"/>
                      <wp:wrapNone/>
                      <wp:docPr id="2" name="Frame2"/>
                      <a:graphic xmlns:a="http://schemas.openxmlformats.org/drawingml/2006/main">
                        <a:graphicData uri="http://schemas.microsoft.com/office/word/2010/wordprocessingShape">
                          <wps:wsp>
                            <wps:cNvSpPr txBox="1"/>
                            <wps:spPr>
                              <a:xfrm>
                                <a:off x="0" y="0"/>
                                <a:ext cx="62699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3.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31" w:type="dxa"/>
            <w:tcBorders/>
            <w:vAlign w:val="center"/>
          </w:tcPr>
          <w:p>
            <w:pPr>
              <w:pStyle w:val="TableContents"/>
              <w:bidi w:val="0"/>
              <w:spacing w:before="0" w:after="0"/>
              <w:ind w:left="0" w:right="0" w:hanging="0"/>
              <w:jc w:val="left"/>
              <w:rPr/>
            </w:pPr>
            <w:r>
              <w:rPr/>
              <w:t>☑</w:t>
            </w:r>
          </w:p>
        </w:tc>
        <w:tc>
          <w:tcPr>
            <w:tcW w:w="9874"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QUARTERLY REPORT PURSUANT TO SECTION 13 OR 15(d) OF THE SECURITIES EXCHANGE ACT OF 1934</w:t>
            </w:r>
          </w:p>
        </w:tc>
      </w:tr>
    </w:tbl>
    <w:p>
      <w:pPr>
        <w:pStyle w:val="TextBody"/>
        <w:bidi w:val="0"/>
        <w:spacing w:before="0" w:after="0"/>
        <w:ind w:left="0" w:right="0" w:hanging="0"/>
        <w:jc w:val="left"/>
        <w:rPr/>
      </w:pPr>
      <w:r>
        <w:rPr/>
        <w:t>​</w:t>
      </w:r>
    </w:p>
    <w:p>
      <w:pPr>
        <w:pStyle w:val="TextBody"/>
        <w:bidi w:val="0"/>
        <w:spacing w:before="0" w:after="140"/>
        <w:ind w:left="0" w:right="0" w:hanging="0"/>
        <w:jc w:val="center"/>
        <w:rPr>
          <w:rFonts w:ascii="Times New Roman;Times;serif" w:hAnsi="Times New Roman;Times;serif"/>
          <w:b/>
          <w:sz w:val="18"/>
        </w:rPr>
      </w:pPr>
      <w:r>
        <w:rPr>
          <w:rFonts w:ascii="Times New Roman;Times;serif" w:hAnsi="Times New Roman;Times;serif"/>
          <w:b/>
          <w:sz w:val="18"/>
        </w:rPr>
        <w:t>FOR THE QUARTERLY PERIOD ENDED MARCH 31, 2024</w:t>
      </w:r>
    </w:p>
    <w:p>
      <w:pPr>
        <w:pStyle w:val="TextBody"/>
        <w:bidi w:val="0"/>
        <w:spacing w:before="0" w:after="140"/>
        <w:ind w:left="0" w:right="0" w:hanging="0"/>
        <w:jc w:val="center"/>
        <w:rPr>
          <w:rFonts w:ascii="Times New Roman;Times;serif" w:hAnsi="Times New Roman;Times;serif"/>
          <w:b/>
          <w:sz w:val="18"/>
        </w:rPr>
      </w:pPr>
      <w:r>
        <w:rPr>
          <w:rFonts w:ascii="Times New Roman;Times;serif" w:hAnsi="Times New Roman;Times;serif"/>
          <w:b/>
          <w:sz w:val="18"/>
        </w:rPr>
        <w:t>OR</w:t>
      </w:r>
    </w:p>
    <w:p>
      <w:pPr>
        <w:pStyle w:val="Normal"/>
        <w:bidi w:val="0"/>
        <w:spacing w:before="0" w:after="0"/>
        <w:jc w:val="left"/>
        <w:rPr>
          <w:sz w:val="4"/>
          <w:szCs w:val="4"/>
        </w:rPr>
      </w:pPr>
      <w:r>
        <w:rPr>
          <w:sz w:val="4"/>
          <w:szCs w:val="4"/>
        </w:rPr>
      </w:r>
      <w:bookmarkStart w:id="7" w:name="Tc_R5m_nGAA9kC4j66fTJWENg_1_1"/>
      <w:bookmarkStart w:id="8" w:name="_b972f4ff_5743_4acf_8d33_d71b2b731219"/>
      <w:bookmarkStart w:id="9" w:name="Tc_R5m_nGAA9kC4j66fTJWENg_1_1"/>
      <w:bookmarkStart w:id="10" w:name="_b972f4ff_5743_4acf_8d33_d71b2b731219"/>
      <w:bookmarkEnd w:id="9"/>
      <w:bookmarkEnd w:id="10"/>
    </w:p>
    <w:tbl>
      <w:tblPr>
        <w:tblW w:w="10205" w:type="dxa"/>
        <w:jc w:val="left"/>
        <w:tblInd w:w="0" w:type="dxa"/>
        <w:tblLayout w:type="fixed"/>
        <w:tblCellMar>
          <w:top w:w="0" w:type="dxa"/>
          <w:left w:w="0" w:type="dxa"/>
          <w:bottom w:w="0" w:type="dxa"/>
          <w:right w:w="0" w:type="dxa"/>
        </w:tblCellMar>
      </w:tblPr>
      <w:tblGrid>
        <w:gridCol w:w="331"/>
        <w:gridCol w:w="9874"/>
      </w:tblGrid>
      <w:tr>
        <w:trPr/>
        <w:tc>
          <w:tcPr>
            <w:tcW w:w="3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210185" cy="175260"/>
                      <wp:effectExtent l="0" t="0" r="0" b="0"/>
                      <wp:wrapNone/>
                      <wp:docPr id="3" name="Frame3"/>
                      <a:graphic xmlns:a="http://schemas.openxmlformats.org/drawingml/2006/main">
                        <a:graphicData uri="http://schemas.microsoft.com/office/word/2010/wordprocessingShape">
                          <wps:wsp>
                            <wps:cNvSpPr txBox="1"/>
                            <wps:spPr>
                              <a:xfrm>
                                <a:off x="0" y="0"/>
                                <a:ext cx="210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87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269990" cy="175260"/>
                      <wp:effectExtent l="0" t="0" r="0" b="0"/>
                      <wp:wrapNone/>
                      <wp:docPr id="4" name="Frame4"/>
                      <a:graphic xmlns:a="http://schemas.openxmlformats.org/drawingml/2006/main">
                        <a:graphicData uri="http://schemas.microsoft.com/office/word/2010/wordprocessingShape">
                          <wps:wsp>
                            <wps:cNvSpPr txBox="1"/>
                            <wps:spPr>
                              <a:xfrm>
                                <a:off x="0" y="0"/>
                                <a:ext cx="62699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3.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31" w:type="dxa"/>
            <w:tcBorders/>
            <w:vAlign w:val="center"/>
          </w:tcPr>
          <w:p>
            <w:pPr>
              <w:pStyle w:val="TableContents"/>
              <w:bidi w:val="0"/>
              <w:spacing w:before="0" w:after="0"/>
              <w:ind w:left="0" w:right="0" w:hanging="0"/>
              <w:jc w:val="left"/>
              <w:rPr/>
            </w:pPr>
            <w:r>
              <w:rPr/>
              <w:t>☐</w:t>
            </w:r>
          </w:p>
        </w:tc>
        <w:tc>
          <w:tcPr>
            <w:tcW w:w="9874"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TRANSITION REPORT PURSUANT TO SECTION 13 OR 15(d) OF THE SECURITIES EXCHANGE ACT OF 1934</w:t>
            </w:r>
          </w:p>
        </w:tc>
      </w:tr>
    </w:tbl>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COMMISSION FILE NUMBER 001-36379</w:t>
      </w:r>
    </w:p>
    <w:p>
      <w:pPr>
        <w:pStyle w:val="TextBody"/>
        <w:bidi w:val="0"/>
        <w:spacing w:before="0" w:after="0"/>
        <w:ind w:left="0" w:right="0" w:hanging="0"/>
        <w:jc w:val="center"/>
        <w:rPr>
          <w:rFonts w:ascii="Times New Roman;Times;serif" w:hAnsi="Times New Roman;Times;serif"/>
          <w:b/>
          <w:sz w:val="46"/>
        </w:rPr>
      </w:pPr>
      <w:r>
        <w:rPr>
          <w:rFonts w:ascii="Times New Roman;Times;serif" w:hAnsi="Times New Roman;Times;serif"/>
          <w:b/>
          <w:sz w:val="46"/>
        </w:rPr>
        <w:t>ENERGOUS CORPORATION</w:t>
      </w:r>
    </w:p>
    <w:p>
      <w:pPr>
        <w:pStyle w:val="TextBody"/>
        <w:bidi w:val="0"/>
        <w:spacing w:before="0" w:after="140"/>
        <w:ind w:left="0" w:right="0" w:hanging="0"/>
        <w:jc w:val="center"/>
        <w:rPr>
          <w:rFonts w:ascii="Times New Roman;Times;serif" w:hAnsi="Times New Roman;Times;serif"/>
          <w:i/>
          <w:sz w:val="18"/>
        </w:rPr>
      </w:pPr>
      <w:r>
        <w:rPr>
          <w:rFonts w:ascii="Times New Roman;Times;serif" w:hAnsi="Times New Roman;Times;serif"/>
          <w:i/>
          <w:sz w:val="18"/>
        </w:rPr>
        <w:t>(Exact name of registrant as specified in its charter)</w:t>
      </w:r>
    </w:p>
    <w:p>
      <w:pPr>
        <w:pStyle w:val="Normal"/>
        <w:bidi w:val="0"/>
        <w:spacing w:before="0" w:after="0"/>
        <w:jc w:val="left"/>
        <w:rPr>
          <w:sz w:val="4"/>
          <w:szCs w:val="4"/>
        </w:rPr>
      </w:pPr>
      <w:r>
        <w:rPr>
          <w:sz w:val="4"/>
          <w:szCs w:val="4"/>
        </w:rPr>
      </w:r>
      <w:bookmarkStart w:id="11" w:name="Tc_WlVYKKnXgEuDh1ftQ_n28A_2_2"/>
      <w:bookmarkStart w:id="12" w:name="Tc_6eUBpJkE0UKH0abHMB779Q_2_0"/>
      <w:bookmarkStart w:id="13" w:name="_719d9bd9_da18_4a41_9310_34351f1d08cb"/>
      <w:bookmarkStart w:id="14" w:name="Tc_WlVYKKnXgEuDh1ftQ_n28A_2_2"/>
      <w:bookmarkStart w:id="15" w:name="Tc_6eUBpJkE0UKH0abHMB779Q_2_0"/>
      <w:bookmarkStart w:id="16" w:name="_719d9bd9_da18_4a41_9310_34351f1d08cb"/>
      <w:bookmarkEnd w:id="14"/>
      <w:bookmarkEnd w:id="15"/>
      <w:bookmarkEnd w:id="16"/>
    </w:p>
    <w:tbl>
      <w:tblPr>
        <w:tblW w:w="4798" w:type="dxa"/>
        <w:jc w:val="left"/>
        <w:tblInd w:w="0" w:type="dxa"/>
        <w:tblLayout w:type="fixed"/>
        <w:tblCellMar>
          <w:top w:w="0" w:type="dxa"/>
          <w:left w:w="0" w:type="dxa"/>
          <w:bottom w:w="0" w:type="dxa"/>
          <w:right w:w="0" w:type="dxa"/>
        </w:tblCellMar>
      </w:tblPr>
      <w:tblGrid>
        <w:gridCol w:w="1801"/>
        <w:gridCol w:w="326"/>
        <w:gridCol w:w="2671"/>
      </w:tblGrid>
      <w:tr>
        <w:trPr/>
        <w:tc>
          <w:tcPr>
            <w:tcW w:w="18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1143635" cy="175260"/>
                      <wp:effectExtent l="0" t="0" r="0" b="0"/>
                      <wp:wrapNone/>
                      <wp:docPr id="5" name="Frame5"/>
                      <a:graphic xmlns:a="http://schemas.openxmlformats.org/drawingml/2006/main">
                        <a:graphicData uri="http://schemas.microsoft.com/office/word/2010/wordprocessingShape">
                          <wps:wsp>
                            <wps:cNvSpPr txBox="1"/>
                            <wps:spPr>
                              <a:xfrm>
                                <a:off x="0" y="0"/>
                                <a:ext cx="11436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0"/>
              <w:ind w:left="0" w:right="0" w:hanging="0"/>
              <w:jc w:val="left"/>
              <w:rPr/>
            </w:pPr>
            <w:r>
              <w:rPr/>
              <w:t>​</w:t>
            </w:r>
          </w:p>
        </w:tc>
        <w:tc>
          <w:tcPr>
            <w:tcW w:w="26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1696085" cy="175260"/>
                      <wp:effectExtent l="0" t="0" r="0" b="0"/>
                      <wp:wrapNone/>
                      <wp:docPr id="6" name="Frame6"/>
                      <a:graphic xmlns:a="http://schemas.openxmlformats.org/drawingml/2006/main">
                        <a:graphicData uri="http://schemas.microsoft.com/office/word/2010/wordprocessingShape">
                          <wps:wsp>
                            <wps:cNvSpPr txBox="1"/>
                            <wps:spPr>
                              <a:xfrm>
                                <a:off x="0" y="0"/>
                                <a:ext cx="16960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801" w:type="dxa"/>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Delaware</w:t>
            </w:r>
          </w:p>
        </w:tc>
        <w:tc>
          <w:tcPr>
            <w:tcW w:w="326" w:type="dxa"/>
            <w:tcBorders/>
            <w:vAlign w:val="center"/>
          </w:tcPr>
          <w:p>
            <w:pPr>
              <w:pStyle w:val="TableContents"/>
              <w:bidi w:val="0"/>
              <w:spacing w:before="0" w:after="0"/>
              <w:ind w:left="0" w:right="0" w:hanging="0"/>
              <w:jc w:val="center"/>
              <w:rPr/>
            </w:pPr>
            <w:r>
              <w:rPr/>
              <w:t>    </w:t>
            </w:r>
          </w:p>
        </w:tc>
        <w:tc>
          <w:tcPr>
            <w:tcW w:w="2671" w:type="dxa"/>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46-1318953</w:t>
            </w:r>
          </w:p>
        </w:tc>
      </w:tr>
      <w:tr>
        <w:trPr/>
        <w:tc>
          <w:tcPr>
            <w:tcW w:w="1801" w:type="dxa"/>
            <w:tcBorders/>
            <w:vAlign w:val="center"/>
          </w:tcPr>
          <w:p>
            <w:pPr>
              <w:pStyle w:val="TableContents"/>
              <w:bidi w:val="0"/>
              <w:spacing w:before="0" w:after="0"/>
              <w:ind w:left="0" w:right="0" w:hanging="0"/>
              <w:jc w:val="center"/>
              <w:rPr>
                <w:rFonts w:ascii="Times New Roman;Times;serif" w:hAnsi="Times New Roman;Times;serif"/>
                <w:i/>
                <w:sz w:val="18"/>
              </w:rPr>
            </w:pPr>
            <w:r>
              <w:rPr>
                <w:rFonts w:ascii="Times New Roman;Times;serif" w:hAnsi="Times New Roman;Times;serif"/>
                <w:i/>
                <w:sz w:val="18"/>
              </w:rPr>
              <w:t>(State of incorporation)</w:t>
            </w:r>
          </w:p>
        </w:tc>
        <w:tc>
          <w:tcPr>
            <w:tcW w:w="326" w:type="dxa"/>
            <w:tcBorders/>
            <w:vAlign w:val="center"/>
          </w:tcPr>
          <w:p>
            <w:pPr>
              <w:pStyle w:val="TableContents"/>
              <w:bidi w:val="0"/>
              <w:spacing w:before="0" w:after="240"/>
              <w:ind w:left="0" w:right="0" w:hanging="0"/>
              <w:jc w:val="center"/>
              <w:rPr/>
            </w:pPr>
            <w:r>
              <w:rPr/>
              <w:t>​</w:t>
            </w:r>
          </w:p>
        </w:tc>
        <w:tc>
          <w:tcPr>
            <w:tcW w:w="2671" w:type="dxa"/>
            <w:tcBorders/>
            <w:vAlign w:val="center"/>
          </w:tcPr>
          <w:p>
            <w:pPr>
              <w:pStyle w:val="TableContents"/>
              <w:bidi w:val="0"/>
              <w:spacing w:before="0" w:after="0"/>
              <w:ind w:left="0" w:right="0" w:hanging="0"/>
              <w:jc w:val="center"/>
              <w:rPr>
                <w:rFonts w:ascii="Times New Roman;Times;serif" w:hAnsi="Times New Roman;Times;serif"/>
                <w:i/>
                <w:sz w:val="18"/>
              </w:rPr>
            </w:pPr>
            <w:r>
              <w:rPr>
                <w:rFonts w:ascii="Times New Roman;Times;serif" w:hAnsi="Times New Roman;Times;serif"/>
                <w:i/>
                <w:sz w:val="18"/>
              </w:rPr>
              <w:t>(I.R.S. Employer Identification No.)</w:t>
            </w:r>
          </w:p>
        </w:tc>
      </w:tr>
    </w:tbl>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b/>
          <w:sz w:val="18"/>
        </w:rPr>
        <w:t>3590 North First Street, Suite 210, San Jose, CA</w:t>
      </w:r>
      <w:r>
        <w:rPr>
          <w:rFonts w:ascii="Times New Roman;Times;serif" w:hAnsi="Times New Roman;Times;serif"/>
          <w:sz w:val="20"/>
        </w:rPr>
        <w:t xml:space="preserve"> </w:t>
      </w:r>
      <w:r>
        <w:rPr>
          <w:rFonts w:ascii="Times New Roman;Times;serif" w:hAnsi="Times New Roman;Times;serif"/>
          <w:b/>
          <w:sz w:val="18"/>
        </w:rPr>
        <w:t>95134</w:t>
      </w:r>
    </w:p>
    <w:p>
      <w:pPr>
        <w:pStyle w:val="TextBody"/>
        <w:bidi w:val="0"/>
        <w:spacing w:before="0" w:after="140"/>
        <w:ind w:left="0" w:right="0" w:hanging="0"/>
        <w:jc w:val="center"/>
        <w:rPr>
          <w:rFonts w:ascii="Times New Roman;Times;serif" w:hAnsi="Times New Roman;Times;serif"/>
          <w:sz w:val="14"/>
        </w:rPr>
      </w:pPr>
      <w:r>
        <w:rPr>
          <w:rFonts w:ascii="Times New Roman;Times;serif" w:hAnsi="Times New Roman;Times;serif"/>
          <w:i/>
          <w:sz w:val="14"/>
        </w:rPr>
        <w:t>(Address of principal executive office)</w:t>
      </w:r>
      <w:r>
        <w:rPr>
          <w:rFonts w:ascii="Times New Roman;Times;serif" w:hAnsi="Times New Roman;Times;serif"/>
          <w:sz w:val="14"/>
        </w:rPr>
        <w:t xml:space="preserve"> (Zip code)</w:t>
      </w:r>
    </w:p>
    <w:p>
      <w:pPr>
        <w:pStyle w:val="TextBody"/>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(408) 963-0200</w:t>
      </w:r>
    </w:p>
    <w:p>
      <w:pPr>
        <w:pStyle w:val="TextBody"/>
        <w:bidi w:val="0"/>
        <w:spacing w:before="0" w:after="140"/>
        <w:ind w:left="0" w:right="0" w:hanging="0"/>
        <w:jc w:val="center"/>
        <w:rPr>
          <w:rFonts w:ascii="Times New Roman;Times;serif" w:hAnsi="Times New Roman;Times;serif"/>
          <w:i/>
          <w:sz w:val="14"/>
        </w:rPr>
      </w:pPr>
      <w:r>
        <w:rPr>
          <w:rFonts w:ascii="Times New Roman;Times;serif" w:hAnsi="Times New Roman;Times;serif"/>
          <w:i/>
          <w:sz w:val="14"/>
        </w:rPr>
        <w:t>(Registrant’s telephone number, including area code)</w:t>
      </w:r>
    </w:p>
    <w:p>
      <w:pPr>
        <w:pStyle w:val="TextBody"/>
        <w:bidi w:val="0"/>
        <w:spacing w:before="0" w:after="140"/>
        <w:ind w:left="0" w:right="0" w:firstLine="360"/>
        <w:jc w:val="left"/>
        <w:rPr>
          <w:rFonts w:ascii="Times New Roman;Times;serif" w:hAnsi="Times New Roman;Times;serif"/>
          <w:sz w:val="18"/>
        </w:rPr>
      </w:pPr>
      <w:r>
        <w:rPr>
          <w:rFonts w:ascii="Times New Roman;Times;serif" w:hAnsi="Times New Roman;Times;serif"/>
          <w:sz w:val="18"/>
        </w:rPr>
        <w:t>Securities registered pursuant to Section 12(b) of the Act:</w:t>
      </w:r>
    </w:p>
    <w:p>
      <w:pPr>
        <w:pStyle w:val="Normal"/>
        <w:bidi w:val="0"/>
        <w:spacing w:before="0" w:after="0"/>
        <w:jc w:val="left"/>
        <w:rPr>
          <w:sz w:val="4"/>
          <w:szCs w:val="4"/>
        </w:rPr>
      </w:pPr>
      <w:r>
        <w:rPr>
          <w:sz w:val="4"/>
          <w:szCs w:val="4"/>
        </w:rPr>
      </w:r>
      <w:bookmarkStart w:id="17" w:name="Tc_NCC-MbP0QkGrc7T1HwHK0A_2_4"/>
      <w:bookmarkStart w:id="18" w:name="Tc_0cxvoodBCUyYYFwzH19jaA_1_4"/>
      <w:bookmarkStart w:id="19" w:name="Tc_0ul5Z49HrkCIbURZQUgkNw_1_2"/>
      <w:bookmarkStart w:id="20" w:name="Tc_EnMCAQTHnE-PcYXwGVe65w_1_0"/>
      <w:bookmarkStart w:id="21" w:name="_11ffea39_c669_46dd_aaed_3695c181ca14"/>
      <w:bookmarkStart w:id="22" w:name="Tc_NCC-MbP0QkGrc7T1HwHK0A_2_4"/>
      <w:bookmarkStart w:id="23" w:name="Tc_0cxvoodBCUyYYFwzH19jaA_1_4"/>
      <w:bookmarkStart w:id="24" w:name="Tc_0ul5Z49HrkCIbURZQUgkNw_1_2"/>
      <w:bookmarkStart w:id="25" w:name="Tc_EnMCAQTHnE-PcYXwGVe65w_1_0"/>
      <w:bookmarkStart w:id="26" w:name="_11ffea39_c669_46dd_aaed_3695c181ca14"/>
      <w:bookmarkEnd w:id="22"/>
      <w:bookmarkEnd w:id="23"/>
      <w:bookmarkEnd w:id="24"/>
      <w:bookmarkEnd w:id="25"/>
      <w:bookmarkEnd w:id="26"/>
    </w:p>
    <w:tbl>
      <w:tblPr>
        <w:tblW w:w="7705" w:type="dxa"/>
        <w:jc w:val="left"/>
        <w:tblInd w:w="0" w:type="dxa"/>
        <w:tblLayout w:type="fixed"/>
        <w:tblCellMar>
          <w:top w:w="0" w:type="dxa"/>
          <w:left w:w="0" w:type="dxa"/>
          <w:bottom w:w="0" w:type="dxa"/>
          <w:right w:w="0" w:type="dxa"/>
        </w:tblCellMar>
      </w:tblPr>
      <w:tblGrid>
        <w:gridCol w:w="2686"/>
        <w:gridCol w:w="326"/>
        <w:gridCol w:w="886"/>
        <w:gridCol w:w="326"/>
        <w:gridCol w:w="3481"/>
      </w:tblGrid>
      <w:tr>
        <w:trPr/>
        <w:tc>
          <w:tcPr>
            <w:tcW w:w="26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1705610" cy="29210"/>
                      <wp:effectExtent l="0" t="0" r="0" b="0"/>
                      <wp:wrapNone/>
                      <wp:docPr id="7" name="Frame7"/>
                      <a:graphic xmlns:a="http://schemas.openxmlformats.org/drawingml/2006/main">
                        <a:graphicData uri="http://schemas.microsoft.com/office/word/2010/wordprocessingShape">
                          <wps:wsp>
                            <wps:cNvSpPr txBox="1"/>
                            <wps:spPr>
                              <a:xfrm>
                                <a:off x="0" y="0"/>
                                <a:ext cx="170561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4.3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207010" cy="175260"/>
                      <wp:effectExtent l="0" t="0" r="0" b="0"/>
                      <wp:wrapNone/>
                      <wp:docPr id="8" name="Frame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562610" cy="29210"/>
                      <wp:effectExtent l="0" t="0" r="0" b="0"/>
                      <wp:wrapNone/>
                      <wp:docPr id="9" name="Frame9"/>
                      <a:graphic xmlns:a="http://schemas.openxmlformats.org/drawingml/2006/main">
                        <a:graphicData uri="http://schemas.microsoft.com/office/word/2010/wordprocessingShape">
                          <wps:wsp>
                            <wps:cNvSpPr txBox="1"/>
                            <wps:spPr>
                              <a:xfrm>
                                <a:off x="0" y="0"/>
                                <a:ext cx="56261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207010" cy="175260"/>
                      <wp:effectExtent l="0" t="0" r="0" b="0"/>
                      <wp:wrapNone/>
                      <wp:docPr id="10" name="Frame1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2210435" cy="29210"/>
                      <wp:effectExtent l="0" t="0" r="0" b="0"/>
                      <wp:wrapNone/>
                      <wp:docPr id="11" name="Frame11"/>
                      <a:graphic xmlns:a="http://schemas.openxmlformats.org/drawingml/2006/main">
                        <a:graphicData uri="http://schemas.microsoft.com/office/word/2010/wordprocessingShape">
                          <wps:wsp>
                            <wps:cNvSpPr txBox="1"/>
                            <wps:spPr>
                              <a:xfrm>
                                <a:off x="0" y="0"/>
                                <a:ext cx="221043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4.0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r>
      <w:tr>
        <w:trPr/>
        <w:tc>
          <w:tcPr>
            <w:tcW w:w="268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Title of each class</w:t>
            </w:r>
          </w:p>
        </w:tc>
        <w:tc>
          <w:tcPr>
            <w:tcW w:w="326" w:type="dxa"/>
            <w:tcBorders>
              <w:bottom w:val="single" w:sz="2" w:space="0" w:color="000000"/>
            </w:tcBorders>
            <w:tcMar>
              <w:bottom w:w="28" w:type="dxa"/>
            </w:tcMar>
            <w:vAlign w:val="center"/>
          </w:tcPr>
          <w:p>
            <w:pPr>
              <w:pStyle w:val="TableContents"/>
              <w:bidi w:val="0"/>
              <w:spacing w:before="0" w:after="0"/>
              <w:ind w:left="0" w:right="0" w:hanging="0"/>
              <w:jc w:val="center"/>
              <w:rPr/>
            </w:pPr>
            <w:r>
              <w:rPr/>
              <w:t>    </w:t>
            </w:r>
          </w:p>
        </w:tc>
        <w:tc>
          <w:tcPr>
            <w:tcW w:w="88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Trading</w:t>
              <w:br/>
              <w:t>Symbol(s)</w:t>
            </w:r>
          </w:p>
        </w:tc>
        <w:tc>
          <w:tcPr>
            <w:tcW w:w="326" w:type="dxa"/>
            <w:tcBorders>
              <w:bottom w:val="single" w:sz="2" w:space="0" w:color="000000"/>
            </w:tcBorders>
            <w:tcMar>
              <w:bottom w:w="28" w:type="dxa"/>
            </w:tcMar>
            <w:vAlign w:val="center"/>
          </w:tcPr>
          <w:p>
            <w:pPr>
              <w:pStyle w:val="TableContents"/>
              <w:bidi w:val="0"/>
              <w:spacing w:before="0" w:after="0"/>
              <w:ind w:left="0" w:right="0" w:hanging="0"/>
              <w:jc w:val="center"/>
              <w:rPr/>
            </w:pPr>
            <w:r>
              <w:rPr/>
              <w:t>    </w:t>
            </w:r>
          </w:p>
        </w:tc>
        <w:tc>
          <w:tcPr>
            <w:tcW w:w="348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Name of each exchange on which registered</w:t>
            </w:r>
          </w:p>
        </w:tc>
      </w:tr>
      <w:tr>
        <w:trPr/>
        <w:tc>
          <w:tcPr>
            <w:tcW w:w="2686" w:type="dxa"/>
            <w:tcBorders>
              <w:top w:val="single" w:sz="2" w:space="0" w:color="000000"/>
            </w:tcBorders>
            <w:tcMar>
              <w:top w:w="28" w:type="dxa"/>
            </w:tcM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Common Stock, $0.00001 par value</w:t>
            </w:r>
          </w:p>
        </w:tc>
        <w:tc>
          <w:tcPr>
            <w:tcW w:w="326" w:type="dxa"/>
            <w:tcBorders/>
            <w:vAlign w:val="center"/>
          </w:tcPr>
          <w:p>
            <w:pPr>
              <w:pStyle w:val="TableContents"/>
              <w:bidi w:val="0"/>
              <w:spacing w:before="0" w:after="240"/>
              <w:ind w:left="0" w:right="0" w:hanging="0"/>
              <w:jc w:val="center"/>
              <w:rPr/>
            </w:pPr>
            <w:r>
              <w:rPr/>
              <w:t>​</w:t>
            </w:r>
          </w:p>
        </w:tc>
        <w:tc>
          <w:tcPr>
            <w:tcW w:w="886" w:type="dxa"/>
            <w:tcBorders>
              <w:top w:val="single" w:sz="2" w:space="0" w:color="000000"/>
            </w:tcBorders>
            <w:tcMar>
              <w:top w:w="28" w:type="dxa"/>
            </w:tcM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WATT</w:t>
            </w:r>
          </w:p>
        </w:tc>
        <w:tc>
          <w:tcPr>
            <w:tcW w:w="326" w:type="dxa"/>
            <w:tcBorders/>
            <w:vAlign w:val="center"/>
          </w:tcPr>
          <w:p>
            <w:pPr>
              <w:pStyle w:val="TableContents"/>
              <w:bidi w:val="0"/>
              <w:spacing w:before="0" w:after="240"/>
              <w:ind w:left="0" w:right="0" w:hanging="0"/>
              <w:jc w:val="center"/>
              <w:rPr/>
            </w:pPr>
            <w:r>
              <w:rPr/>
              <w:t>​</w:t>
            </w:r>
          </w:p>
        </w:tc>
        <w:tc>
          <w:tcPr>
            <w:tcW w:w="3481" w:type="dxa"/>
            <w:tcBorders>
              <w:top w:val="single" w:sz="2" w:space="0" w:color="000000"/>
            </w:tcBorders>
            <w:tcMar>
              <w:top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18"/>
              </w:rPr>
              <w:t>The Nasdaq</w:t>
            </w:r>
            <w:r>
              <w:rPr>
                <w:rFonts w:ascii="Times New Roman;Times;serif" w:hAnsi="Times New Roman;Times;serif"/>
                <w:sz w:val="20"/>
              </w:rPr>
              <w:t xml:space="preserve"> </w:t>
            </w:r>
            <w:r>
              <w:rPr>
                <w:rFonts w:ascii="Times New Roman;Times;serif" w:hAnsi="Times New Roman;Times;serif"/>
                <w:sz w:val="18"/>
              </w:rPr>
              <w:t>Stock Market</w:t>
            </w:r>
          </w:p>
        </w:tc>
      </w:tr>
    </w:tbl>
    <w:p>
      <w:pPr>
        <w:pStyle w:val="TextBody"/>
        <w:bidi w:val="0"/>
        <w:spacing w:before="0" w:after="0"/>
        <w:ind w:left="0" w:right="0" w:hanging="0"/>
        <w:jc w:val="left"/>
        <w:rPr/>
      </w:pPr>
      <w:r>
        <w:rPr/>
        <w:t>​</w:t>
      </w:r>
    </w:p>
    <w:p>
      <w:pPr>
        <w:pStyle w:val="TextBody"/>
        <w:bidi w:val="0"/>
        <w:spacing w:before="0" w:after="140"/>
        <w:ind w:left="0" w:right="0" w:firstLine="360"/>
        <w:jc w:val="left"/>
        <w:rPr>
          <w:rFonts w:ascii="Times New Roman;Times;serif" w:hAnsi="Times New Roman;Times;serif"/>
          <w:sz w:val="20"/>
        </w:rPr>
      </w:pPr>
      <w:r>
        <w:rPr>
          <w:rFonts w:ascii="Times New Roman;Times;serif" w:hAnsi="Times New Roman;Times;serif"/>
          <w:sz w:val="18"/>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w:t>
      </w:r>
      <w:r>
        <w:rPr>
          <w:rFonts w:ascii="Times New Roman;Times;serif" w:hAnsi="Times New Roman;Times;serif"/>
          <w:sz w:val="20"/>
        </w:rPr>
        <w:t xml:space="preserve"> ☑   </w:t>
      </w:r>
      <w:r>
        <w:rPr>
          <w:rFonts w:ascii="Times New Roman;Times;serif" w:hAnsi="Times New Roman;Times;serif"/>
          <w:sz w:val="18"/>
        </w:rPr>
        <w:t>No </w:t>
      </w:r>
      <w:r>
        <w:rPr>
          <w:rFonts w:ascii="Times New Roman;Times;serif" w:hAnsi="Times New Roman;Times;serif"/>
          <w:sz w:val="20"/>
        </w:rPr>
        <w:t>☐</w:t>
      </w:r>
    </w:p>
    <w:p>
      <w:pPr>
        <w:pStyle w:val="TextBody"/>
        <w:bidi w:val="0"/>
        <w:spacing w:before="0" w:after="140"/>
        <w:ind w:left="0" w:right="0" w:firstLine="360"/>
        <w:jc w:val="left"/>
        <w:rPr>
          <w:rFonts w:ascii="Times New Roman;Times;serif" w:hAnsi="Times New Roman;Times;serif"/>
          <w:sz w:val="20"/>
        </w:rPr>
      </w:pPr>
      <w:r>
        <w:rPr>
          <w:rFonts w:ascii="Times New Roman;Times;serif" w:hAnsi="Times New Roman;Times;serif"/>
          <w:sz w:val="18"/>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w:t>
      </w:r>
      <w:r>
        <w:rPr>
          <w:rFonts w:ascii="Times New Roman;Times;serif" w:hAnsi="Times New Roman;Times;serif"/>
          <w:sz w:val="20"/>
        </w:rPr>
        <w:t xml:space="preserve"> ☑   </w:t>
      </w:r>
      <w:r>
        <w:rPr>
          <w:rFonts w:ascii="Times New Roman;Times;serif" w:hAnsi="Times New Roman;Times;serif"/>
          <w:sz w:val="18"/>
        </w:rPr>
        <w:t>No </w:t>
      </w:r>
      <w:r>
        <w:rPr>
          <w:rFonts w:ascii="Times New Roman;Times;serif" w:hAnsi="Times New Roman;Times;serif"/>
          <w:sz w:val="20"/>
        </w:rPr>
        <w:t>☐</w:t>
      </w:r>
    </w:p>
    <w:p>
      <w:pPr>
        <w:pStyle w:val="TextBody"/>
        <w:bidi w:val="0"/>
        <w:spacing w:before="0" w:after="140"/>
        <w:ind w:left="0" w:right="0" w:firstLine="360"/>
        <w:jc w:val="left"/>
        <w:rPr>
          <w:rFonts w:ascii="Times New Roman;Times;serif" w:hAnsi="Times New Roman;Times;serif"/>
          <w:sz w:val="18"/>
        </w:rPr>
      </w:pPr>
      <w:r>
        <w:rPr>
          <w:rFonts w:ascii="Times New Roman;Times;serif" w:hAnsi="Times New Roman;Times;serif"/>
          <w:sz w:val="18"/>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Normal"/>
        <w:bidi w:val="0"/>
        <w:spacing w:before="0" w:after="0"/>
        <w:jc w:val="left"/>
        <w:rPr>
          <w:sz w:val="4"/>
          <w:szCs w:val="4"/>
        </w:rPr>
      </w:pPr>
      <w:r>
        <w:rPr>
          <w:sz w:val="4"/>
          <w:szCs w:val="4"/>
        </w:rPr>
      </w:r>
      <w:bookmarkStart w:id="27" w:name="Tc_CT6OuRnL9kSttLS3m88Fiw_3_0"/>
      <w:bookmarkStart w:id="28" w:name="Tc_6o7Tvn0vUkex839rYiT2NA_2_3"/>
      <w:bookmarkStart w:id="29" w:name="Tc__7oIxOH3skaAnk7msvn2dA_2_1"/>
      <w:bookmarkStart w:id="30" w:name="Tc_Z1DraJmLV06Q_ngZVpeyxA_1_4"/>
      <w:bookmarkStart w:id="31" w:name="Tc_y4zflhfrDEWxKD0GBBmZQA_1_3"/>
      <w:bookmarkStart w:id="32" w:name="Tc_5rsLfrhK-0Gj3N198d56GQ_1_1"/>
      <w:bookmarkStart w:id="33" w:name="Tc_EX7N5s4EfkqdOHVEhAuvCg_1_0"/>
      <w:bookmarkStart w:id="34" w:name="_93cba069_cfc4_4a43_9192_209e22f6c271"/>
      <w:bookmarkStart w:id="35" w:name="Tc_CT6OuRnL9kSttLS3m88Fiw_3_0"/>
      <w:bookmarkStart w:id="36" w:name="Tc_6o7Tvn0vUkex839rYiT2NA_2_3"/>
      <w:bookmarkStart w:id="37" w:name="Tc__7oIxOH3skaAnk7msvn2dA_2_1"/>
      <w:bookmarkStart w:id="38" w:name="Tc_Z1DraJmLV06Q_ngZVpeyxA_1_4"/>
      <w:bookmarkStart w:id="39" w:name="Tc_y4zflhfrDEWxKD0GBBmZQA_1_3"/>
      <w:bookmarkStart w:id="40" w:name="Tc_5rsLfrhK-0Gj3N198d56GQ_1_1"/>
      <w:bookmarkStart w:id="41" w:name="Tc_EX7N5s4EfkqdOHVEhAuvCg_1_0"/>
      <w:bookmarkStart w:id="42" w:name="_93cba069_cfc4_4a43_9192_209e22f6c271"/>
      <w:bookmarkEnd w:id="35"/>
      <w:bookmarkEnd w:id="36"/>
      <w:bookmarkEnd w:id="37"/>
      <w:bookmarkEnd w:id="38"/>
      <w:bookmarkEnd w:id="39"/>
      <w:bookmarkEnd w:id="40"/>
      <w:bookmarkEnd w:id="41"/>
      <w:bookmarkEnd w:id="42"/>
    </w:p>
    <w:tbl>
      <w:tblPr>
        <w:tblW w:w="4868" w:type="dxa"/>
        <w:jc w:val="left"/>
        <w:tblInd w:w="0" w:type="dxa"/>
        <w:tblLayout w:type="fixed"/>
        <w:tblCellMar>
          <w:top w:w="0" w:type="dxa"/>
          <w:left w:w="0" w:type="dxa"/>
          <w:bottom w:w="0" w:type="dxa"/>
          <w:right w:w="0" w:type="dxa"/>
        </w:tblCellMar>
      </w:tblPr>
      <w:tblGrid>
        <w:gridCol w:w="2056"/>
        <w:gridCol w:w="316"/>
        <w:gridCol w:w="109"/>
        <w:gridCol w:w="2026"/>
        <w:gridCol w:w="361"/>
      </w:tblGrid>
      <w:tr>
        <w:trPr/>
        <w:tc>
          <w:tcPr>
            <w:tcW w:w="2056" w:type="dxa"/>
            <w:tcBorders/>
            <w:vAlign w:val="center"/>
          </w:tcPr>
          <w:p>
            <w:pPr>
              <w:pStyle w:val="TableContents"/>
              <w:bidi w:val="0"/>
              <w:spacing w:before="0" w:after="0"/>
              <w:ind w:left="0" w:right="0" w:hanging="0"/>
              <w:jc w:val="left"/>
              <w:rPr/>
            </w:pPr>
            <w:r>
              <w:rPr/>
              <w:t>​</w:t>
            </w:r>
          </w:p>
        </w:tc>
        <w:tc>
          <w:tcPr>
            <w:tcW w:w="31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026" w:type="dxa"/>
            <w:tcBorders/>
            <w:vAlign w:val="center"/>
          </w:tcPr>
          <w:p>
            <w:pPr>
              <w:pStyle w:val="TableContents"/>
              <w:bidi w:val="0"/>
              <w:spacing w:before="0" w:after="0"/>
              <w:ind w:left="0" w:right="0" w:hanging="0"/>
              <w:jc w:val="left"/>
              <w:rPr/>
            </w:pPr>
            <w:r>
              <w:rPr/>
              <w:t>​</w:t>
            </w:r>
          </w:p>
        </w:tc>
        <w:tc>
          <w:tcPr>
            <w:tcW w:w="361" w:type="dxa"/>
            <w:tcBorders/>
            <w:vAlign w:val="center"/>
          </w:tcPr>
          <w:p>
            <w:pPr>
              <w:pStyle w:val="TableContents"/>
              <w:bidi w:val="0"/>
              <w:spacing w:before="0" w:after="0"/>
              <w:ind w:left="0" w:right="0" w:hanging="0"/>
              <w:jc w:val="left"/>
              <w:rPr/>
            </w:pPr>
            <w:r>
              <w:rPr/>
              <w:t>​</w:t>
            </w:r>
          </w:p>
        </w:tc>
      </w:tr>
      <w:tr>
        <w:trPr/>
        <w:tc>
          <w:tcPr>
            <w:tcW w:w="205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Large accelerated filer</w:t>
            </w:r>
          </w:p>
        </w:tc>
        <w:tc>
          <w:tcPr>
            <w:tcW w:w="31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240"/>
              <w:ind w:left="0" w:right="0" w:hanging="0"/>
              <w:jc w:val="left"/>
              <w:rPr/>
            </w:pPr>
            <w:r>
              <w:rPr/>
              <w:t>​</w:t>
            </w:r>
          </w:p>
        </w:tc>
        <w:tc>
          <w:tcPr>
            <w:tcW w:w="202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Accelerated filer</w:t>
            </w:r>
          </w:p>
        </w:tc>
        <w:tc>
          <w:tcPr>
            <w:tcW w:w="361" w:type="dxa"/>
            <w:tcBorders/>
            <w:vAlign w:val="center"/>
          </w:tcPr>
          <w:p>
            <w:pPr>
              <w:pStyle w:val="TableContents"/>
              <w:bidi w:val="0"/>
              <w:spacing w:before="0" w:after="0"/>
              <w:ind w:left="0" w:right="0" w:hanging="0"/>
              <w:jc w:val="left"/>
              <w:rPr/>
            </w:pPr>
            <w:r>
              <w:rPr/>
              <w:t>☐</w:t>
            </w:r>
          </w:p>
        </w:tc>
      </w:tr>
      <w:tr>
        <w:trPr/>
        <w:tc>
          <w:tcPr>
            <w:tcW w:w="205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Non-accelerated filer</w:t>
            </w:r>
          </w:p>
        </w:tc>
        <w:tc>
          <w:tcPr>
            <w:tcW w:w="31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240"/>
              <w:ind w:left="0" w:right="0" w:hanging="0"/>
              <w:jc w:val="left"/>
              <w:rPr/>
            </w:pPr>
            <w:r>
              <w:rPr/>
              <w:t>​</w:t>
            </w:r>
          </w:p>
        </w:tc>
        <w:tc>
          <w:tcPr>
            <w:tcW w:w="202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Smaller reporting company</w:t>
            </w:r>
          </w:p>
        </w:tc>
        <w:tc>
          <w:tcPr>
            <w:tcW w:w="361" w:type="dxa"/>
            <w:tcBorders/>
            <w:vAlign w:val="center"/>
          </w:tcPr>
          <w:p>
            <w:pPr>
              <w:pStyle w:val="TableContents"/>
              <w:bidi w:val="0"/>
              <w:spacing w:before="0" w:after="0"/>
              <w:ind w:left="0" w:right="0" w:hanging="0"/>
              <w:jc w:val="left"/>
              <w:rPr/>
            </w:pPr>
            <w:r>
              <w:rPr/>
              <w:t>☑</w:t>
            </w:r>
          </w:p>
        </w:tc>
      </w:tr>
      <w:tr>
        <w:trPr/>
        <w:tc>
          <w:tcPr>
            <w:tcW w:w="205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Emerging growth company</w:t>
            </w:r>
          </w:p>
        </w:tc>
        <w:tc>
          <w:tcPr>
            <w:tcW w:w="31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240"/>
              <w:ind w:left="0" w:right="0" w:hanging="0"/>
              <w:jc w:val="left"/>
              <w:rPr/>
            </w:pPr>
            <w:r>
              <w:rPr/>
              <w:t>​</w:t>
            </w:r>
          </w:p>
        </w:tc>
        <w:tc>
          <w:tcPr>
            <w:tcW w:w="2026" w:type="dxa"/>
            <w:tcBorders/>
            <w:vAlign w:val="center"/>
          </w:tcPr>
          <w:p>
            <w:pPr>
              <w:pStyle w:val="TableContents"/>
              <w:bidi w:val="0"/>
              <w:spacing w:before="0" w:after="240"/>
              <w:ind w:left="0" w:right="0" w:hanging="0"/>
              <w:jc w:val="left"/>
              <w:rPr/>
            </w:pPr>
            <w:r>
              <w:rPr/>
              <w:t>​</w:t>
            </w:r>
          </w:p>
        </w:tc>
        <w:tc>
          <w:tcPr>
            <w:tcW w:w="361" w:type="dxa"/>
            <w:tcBorders/>
            <w:vAlign w:val="center"/>
          </w:tcPr>
          <w:p>
            <w:pPr>
              <w:pStyle w:val="TableContents"/>
              <w:bidi w:val="0"/>
              <w:spacing w:before="0" w:after="24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140"/>
        <w:ind w:left="0" w:right="0" w:firstLine="360"/>
        <w:jc w:val="left"/>
        <w:rPr>
          <w:rFonts w:ascii="Times New Roman;Times;serif" w:hAnsi="Times New Roman;Times;serif"/>
          <w:sz w:val="18"/>
        </w:rPr>
      </w:pPr>
      <w:r>
        <w:rPr>
          <w:rFonts w:ascii="Times New Roman;Times;serif" w:hAnsi="Times New Roman;Times;serif"/>
          <w:sz w:val="18"/>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140"/>
        <w:ind w:left="0" w:right="0" w:firstLine="360"/>
        <w:jc w:val="left"/>
        <w:rPr>
          <w:rFonts w:ascii="Times New Roman;Times;serif" w:hAnsi="Times New Roman;Times;serif"/>
          <w:sz w:val="20"/>
        </w:rPr>
      </w:pPr>
      <w:r>
        <w:rPr>
          <w:rFonts w:ascii="Times New Roman;Times;serif" w:hAnsi="Times New Roman;Times;serif"/>
          <w:sz w:val="18"/>
        </w:rPr>
        <w:t>Indicate by check mark whether the registrant is a shell company (as defined in Rule 12b-2 of the Exchange Act).    Yes </w:t>
      </w:r>
      <w:r>
        <w:rPr>
          <w:rFonts w:ascii="Times New Roman;Times;serif" w:hAnsi="Times New Roman;Times;serif"/>
          <w:sz w:val="20"/>
        </w:rPr>
        <w:t>☐          </w:t>
      </w:r>
      <w:r>
        <w:rPr>
          <w:rFonts w:ascii="Times New Roman;Times;serif" w:hAnsi="Times New Roman;Times;serif"/>
          <w:sz w:val="18"/>
        </w:rPr>
        <w:t>No </w:t>
      </w:r>
      <w:r>
        <w:rPr>
          <w:rFonts w:ascii="Times New Roman;Times;serif" w:hAnsi="Times New Roman;Times;serif"/>
          <w:sz w:val="20"/>
        </w:rPr>
        <w:t>☑</w:t>
      </w:r>
    </w:p>
    <w:p>
      <w:pPr>
        <w:pStyle w:val="TextBody"/>
        <w:bidi w:val="0"/>
        <w:spacing w:before="0" w:after="0"/>
        <w:ind w:left="0" w:right="0" w:firstLine="360"/>
        <w:jc w:val="left"/>
        <w:rPr>
          <w:rFonts w:ascii="Times New Roman;Times;serif" w:hAnsi="Times New Roman;Times;serif"/>
          <w:sz w:val="18"/>
        </w:rPr>
      </w:pPr>
      <w:r>
        <w:rPr>
          <w:rFonts w:ascii="Times New Roman;Times;serif" w:hAnsi="Times New Roman;Times;serif"/>
          <w:sz w:val="18"/>
        </w:rPr>
        <w:t>As of May 10, 2024, there were 6,538,240 shares of our Common Stock, par value $0.00001 per share, outstanding.</w:t>
      </w:r>
    </w:p>
    <w:p>
      <w:pPr>
        <w:pStyle w:val="TextBody"/>
        <w:bidi w:val="0"/>
        <w:spacing w:before="0" w:after="240"/>
        <w:ind w:left="0" w:right="0" w:firstLine="360"/>
        <w:jc w:val="left"/>
        <w:rPr/>
      </w:pPr>
      <w:r>
        <w:rPr/>
        <w:t>​</w:t>
      </w:r>
    </w:p>
    <w:p>
      <w:pPr>
        <w:pStyle w:val="TextBody"/>
        <w:pBdr>
          <w:top w:val="single" w:sz="8" w:space="1" w:color="000000"/>
          <w:bottom w:val="single" w:sz="24" w:space="1" w:color="000000"/>
        </w:pBdr>
        <w:bidi w:val="0"/>
        <w:spacing w:before="0" w:after="240"/>
        <w:ind w:left="0" w:right="0" w:firstLine="360"/>
        <w:jc w:val="left"/>
        <w:rPr/>
      </w:pPr>
      <w:r>
        <w:rPr/>
        <w:t>​</w:t>
      </w:r>
    </w:p>
    <w:p>
      <w:pPr>
        <w:pStyle w:val="TextBody"/>
        <w:bidi w:val="0"/>
        <w:spacing w:before="0" w:after="0"/>
        <w:ind w:left="0" w:right="0" w:hanging="0"/>
        <w:jc w:val="left"/>
        <w:rPr/>
      </w:pPr>
      <w:r>
        <w:rPr/>
        <w:t>​</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bookmarkStart w:id="43" w:name="_e35c3eab_f6f5_49fd_879a_3bb190df3752"/>
      <w:bookmarkEnd w:id="43"/>
      <w:r>
        <w:rPr>
          <w:rFonts w:ascii="Times New Roman;Times;serif" w:hAnsi="Times New Roman;Times;serif"/>
          <w:b/>
          <w:sz w:val="20"/>
        </w:rPr>
        <w:t>ENERGOUS CORPORATION</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FORM 10-Q</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FOR THE THREE MONTHS ENDED MARCH 31, 2024</w:t>
      </w:r>
    </w:p>
    <w:p>
      <w:pPr>
        <w:pStyle w:val="TextBody"/>
        <w:bidi w:val="0"/>
        <w:spacing w:before="0" w:after="0"/>
        <w:ind w:left="0" w:right="0" w:hanging="0"/>
        <w:jc w:val="center"/>
        <w:rPr>
          <w:rFonts w:ascii="Times New Roman;Times;serif" w:hAnsi="Times New Roman;Times;serif"/>
          <w:b/>
          <w:sz w:val="20"/>
        </w:rPr>
      </w:pPr>
      <w:bookmarkStart w:id="44" w:name="TOC"/>
      <w:bookmarkEnd w:id="44"/>
      <w:r>
        <w:rPr>
          <w:rFonts w:ascii="Times New Roman;Times;serif" w:hAnsi="Times New Roman;Times;serif"/>
          <w:b/>
          <w:sz w:val="20"/>
        </w:rPr>
        <w:t>INDEX</w:t>
      </w:r>
    </w:p>
    <w:p>
      <w:pPr>
        <w:pStyle w:val="TextBody"/>
        <w:bidi w:val="0"/>
        <w:spacing w:before="0" w:after="0"/>
        <w:ind w:left="0" w:right="0" w:hanging="0"/>
        <w:jc w:val="left"/>
        <w:rPr/>
      </w:pPr>
      <w:r>
        <w:rPr/>
        <w:t>​</w:t>
      </w:r>
    </w:p>
    <w:tbl>
      <w:tblPr>
        <w:tblW w:w="8342" w:type="dxa"/>
        <w:jc w:val="left"/>
        <w:tblInd w:w="0" w:type="dxa"/>
        <w:tblLayout w:type="fixed"/>
        <w:tblCellMar>
          <w:top w:w="0" w:type="dxa"/>
          <w:left w:w="0" w:type="dxa"/>
          <w:bottom w:w="0" w:type="dxa"/>
          <w:right w:w="0" w:type="dxa"/>
        </w:tblCellMar>
      </w:tblPr>
      <w:tblGrid>
        <w:gridCol w:w="7981"/>
        <w:gridCol w:w="361"/>
      </w:tblGrid>
      <w:tr>
        <w:trPr/>
        <w:tc>
          <w:tcPr>
            <w:tcW w:w="79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5067935" cy="175260"/>
                      <wp:effectExtent l="0" t="0" r="0" b="0"/>
                      <wp:wrapNone/>
                      <wp:docPr id="12" name="Frame12"/>
                      <a:graphic xmlns:a="http://schemas.openxmlformats.org/drawingml/2006/main">
                        <a:graphicData uri="http://schemas.microsoft.com/office/word/2010/wordprocessingShape">
                          <wps:wsp>
                            <wps:cNvSpPr txBox="1"/>
                            <wps:spPr>
                              <a:xfrm>
                                <a:off x="0" y="0"/>
                                <a:ext cx="5067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229235" cy="175260"/>
                      <wp:effectExtent l="0" t="0" r="0" b="0"/>
                      <wp:wrapNone/>
                      <wp:docPr id="13" name="Frame13"/>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7981" w:type="dxa"/>
            <w:tcBorders/>
            <w:vAlign w:val="center"/>
          </w:tcPr>
          <w:p>
            <w:pPr>
              <w:pStyle w:val="TableContents"/>
              <w:pBdr/>
              <w:bidi w:val="0"/>
              <w:spacing w:before="0" w:after="0"/>
              <w:ind w:left="0" w:right="0" w:hanging="0"/>
              <w:jc w:val="left"/>
              <w:rPr/>
            </w:pPr>
            <w:hyperlink w:anchor="PARTIFINANCIALINFORMATION_184948">
              <w:r>
                <w:rPr>
                  <w:rStyle w:val="InternetLink"/>
                  <w:rFonts w:ascii="Times New Roman;Times;serif" w:hAnsi="Times New Roman;Times;serif"/>
                  <w:b w:val="false"/>
                  <w:i w:val="false"/>
                  <w:caps w:val="false"/>
                  <w:smallCaps w:val="false"/>
                  <w:sz w:val="20"/>
                </w:rPr>
                <w:t>PART I - FINANCIAL INFORMATION</w:t>
              </w:r>
            </w:hyperlink>
          </w:p>
        </w:tc>
        <w:tc>
          <w:tcPr>
            <w:tcW w:w="3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w:t>
            </w:r>
          </w:p>
        </w:tc>
      </w:tr>
      <w:tr>
        <w:trPr/>
        <w:tc>
          <w:tcPr>
            <w:tcW w:w="7981" w:type="dxa"/>
            <w:tcBorders/>
            <w:vAlign w:val="center"/>
          </w:tcPr>
          <w:p>
            <w:pPr>
              <w:pStyle w:val="TableContents"/>
              <w:bidi w:val="0"/>
              <w:spacing w:before="0" w:after="0"/>
              <w:ind w:left="0" w:right="0" w:hanging="0"/>
              <w:jc w:val="left"/>
              <w:rPr/>
            </w:pPr>
            <w:r>
              <w:rPr/>
              <w:t>​</w:t>
            </w:r>
          </w:p>
        </w:tc>
        <w:tc>
          <w:tcPr>
            <w:tcW w:w="361" w:type="dxa"/>
            <w:tcBorders/>
            <w:vAlign w:val="center"/>
          </w:tcPr>
          <w:p>
            <w:pPr>
              <w:pStyle w:val="TableContents"/>
              <w:bidi w:val="0"/>
              <w:spacing w:before="0" w:after="0"/>
              <w:ind w:left="0" w:right="0" w:hanging="0"/>
              <w:jc w:val="left"/>
              <w:rPr/>
            </w:pPr>
            <w:r>
              <w:rPr/>
              <w:t>​</w:t>
            </w:r>
          </w:p>
        </w:tc>
      </w:tr>
      <w:tr>
        <w:trPr/>
        <w:tc>
          <w:tcPr>
            <w:tcW w:w="7981" w:type="dxa"/>
            <w:tcBorders/>
            <w:vAlign w:val="center"/>
          </w:tcPr>
          <w:p>
            <w:pPr>
              <w:pStyle w:val="TableContents"/>
              <w:pBdr/>
              <w:bidi w:val="0"/>
              <w:spacing w:before="0" w:after="0"/>
              <w:ind w:left="0" w:right="0" w:hanging="0"/>
              <w:jc w:val="left"/>
              <w:rPr/>
            </w:pPr>
            <w:hyperlink w:anchor="Item1FinancialStatements_240348">
              <w:r>
                <w:rPr>
                  <w:rStyle w:val="InternetLink"/>
                  <w:rFonts w:ascii="Times New Roman;Times;serif" w:hAnsi="Times New Roman;Times;serif"/>
                  <w:b w:val="false"/>
                  <w:i w:val="false"/>
                  <w:caps w:val="false"/>
                  <w:smallCaps w:val="false"/>
                  <w:sz w:val="20"/>
                </w:rPr>
                <w:t>Item 1. Financial Statements</w:t>
              </w:r>
            </w:hyperlink>
          </w:p>
        </w:tc>
        <w:tc>
          <w:tcPr>
            <w:tcW w:w="3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w:t>
            </w:r>
          </w:p>
        </w:tc>
      </w:tr>
      <w:tr>
        <w:trPr/>
        <w:tc>
          <w:tcPr>
            <w:tcW w:w="7981" w:type="dxa"/>
            <w:tcBorders/>
            <w:vAlign w:val="center"/>
          </w:tcPr>
          <w:p>
            <w:pPr>
              <w:pStyle w:val="TableContents"/>
              <w:bidi w:val="0"/>
              <w:spacing w:before="0" w:after="0"/>
              <w:ind w:left="0" w:right="0" w:hanging="0"/>
              <w:jc w:val="left"/>
              <w:rPr/>
            </w:pPr>
            <w:r>
              <w:rPr/>
              <w:t>​</w:t>
            </w:r>
          </w:p>
        </w:tc>
        <w:tc>
          <w:tcPr>
            <w:tcW w:w="361" w:type="dxa"/>
            <w:tcBorders/>
            <w:vAlign w:val="center"/>
          </w:tcPr>
          <w:p>
            <w:pPr>
              <w:pStyle w:val="TableContents"/>
              <w:bidi w:val="0"/>
              <w:spacing w:before="0" w:after="0"/>
              <w:ind w:left="0" w:right="0" w:hanging="0"/>
              <w:jc w:val="left"/>
              <w:rPr/>
            </w:pPr>
            <w:r>
              <w:rPr/>
              <w:t>​</w:t>
            </w:r>
          </w:p>
        </w:tc>
      </w:tr>
      <w:tr>
        <w:trPr/>
        <w:tc>
          <w:tcPr>
            <w:tcW w:w="7981" w:type="dxa"/>
            <w:tcBorders/>
            <w:vAlign w:val="center"/>
          </w:tcPr>
          <w:p>
            <w:pPr>
              <w:pStyle w:val="TableContents"/>
              <w:pBdr/>
              <w:bidi w:val="0"/>
              <w:spacing w:before="0" w:after="0"/>
              <w:ind w:left="0" w:right="0" w:hanging="0"/>
              <w:jc w:val="left"/>
              <w:rPr/>
            </w:pPr>
            <w:hyperlink w:anchor="Item2ManagementsDiscussionandAnalysisofF">
              <w:r>
                <w:rPr>
                  <w:rStyle w:val="InternetLink"/>
                  <w:rFonts w:ascii="Times New Roman;Times;serif" w:hAnsi="Times New Roman;Times;serif"/>
                  <w:b w:val="false"/>
                  <w:i w:val="false"/>
                  <w:caps w:val="false"/>
                  <w:smallCaps w:val="false"/>
                  <w:sz w:val="20"/>
                </w:rPr>
                <w:t>Item 2. Management’s Discussion and Analysis of Financial Condition and Results of Operations</w:t>
              </w:r>
            </w:hyperlink>
          </w:p>
        </w:tc>
        <w:tc>
          <w:tcPr>
            <w:tcW w:w="3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w:t>
            </w:r>
          </w:p>
        </w:tc>
      </w:tr>
      <w:tr>
        <w:trPr/>
        <w:tc>
          <w:tcPr>
            <w:tcW w:w="7981" w:type="dxa"/>
            <w:tcBorders/>
            <w:vAlign w:val="center"/>
          </w:tcPr>
          <w:p>
            <w:pPr>
              <w:pStyle w:val="TableContents"/>
              <w:bidi w:val="0"/>
              <w:spacing w:before="0" w:after="0"/>
              <w:ind w:left="0" w:right="0" w:hanging="0"/>
              <w:jc w:val="left"/>
              <w:rPr/>
            </w:pPr>
            <w:r>
              <w:rPr/>
              <w:t>​</w:t>
            </w:r>
          </w:p>
        </w:tc>
        <w:tc>
          <w:tcPr>
            <w:tcW w:w="361" w:type="dxa"/>
            <w:tcBorders/>
            <w:vAlign w:val="center"/>
          </w:tcPr>
          <w:p>
            <w:pPr>
              <w:pStyle w:val="TableContents"/>
              <w:bidi w:val="0"/>
              <w:spacing w:before="0" w:after="0"/>
              <w:ind w:left="0" w:right="0" w:hanging="0"/>
              <w:jc w:val="left"/>
              <w:rPr/>
            </w:pPr>
            <w:r>
              <w:rPr/>
              <w:t>​</w:t>
            </w:r>
          </w:p>
        </w:tc>
      </w:tr>
      <w:tr>
        <w:trPr/>
        <w:tc>
          <w:tcPr>
            <w:tcW w:w="7981" w:type="dxa"/>
            <w:tcBorders/>
            <w:vAlign w:val="center"/>
          </w:tcPr>
          <w:p>
            <w:pPr>
              <w:pStyle w:val="TableContents"/>
              <w:pBdr/>
              <w:bidi w:val="0"/>
              <w:spacing w:before="0" w:after="0"/>
              <w:ind w:left="0" w:right="0" w:hanging="0"/>
              <w:jc w:val="left"/>
              <w:rPr/>
            </w:pPr>
            <w:hyperlink w:anchor="Item3QuantitativeandQualitativeDisclosur">
              <w:r>
                <w:rPr>
                  <w:rStyle w:val="InternetLink"/>
                  <w:rFonts w:ascii="Times New Roman;Times;serif" w:hAnsi="Times New Roman;Times;serif"/>
                  <w:b w:val="false"/>
                  <w:i w:val="false"/>
                  <w:caps w:val="false"/>
                  <w:smallCaps w:val="false"/>
                  <w:sz w:val="20"/>
                </w:rPr>
                <w:t>Item 3. Quantitative and Qualitative Disclosure About Market Risk</w:t>
              </w:r>
            </w:hyperlink>
          </w:p>
        </w:tc>
        <w:tc>
          <w:tcPr>
            <w:tcW w:w="3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w:t>
            </w:r>
          </w:p>
        </w:tc>
      </w:tr>
      <w:tr>
        <w:trPr/>
        <w:tc>
          <w:tcPr>
            <w:tcW w:w="7981" w:type="dxa"/>
            <w:tcBorders/>
            <w:vAlign w:val="center"/>
          </w:tcPr>
          <w:p>
            <w:pPr>
              <w:pStyle w:val="TableContents"/>
              <w:bidi w:val="0"/>
              <w:spacing w:before="0" w:after="0"/>
              <w:ind w:left="0" w:right="0" w:hanging="0"/>
              <w:jc w:val="left"/>
              <w:rPr/>
            </w:pPr>
            <w:r>
              <w:rPr/>
              <w:t>​</w:t>
            </w:r>
          </w:p>
        </w:tc>
        <w:tc>
          <w:tcPr>
            <w:tcW w:w="361" w:type="dxa"/>
            <w:tcBorders/>
            <w:vAlign w:val="center"/>
          </w:tcPr>
          <w:p>
            <w:pPr>
              <w:pStyle w:val="TableContents"/>
              <w:bidi w:val="0"/>
              <w:spacing w:before="0" w:after="0"/>
              <w:ind w:left="0" w:right="0" w:hanging="0"/>
              <w:jc w:val="left"/>
              <w:rPr/>
            </w:pPr>
            <w:r>
              <w:rPr/>
              <w:t>​</w:t>
            </w:r>
          </w:p>
        </w:tc>
      </w:tr>
      <w:tr>
        <w:trPr/>
        <w:tc>
          <w:tcPr>
            <w:tcW w:w="7981" w:type="dxa"/>
            <w:tcBorders/>
            <w:vAlign w:val="center"/>
          </w:tcPr>
          <w:p>
            <w:pPr>
              <w:pStyle w:val="TableContents"/>
              <w:pBdr/>
              <w:bidi w:val="0"/>
              <w:spacing w:before="0" w:after="0"/>
              <w:ind w:left="0" w:right="0" w:hanging="0"/>
              <w:jc w:val="left"/>
              <w:rPr/>
            </w:pPr>
            <w:hyperlink w:anchor="Item4ControlsandProcedures_905555">
              <w:r>
                <w:rPr>
                  <w:rStyle w:val="InternetLink"/>
                  <w:rFonts w:ascii="Times New Roman;Times;serif" w:hAnsi="Times New Roman;Times;serif"/>
                  <w:b w:val="false"/>
                  <w:i w:val="false"/>
                  <w:caps w:val="false"/>
                  <w:smallCaps w:val="false"/>
                  <w:sz w:val="20"/>
                </w:rPr>
                <w:t>Item 4. Controls and Procedures</w:t>
              </w:r>
            </w:hyperlink>
          </w:p>
        </w:tc>
        <w:tc>
          <w:tcPr>
            <w:tcW w:w="3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w:t>
            </w:r>
          </w:p>
        </w:tc>
      </w:tr>
      <w:tr>
        <w:trPr/>
        <w:tc>
          <w:tcPr>
            <w:tcW w:w="7981" w:type="dxa"/>
            <w:tcBorders/>
            <w:vAlign w:val="center"/>
          </w:tcPr>
          <w:p>
            <w:pPr>
              <w:pStyle w:val="TableContents"/>
              <w:bidi w:val="0"/>
              <w:spacing w:before="0" w:after="0"/>
              <w:ind w:left="0" w:right="0" w:hanging="0"/>
              <w:jc w:val="left"/>
              <w:rPr/>
            </w:pPr>
            <w:r>
              <w:rPr/>
              <w:t>​</w:t>
            </w:r>
          </w:p>
        </w:tc>
        <w:tc>
          <w:tcPr>
            <w:tcW w:w="361" w:type="dxa"/>
            <w:tcBorders/>
            <w:vAlign w:val="center"/>
          </w:tcPr>
          <w:p>
            <w:pPr>
              <w:pStyle w:val="TableContents"/>
              <w:bidi w:val="0"/>
              <w:spacing w:before="0" w:after="0"/>
              <w:ind w:left="0" w:right="0" w:hanging="0"/>
              <w:jc w:val="left"/>
              <w:rPr/>
            </w:pPr>
            <w:r>
              <w:rPr/>
              <w:t>​</w:t>
            </w:r>
          </w:p>
        </w:tc>
      </w:tr>
      <w:tr>
        <w:trPr/>
        <w:tc>
          <w:tcPr>
            <w:tcW w:w="7981" w:type="dxa"/>
            <w:tcBorders/>
            <w:vAlign w:val="center"/>
          </w:tcPr>
          <w:p>
            <w:pPr>
              <w:pStyle w:val="TableContents"/>
              <w:pBdr/>
              <w:bidi w:val="0"/>
              <w:spacing w:before="0" w:after="0"/>
              <w:ind w:left="0" w:right="0" w:hanging="0"/>
              <w:jc w:val="left"/>
              <w:rPr/>
            </w:pPr>
            <w:hyperlink w:anchor="PARTIIOTHERINFORMATION_171956">
              <w:r>
                <w:rPr>
                  <w:rStyle w:val="InternetLink"/>
                  <w:rFonts w:ascii="Times New Roman;Times;serif" w:hAnsi="Times New Roman;Times;serif"/>
                  <w:b w:val="false"/>
                  <w:i w:val="false"/>
                  <w:caps w:val="false"/>
                  <w:smallCaps w:val="false"/>
                  <w:sz w:val="20"/>
                </w:rPr>
                <w:t>PART II – OTHER INFORMATION</w:t>
              </w:r>
            </w:hyperlink>
          </w:p>
        </w:tc>
        <w:tc>
          <w:tcPr>
            <w:tcW w:w="3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w:t>
            </w:r>
          </w:p>
        </w:tc>
      </w:tr>
      <w:tr>
        <w:trPr/>
        <w:tc>
          <w:tcPr>
            <w:tcW w:w="7981" w:type="dxa"/>
            <w:tcBorders/>
            <w:vAlign w:val="center"/>
          </w:tcPr>
          <w:p>
            <w:pPr>
              <w:pStyle w:val="TableContents"/>
              <w:bidi w:val="0"/>
              <w:spacing w:before="0" w:after="0"/>
              <w:ind w:left="0" w:right="0" w:hanging="0"/>
              <w:jc w:val="left"/>
              <w:rPr/>
            </w:pPr>
            <w:r>
              <w:rPr/>
              <w:t>​</w:t>
            </w:r>
          </w:p>
        </w:tc>
        <w:tc>
          <w:tcPr>
            <w:tcW w:w="361" w:type="dxa"/>
            <w:tcBorders/>
            <w:vAlign w:val="center"/>
          </w:tcPr>
          <w:p>
            <w:pPr>
              <w:pStyle w:val="TableContents"/>
              <w:bidi w:val="0"/>
              <w:spacing w:before="0" w:after="0"/>
              <w:ind w:left="0" w:right="0" w:hanging="0"/>
              <w:jc w:val="left"/>
              <w:rPr/>
            </w:pPr>
            <w:r>
              <w:rPr/>
              <w:t>​</w:t>
            </w:r>
          </w:p>
        </w:tc>
      </w:tr>
      <w:tr>
        <w:trPr/>
        <w:tc>
          <w:tcPr>
            <w:tcW w:w="7981" w:type="dxa"/>
            <w:tcBorders/>
            <w:vAlign w:val="center"/>
          </w:tcPr>
          <w:p>
            <w:pPr>
              <w:pStyle w:val="TableContents"/>
              <w:pBdr/>
              <w:bidi w:val="0"/>
              <w:spacing w:before="0" w:after="0"/>
              <w:ind w:left="0" w:right="0" w:hanging="0"/>
              <w:jc w:val="left"/>
              <w:rPr/>
            </w:pPr>
            <w:hyperlink w:anchor="Item1LegalProceedings_899286">
              <w:r>
                <w:rPr>
                  <w:rStyle w:val="InternetLink"/>
                  <w:rFonts w:ascii="Times New Roman;Times;serif" w:hAnsi="Times New Roman;Times;serif"/>
                  <w:b w:val="false"/>
                  <w:i w:val="false"/>
                  <w:caps w:val="false"/>
                  <w:smallCaps w:val="false"/>
                  <w:sz w:val="20"/>
                </w:rPr>
                <w:t>Item 1. Legal Proceedings</w:t>
              </w:r>
            </w:hyperlink>
          </w:p>
        </w:tc>
        <w:tc>
          <w:tcPr>
            <w:tcW w:w="3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w:t>
            </w:r>
          </w:p>
        </w:tc>
      </w:tr>
      <w:tr>
        <w:trPr/>
        <w:tc>
          <w:tcPr>
            <w:tcW w:w="7981" w:type="dxa"/>
            <w:tcBorders/>
            <w:vAlign w:val="center"/>
          </w:tcPr>
          <w:p>
            <w:pPr>
              <w:pStyle w:val="TableContents"/>
              <w:bidi w:val="0"/>
              <w:spacing w:before="0" w:after="0"/>
              <w:ind w:left="0" w:right="0" w:hanging="0"/>
              <w:jc w:val="left"/>
              <w:rPr/>
            </w:pPr>
            <w:r>
              <w:rPr/>
              <w:t>​</w:t>
            </w:r>
          </w:p>
        </w:tc>
        <w:tc>
          <w:tcPr>
            <w:tcW w:w="361" w:type="dxa"/>
            <w:tcBorders/>
            <w:vAlign w:val="center"/>
          </w:tcPr>
          <w:p>
            <w:pPr>
              <w:pStyle w:val="TableContents"/>
              <w:bidi w:val="0"/>
              <w:spacing w:before="0" w:after="0"/>
              <w:ind w:left="0" w:right="0" w:hanging="0"/>
              <w:jc w:val="left"/>
              <w:rPr/>
            </w:pPr>
            <w:r>
              <w:rPr/>
              <w:t>​</w:t>
            </w:r>
          </w:p>
        </w:tc>
      </w:tr>
      <w:tr>
        <w:trPr/>
        <w:tc>
          <w:tcPr>
            <w:tcW w:w="7981" w:type="dxa"/>
            <w:tcBorders/>
            <w:vAlign w:val="center"/>
          </w:tcPr>
          <w:p>
            <w:pPr>
              <w:pStyle w:val="TableContents"/>
              <w:pBdr/>
              <w:bidi w:val="0"/>
              <w:spacing w:before="0" w:after="0"/>
              <w:ind w:left="0" w:right="0" w:hanging="0"/>
              <w:jc w:val="left"/>
              <w:rPr/>
            </w:pPr>
            <w:hyperlink w:anchor="Item1ARiskFactors_566555">
              <w:r>
                <w:rPr>
                  <w:rStyle w:val="InternetLink"/>
                  <w:rFonts w:ascii="Times New Roman;Times;serif" w:hAnsi="Times New Roman;Times;serif"/>
                  <w:b w:val="false"/>
                  <w:i w:val="false"/>
                  <w:caps w:val="false"/>
                  <w:smallCaps w:val="false"/>
                  <w:sz w:val="20"/>
                </w:rPr>
                <w:t>Item 1A. Risk Factors</w:t>
              </w:r>
            </w:hyperlink>
          </w:p>
        </w:tc>
        <w:tc>
          <w:tcPr>
            <w:tcW w:w="3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w:t>
            </w:r>
          </w:p>
        </w:tc>
      </w:tr>
      <w:tr>
        <w:trPr/>
        <w:tc>
          <w:tcPr>
            <w:tcW w:w="7981" w:type="dxa"/>
            <w:tcBorders/>
            <w:vAlign w:val="center"/>
          </w:tcPr>
          <w:p>
            <w:pPr>
              <w:pStyle w:val="TableContents"/>
              <w:bidi w:val="0"/>
              <w:spacing w:before="0" w:after="0"/>
              <w:ind w:left="0" w:right="0" w:hanging="0"/>
              <w:jc w:val="left"/>
              <w:rPr/>
            </w:pPr>
            <w:r>
              <w:rPr/>
              <w:t>​</w:t>
            </w:r>
          </w:p>
        </w:tc>
        <w:tc>
          <w:tcPr>
            <w:tcW w:w="361" w:type="dxa"/>
            <w:tcBorders/>
            <w:vAlign w:val="center"/>
          </w:tcPr>
          <w:p>
            <w:pPr>
              <w:pStyle w:val="TableContents"/>
              <w:bidi w:val="0"/>
              <w:spacing w:before="0" w:after="0"/>
              <w:ind w:left="0" w:right="0" w:hanging="0"/>
              <w:jc w:val="left"/>
              <w:rPr/>
            </w:pPr>
            <w:r>
              <w:rPr/>
              <w:t>​</w:t>
            </w:r>
          </w:p>
        </w:tc>
      </w:tr>
      <w:tr>
        <w:trPr/>
        <w:tc>
          <w:tcPr>
            <w:tcW w:w="7981" w:type="dxa"/>
            <w:tcBorders/>
            <w:vAlign w:val="center"/>
          </w:tcPr>
          <w:p>
            <w:pPr>
              <w:pStyle w:val="TableContents"/>
              <w:pBdr/>
              <w:bidi w:val="0"/>
              <w:spacing w:before="0" w:after="0"/>
              <w:ind w:left="0" w:right="0" w:hanging="0"/>
              <w:jc w:val="left"/>
              <w:rPr/>
            </w:pPr>
            <w:hyperlink w:anchor="Item2UnregisteredSalesofEquitySecurities">
              <w:r>
                <w:rPr>
                  <w:rStyle w:val="InternetLink"/>
                  <w:rFonts w:ascii="Times New Roman;Times;serif" w:hAnsi="Times New Roman;Times;serif"/>
                  <w:b w:val="false"/>
                  <w:i w:val="false"/>
                  <w:caps w:val="false"/>
                  <w:smallCaps w:val="false"/>
                  <w:sz w:val="20"/>
                </w:rPr>
                <w:t>Item 2. Unregistered Sales of Equity Securities and Use of Proceeds</w:t>
              </w:r>
            </w:hyperlink>
          </w:p>
        </w:tc>
        <w:tc>
          <w:tcPr>
            <w:tcW w:w="3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w:t>
            </w:r>
          </w:p>
        </w:tc>
      </w:tr>
      <w:tr>
        <w:trPr/>
        <w:tc>
          <w:tcPr>
            <w:tcW w:w="7981" w:type="dxa"/>
            <w:tcBorders/>
            <w:vAlign w:val="center"/>
          </w:tcPr>
          <w:p>
            <w:pPr>
              <w:pStyle w:val="TableContents"/>
              <w:bidi w:val="0"/>
              <w:spacing w:before="0" w:after="0"/>
              <w:ind w:left="0" w:right="0" w:hanging="0"/>
              <w:jc w:val="left"/>
              <w:rPr/>
            </w:pPr>
            <w:r>
              <w:rPr/>
              <w:t>​</w:t>
            </w:r>
          </w:p>
        </w:tc>
        <w:tc>
          <w:tcPr>
            <w:tcW w:w="361" w:type="dxa"/>
            <w:tcBorders/>
            <w:vAlign w:val="center"/>
          </w:tcPr>
          <w:p>
            <w:pPr>
              <w:pStyle w:val="TableContents"/>
              <w:bidi w:val="0"/>
              <w:spacing w:before="0" w:after="0"/>
              <w:ind w:left="0" w:right="0" w:hanging="0"/>
              <w:jc w:val="left"/>
              <w:rPr/>
            </w:pPr>
            <w:r>
              <w:rPr/>
              <w:t>​</w:t>
            </w:r>
          </w:p>
        </w:tc>
      </w:tr>
      <w:tr>
        <w:trPr/>
        <w:tc>
          <w:tcPr>
            <w:tcW w:w="7981" w:type="dxa"/>
            <w:tcBorders/>
            <w:vAlign w:val="center"/>
          </w:tcPr>
          <w:p>
            <w:pPr>
              <w:pStyle w:val="TableContents"/>
              <w:pBdr/>
              <w:bidi w:val="0"/>
              <w:spacing w:before="0" w:after="0"/>
              <w:ind w:left="0" w:right="0" w:hanging="0"/>
              <w:jc w:val="left"/>
              <w:rPr/>
            </w:pPr>
            <w:hyperlink w:anchor="Item3DefaultsUponSeniorSecurities_774055">
              <w:r>
                <w:rPr>
                  <w:rStyle w:val="InternetLink"/>
                  <w:rFonts w:ascii="Times New Roman;Times;serif" w:hAnsi="Times New Roman;Times;serif"/>
                  <w:b w:val="false"/>
                  <w:i w:val="false"/>
                  <w:caps w:val="false"/>
                  <w:smallCaps w:val="false"/>
                  <w:sz w:val="20"/>
                </w:rPr>
                <w:t>Item 3. Defaults Upon Senior Securities</w:t>
              </w:r>
            </w:hyperlink>
          </w:p>
        </w:tc>
        <w:tc>
          <w:tcPr>
            <w:tcW w:w="3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w:t>
            </w:r>
          </w:p>
        </w:tc>
      </w:tr>
      <w:tr>
        <w:trPr/>
        <w:tc>
          <w:tcPr>
            <w:tcW w:w="7981" w:type="dxa"/>
            <w:tcBorders/>
            <w:vAlign w:val="center"/>
          </w:tcPr>
          <w:p>
            <w:pPr>
              <w:pStyle w:val="TableContents"/>
              <w:bidi w:val="0"/>
              <w:spacing w:before="0" w:after="0"/>
              <w:ind w:left="0" w:right="0" w:hanging="0"/>
              <w:jc w:val="left"/>
              <w:rPr/>
            </w:pPr>
            <w:r>
              <w:rPr/>
              <w:t>​</w:t>
            </w:r>
          </w:p>
        </w:tc>
        <w:tc>
          <w:tcPr>
            <w:tcW w:w="361" w:type="dxa"/>
            <w:tcBorders/>
            <w:vAlign w:val="center"/>
          </w:tcPr>
          <w:p>
            <w:pPr>
              <w:pStyle w:val="TableContents"/>
              <w:bidi w:val="0"/>
              <w:spacing w:before="0" w:after="0"/>
              <w:ind w:left="0" w:right="0" w:hanging="0"/>
              <w:jc w:val="left"/>
              <w:rPr/>
            </w:pPr>
            <w:r>
              <w:rPr/>
              <w:t>​</w:t>
            </w:r>
          </w:p>
        </w:tc>
      </w:tr>
      <w:tr>
        <w:trPr/>
        <w:tc>
          <w:tcPr>
            <w:tcW w:w="7981" w:type="dxa"/>
            <w:tcBorders/>
            <w:vAlign w:val="center"/>
          </w:tcPr>
          <w:p>
            <w:pPr>
              <w:pStyle w:val="TableContents"/>
              <w:pBdr/>
              <w:bidi w:val="0"/>
              <w:spacing w:before="0" w:after="0"/>
              <w:ind w:left="0" w:right="0" w:hanging="0"/>
              <w:jc w:val="left"/>
              <w:rPr/>
            </w:pPr>
            <w:hyperlink w:anchor="Item4MineSafetyDisclosures_549213">
              <w:r>
                <w:rPr>
                  <w:rStyle w:val="InternetLink"/>
                  <w:rFonts w:ascii="Times New Roman;Times;serif" w:hAnsi="Times New Roman;Times;serif"/>
                  <w:b w:val="false"/>
                  <w:i w:val="false"/>
                  <w:caps w:val="false"/>
                  <w:smallCaps w:val="false"/>
                  <w:sz w:val="20"/>
                </w:rPr>
                <w:t>Item 4. Mine Safety Disclosures</w:t>
              </w:r>
            </w:hyperlink>
          </w:p>
        </w:tc>
        <w:tc>
          <w:tcPr>
            <w:tcW w:w="3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w:t>
            </w:r>
          </w:p>
        </w:tc>
      </w:tr>
      <w:tr>
        <w:trPr/>
        <w:tc>
          <w:tcPr>
            <w:tcW w:w="7981" w:type="dxa"/>
            <w:tcBorders/>
            <w:vAlign w:val="center"/>
          </w:tcPr>
          <w:p>
            <w:pPr>
              <w:pStyle w:val="TableContents"/>
              <w:bidi w:val="0"/>
              <w:spacing w:before="0" w:after="0"/>
              <w:ind w:left="0" w:right="0" w:hanging="0"/>
              <w:jc w:val="left"/>
              <w:rPr/>
            </w:pPr>
            <w:r>
              <w:rPr/>
              <w:t>​</w:t>
            </w:r>
          </w:p>
        </w:tc>
        <w:tc>
          <w:tcPr>
            <w:tcW w:w="361" w:type="dxa"/>
            <w:tcBorders/>
            <w:vAlign w:val="center"/>
          </w:tcPr>
          <w:p>
            <w:pPr>
              <w:pStyle w:val="TableContents"/>
              <w:bidi w:val="0"/>
              <w:spacing w:before="0" w:after="0"/>
              <w:ind w:left="0" w:right="0" w:hanging="0"/>
              <w:jc w:val="left"/>
              <w:rPr/>
            </w:pPr>
            <w:r>
              <w:rPr/>
              <w:t>​</w:t>
            </w:r>
          </w:p>
        </w:tc>
      </w:tr>
      <w:tr>
        <w:trPr/>
        <w:tc>
          <w:tcPr>
            <w:tcW w:w="7981" w:type="dxa"/>
            <w:tcBorders/>
            <w:vAlign w:val="center"/>
          </w:tcPr>
          <w:p>
            <w:pPr>
              <w:pStyle w:val="TableContents"/>
              <w:pBdr/>
              <w:bidi w:val="0"/>
              <w:spacing w:before="0" w:after="0"/>
              <w:ind w:left="0" w:right="0" w:hanging="0"/>
              <w:jc w:val="left"/>
              <w:rPr/>
            </w:pPr>
            <w:hyperlink w:anchor="Item5OtherInformation_27695">
              <w:r>
                <w:rPr>
                  <w:rStyle w:val="InternetLink"/>
                  <w:rFonts w:ascii="Times New Roman;Times;serif" w:hAnsi="Times New Roman;Times;serif"/>
                  <w:b w:val="false"/>
                  <w:i w:val="false"/>
                  <w:caps w:val="false"/>
                  <w:smallCaps w:val="false"/>
                  <w:sz w:val="20"/>
                </w:rPr>
                <w:t>Item 5. Other Information</w:t>
              </w:r>
            </w:hyperlink>
          </w:p>
        </w:tc>
        <w:tc>
          <w:tcPr>
            <w:tcW w:w="3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w:t>
            </w:r>
          </w:p>
        </w:tc>
      </w:tr>
      <w:tr>
        <w:trPr/>
        <w:tc>
          <w:tcPr>
            <w:tcW w:w="7981" w:type="dxa"/>
            <w:tcBorders/>
            <w:vAlign w:val="center"/>
          </w:tcPr>
          <w:p>
            <w:pPr>
              <w:pStyle w:val="TableContents"/>
              <w:bidi w:val="0"/>
              <w:spacing w:before="0" w:after="0"/>
              <w:ind w:left="0" w:right="0" w:hanging="0"/>
              <w:jc w:val="left"/>
              <w:rPr/>
            </w:pPr>
            <w:r>
              <w:rPr/>
              <w:t>​</w:t>
            </w:r>
          </w:p>
        </w:tc>
        <w:tc>
          <w:tcPr>
            <w:tcW w:w="361" w:type="dxa"/>
            <w:tcBorders/>
            <w:vAlign w:val="center"/>
          </w:tcPr>
          <w:p>
            <w:pPr>
              <w:pStyle w:val="TableContents"/>
              <w:bidi w:val="0"/>
              <w:spacing w:before="0" w:after="0"/>
              <w:ind w:left="0" w:right="0" w:hanging="0"/>
              <w:jc w:val="left"/>
              <w:rPr/>
            </w:pPr>
            <w:r>
              <w:rPr/>
              <w:t>​</w:t>
            </w:r>
          </w:p>
        </w:tc>
      </w:tr>
      <w:tr>
        <w:trPr/>
        <w:tc>
          <w:tcPr>
            <w:tcW w:w="7981" w:type="dxa"/>
            <w:tcBorders/>
            <w:vAlign w:val="center"/>
          </w:tcPr>
          <w:p>
            <w:pPr>
              <w:pStyle w:val="TableContents"/>
              <w:pBdr/>
              <w:bidi w:val="0"/>
              <w:spacing w:before="0" w:after="0"/>
              <w:ind w:left="0" w:right="0" w:hanging="0"/>
              <w:jc w:val="left"/>
              <w:rPr/>
            </w:pPr>
            <w:hyperlink w:anchor="Item6Exhibits_285226">
              <w:r>
                <w:rPr>
                  <w:rStyle w:val="InternetLink"/>
                  <w:rFonts w:ascii="Times New Roman;Times;serif" w:hAnsi="Times New Roman;Times;serif"/>
                  <w:b w:val="false"/>
                  <w:i w:val="false"/>
                  <w:caps w:val="false"/>
                  <w:smallCaps w:val="false"/>
                  <w:sz w:val="20"/>
                </w:rPr>
                <w:t>Item 6. Exhibits</w:t>
              </w:r>
            </w:hyperlink>
          </w:p>
        </w:tc>
        <w:tc>
          <w:tcPr>
            <w:tcW w:w="3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w:t>
            </w:r>
          </w:p>
        </w:tc>
      </w:tr>
    </w:tbl>
    <w:p>
      <w:pPr>
        <w:pStyle w:val="TextBody"/>
        <w:bidi w:val="0"/>
        <w:spacing w:before="0" w:after="0"/>
        <w:ind w:left="0" w:right="0" w:hanging="0"/>
        <w:jc w:val="left"/>
        <w:rPr/>
      </w:pPr>
      <w:r>
        <w:rPr/>
        <w:t>​</w:t>
      </w:r>
    </w:p>
    <w:p>
      <w:pPr>
        <w:pStyle w:val="TextBody"/>
        <w:bidi w:val="0"/>
        <w:spacing w:before="0" w:after="24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right"/>
        <w:rPr>
          <w:rFonts w:ascii="Times New Roman;Times;serif" w:hAnsi="Times New Roman;Times;serif"/>
          <w:sz w:val="20"/>
        </w:rPr>
      </w:pPr>
      <w:r>
        <w:rPr>
          <w:rFonts w:ascii="Times New Roman;Times;serif" w:hAnsi="Times New Roman;Times;serif"/>
          <w:sz w:val="20"/>
        </w:rPr>
        <w:t>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bookmarkStart w:id="45" w:name="PARTIFINANCIALINFORMATION_184948"/>
      <w:bookmarkStart w:id="46" w:name="_65f89703_6e95_4a09_949b_1702a17a7a17"/>
      <w:bookmarkEnd w:id="45"/>
      <w:bookmarkEnd w:id="46"/>
      <w:r>
        <w:rPr>
          <w:rFonts w:ascii="Times New Roman;Times;serif" w:hAnsi="Times New Roman;Times;serif"/>
          <w:b/>
          <w:sz w:val="20"/>
        </w:rPr>
        <w:t>PART I - FINANCIAL INFORMATION</w:t>
      </w:r>
    </w:p>
    <w:p>
      <w:pPr>
        <w:pStyle w:val="TextBody"/>
        <w:bidi w:val="0"/>
        <w:spacing w:before="0" w:after="0"/>
        <w:ind w:left="0" w:right="0" w:hanging="0"/>
        <w:jc w:val="left"/>
        <w:rPr>
          <w:rFonts w:ascii="Times New Roman;Times;serif" w:hAnsi="Times New Roman;Times;serif"/>
          <w:b/>
          <w:sz w:val="20"/>
        </w:rPr>
      </w:pPr>
      <w:bookmarkStart w:id="47" w:name="Item1FinancialStatements_240348"/>
      <w:bookmarkEnd w:id="47"/>
      <w:r>
        <w:rPr>
          <w:rFonts w:ascii="Times New Roman;Times;serif" w:hAnsi="Times New Roman;Times;serif"/>
          <w:b/>
          <w:sz w:val="20"/>
        </w:rPr>
        <w:t>Item 1. Financial Statements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Energous Corporation</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CONDENSED BALANCE SHEETS</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(in thousands, except share and per share amounts)</w:t>
      </w:r>
    </w:p>
    <w:p>
      <w:pPr>
        <w:pStyle w:val="Normal"/>
        <w:bidi w:val="0"/>
        <w:spacing w:before="0" w:after="0"/>
        <w:jc w:val="left"/>
        <w:rPr>
          <w:sz w:val="4"/>
          <w:szCs w:val="4"/>
        </w:rPr>
      </w:pPr>
      <w:r>
        <w:rPr>
          <w:sz w:val="4"/>
          <w:szCs w:val="4"/>
        </w:rPr>
      </w:r>
      <w:bookmarkStart w:id="48" w:name="Tc_POpDzup6xkOOwCSRvIedzQ_36_5"/>
      <w:bookmarkStart w:id="49" w:name="Tc_lOcbPi6tIUm75Pt8f5dacw_36_2"/>
      <w:bookmarkStart w:id="50" w:name="Tc_ivrBTNLKl0CBy6FdgvnCuA_36_0"/>
      <w:bookmarkStart w:id="51" w:name="Tc_ZuFXF8WbKUuiveZvTqFStQ_35_0"/>
      <w:bookmarkStart w:id="52" w:name="Tc_Ps_9ZsLjPUWd2yAEOJkAYw_34_0"/>
      <w:bookmarkStart w:id="53" w:name="Tc_g3i_skieAkKPzAuOIJFQKQ_33_0"/>
      <w:bookmarkStart w:id="54" w:name="Tc_mnCqrPziWUG46AVMIelZPg_32_0"/>
      <w:bookmarkStart w:id="55" w:name="Tc_v6hIve3bb0urkREu5cpSVw_31_6"/>
      <w:bookmarkStart w:id="56" w:name="Tc_VKQjSG2BHkqLFW6DLAep5g_31_3"/>
      <w:bookmarkStart w:id="57" w:name="_b028da51_8530_4faf_ae33_bafdd6988706_3"/>
      <w:bookmarkStart w:id="58" w:name="_b028da51_8530_4faf_ae33_bafdd6988706_2"/>
      <w:bookmarkStart w:id="59" w:name="_b028da51_8530_4faf_ae33_bafdd6988706"/>
      <w:bookmarkStart w:id="60" w:name="Tc_Odybt-Ac1UGAMUHoLnyx0A_31_0"/>
      <w:bookmarkStart w:id="61" w:name="Tc_oR-D6flZFEanprMdqaH7cA_30_0"/>
      <w:bookmarkStart w:id="62" w:name="Tc_FCHpDtOvlUOuwu88NR7e_g_29_0"/>
      <w:bookmarkStart w:id="63" w:name="Tc__1FCDyPBl0CFSEHMdyqXfQ_27_0"/>
      <w:bookmarkStart w:id="64" w:name="Tc_zKuRI8eTnkK_E-dzHIsSgg_26_0"/>
      <w:bookmarkStart w:id="65" w:name="Tc_GIbwy78R0UaLMXloE--QLA_24_0"/>
      <w:bookmarkStart w:id="66" w:name="Tc_44xpasX_ekKmKE0tndQ87w_23_0"/>
      <w:bookmarkStart w:id="67" w:name="Tc_3rW3vUxCx06Kamx50T1rVA_22_0"/>
      <w:bookmarkStart w:id="68" w:name="Tc_7e_t4CCt8U6bZe3ddUe12g_21_0"/>
      <w:bookmarkStart w:id="69" w:name="Tc_BAwoRX5FVUm6IlDN9Q-V_g_20_0"/>
      <w:bookmarkStart w:id="70" w:name="Tc_87O0hN5EIUe2BXXtV3X_Jw_19_0"/>
      <w:bookmarkStart w:id="71" w:name="Tc_ng8RinBb6UqZ08DZMWEwzA_18_5"/>
      <w:bookmarkStart w:id="72" w:name="Tc_V1_jwbY-y0OSqrtcZA44Fw_18_2"/>
      <w:bookmarkStart w:id="73" w:name="Tc_KG61ONZPkEC37S6pOf_u6g_18_0"/>
      <w:bookmarkStart w:id="74" w:name="Tc_T0MWv29BJUKqPcQoEfypiQ_17_0"/>
      <w:bookmarkStart w:id="75" w:name="Tc_n3T8nZDpn0aiWj2_07BudA_16_0"/>
      <w:bookmarkStart w:id="76" w:name="Tc_Nz_S7D30Z0q6dZpVU9mcoA_15_5"/>
      <w:bookmarkStart w:id="77" w:name="Tc_F26hEYKGg0CVH-9cDfEy4w_15_2"/>
      <w:bookmarkStart w:id="78" w:name="Tc_LABZt-qDokaOZP_v4TsdCw_15_0"/>
      <w:bookmarkStart w:id="79" w:name="Tc_ukjvrqArNkiHCO8FMtA2pw_14_0"/>
      <w:bookmarkStart w:id="80" w:name="Tc_oguFULhFa06TXZ9hRHwVng_13_0"/>
      <w:bookmarkStart w:id="81" w:name="Tc_gEDuIF587EKjCGX_ltHiAQ_11_0"/>
      <w:bookmarkStart w:id="82" w:name="Tc_g3XhfJmesEqwcj1tb9H-BA_10_0"/>
      <w:bookmarkStart w:id="83" w:name="Tc_gVU9cl4oK0meRVcuyaQfeQ_9_0"/>
      <w:bookmarkStart w:id="84" w:name="Tc__t_NmGlhs0mcbSFta9TaCA_8_0"/>
      <w:bookmarkStart w:id="85" w:name="Tc_lg66WzS-ekWMe7EIwZ1OzA_7_0"/>
      <w:bookmarkStart w:id="86" w:name="Tc_WNDYchlLCkys99imUGxvqQ_6_5"/>
      <w:bookmarkStart w:id="87" w:name="Tc_vWi54hsmP0uYCdTaaAJSJA_6_2"/>
      <w:bookmarkStart w:id="88" w:name="Tc_HsZL7sQSakGO25Jy9kbnLQ_6_0"/>
      <w:bookmarkStart w:id="89" w:name="Tc_89IoKSe5vUq4eYb32lBwUw_5_0"/>
      <w:bookmarkStart w:id="90" w:name="Tc_YoNDOWENSEe4bm30emwxLQ_4_0"/>
      <w:bookmarkStart w:id="91" w:name="Tc_wdoSQkMylUul7EHb04-r2A_3_6"/>
      <w:bookmarkStart w:id="92" w:name="Tc_W1MUSt1r8UyOLSTybC6cgg_3_2"/>
      <w:bookmarkStart w:id="93" w:name="Tc_UeMP4nf_Nku-aXQn2qSMOg_2_5"/>
      <w:bookmarkStart w:id="94" w:name="Tc_4DDOex0H8kml7RsHZ2dxrg_2_2"/>
      <w:bookmarkStart w:id="95" w:name="Tc_LSCYMqDSDEW0Cx_iYosqYw_1_2"/>
      <w:bookmarkStart w:id="96" w:name="_6460aed7_7eb6_4804_8509_44fbbd9ed64b"/>
      <w:bookmarkStart w:id="97" w:name="Tc_POpDzup6xkOOwCSRvIedzQ_36_5"/>
      <w:bookmarkStart w:id="98" w:name="Tc_lOcbPi6tIUm75Pt8f5dacw_36_2"/>
      <w:bookmarkStart w:id="99" w:name="Tc_ivrBTNLKl0CBy6FdgvnCuA_36_0"/>
      <w:bookmarkStart w:id="100" w:name="Tc_ZuFXF8WbKUuiveZvTqFStQ_35_0"/>
      <w:bookmarkStart w:id="101" w:name="Tc_Ps_9ZsLjPUWd2yAEOJkAYw_34_0"/>
      <w:bookmarkStart w:id="102" w:name="Tc_g3i_skieAkKPzAuOIJFQKQ_33_0"/>
      <w:bookmarkStart w:id="103" w:name="Tc_mnCqrPziWUG46AVMIelZPg_32_0"/>
      <w:bookmarkStart w:id="104" w:name="Tc_v6hIve3bb0urkREu5cpSVw_31_6"/>
      <w:bookmarkStart w:id="105" w:name="Tc_VKQjSG2BHkqLFW6DLAep5g_31_3"/>
      <w:bookmarkStart w:id="106" w:name="_b028da51_8530_4faf_ae33_bafdd6988706_3"/>
      <w:bookmarkStart w:id="107" w:name="_b028da51_8530_4faf_ae33_bafdd6988706_2"/>
      <w:bookmarkStart w:id="108" w:name="_b028da51_8530_4faf_ae33_bafdd6988706"/>
      <w:bookmarkStart w:id="109" w:name="Tc_Odybt-Ac1UGAMUHoLnyx0A_31_0"/>
      <w:bookmarkStart w:id="110" w:name="Tc_oR-D6flZFEanprMdqaH7cA_30_0"/>
      <w:bookmarkStart w:id="111" w:name="Tc_FCHpDtOvlUOuwu88NR7e_g_29_0"/>
      <w:bookmarkStart w:id="112" w:name="Tc__1FCDyPBl0CFSEHMdyqXfQ_27_0"/>
      <w:bookmarkStart w:id="113" w:name="Tc_zKuRI8eTnkK_E-dzHIsSgg_26_0"/>
      <w:bookmarkStart w:id="114" w:name="Tc_GIbwy78R0UaLMXloE--QLA_24_0"/>
      <w:bookmarkStart w:id="115" w:name="Tc_44xpasX_ekKmKE0tndQ87w_23_0"/>
      <w:bookmarkStart w:id="116" w:name="Tc_3rW3vUxCx06Kamx50T1rVA_22_0"/>
      <w:bookmarkStart w:id="117" w:name="Tc_7e_t4CCt8U6bZe3ddUe12g_21_0"/>
      <w:bookmarkStart w:id="118" w:name="Tc_BAwoRX5FVUm6IlDN9Q-V_g_20_0"/>
      <w:bookmarkStart w:id="119" w:name="Tc_87O0hN5EIUe2BXXtV3X_Jw_19_0"/>
      <w:bookmarkStart w:id="120" w:name="Tc_ng8RinBb6UqZ08DZMWEwzA_18_5"/>
      <w:bookmarkStart w:id="121" w:name="Tc_V1_jwbY-y0OSqrtcZA44Fw_18_2"/>
      <w:bookmarkStart w:id="122" w:name="Tc_KG61ONZPkEC37S6pOf_u6g_18_0"/>
      <w:bookmarkStart w:id="123" w:name="Tc_T0MWv29BJUKqPcQoEfypiQ_17_0"/>
      <w:bookmarkStart w:id="124" w:name="Tc_n3T8nZDpn0aiWj2_07BudA_16_0"/>
      <w:bookmarkStart w:id="125" w:name="Tc_Nz_S7D30Z0q6dZpVU9mcoA_15_5"/>
      <w:bookmarkStart w:id="126" w:name="Tc_F26hEYKGg0CVH-9cDfEy4w_15_2"/>
      <w:bookmarkStart w:id="127" w:name="Tc_LABZt-qDokaOZP_v4TsdCw_15_0"/>
      <w:bookmarkStart w:id="128" w:name="Tc_ukjvrqArNkiHCO8FMtA2pw_14_0"/>
      <w:bookmarkStart w:id="129" w:name="Tc_oguFULhFa06TXZ9hRHwVng_13_0"/>
      <w:bookmarkStart w:id="130" w:name="Tc_gEDuIF587EKjCGX_ltHiAQ_11_0"/>
      <w:bookmarkStart w:id="131" w:name="Tc_g3XhfJmesEqwcj1tb9H-BA_10_0"/>
      <w:bookmarkStart w:id="132" w:name="Tc_gVU9cl4oK0meRVcuyaQfeQ_9_0"/>
      <w:bookmarkStart w:id="133" w:name="Tc__t_NmGlhs0mcbSFta9TaCA_8_0"/>
      <w:bookmarkStart w:id="134" w:name="Tc_lg66WzS-ekWMe7EIwZ1OzA_7_0"/>
      <w:bookmarkStart w:id="135" w:name="Tc_WNDYchlLCkys99imUGxvqQ_6_5"/>
      <w:bookmarkStart w:id="136" w:name="Tc_vWi54hsmP0uYCdTaaAJSJA_6_2"/>
      <w:bookmarkStart w:id="137" w:name="Tc_HsZL7sQSakGO25Jy9kbnLQ_6_0"/>
      <w:bookmarkStart w:id="138" w:name="Tc_89IoKSe5vUq4eYb32lBwUw_5_0"/>
      <w:bookmarkStart w:id="139" w:name="Tc_YoNDOWENSEe4bm30emwxLQ_4_0"/>
      <w:bookmarkStart w:id="140" w:name="Tc_wdoSQkMylUul7EHb04-r2A_3_6"/>
      <w:bookmarkStart w:id="141" w:name="Tc_W1MUSt1r8UyOLSTybC6cgg_3_2"/>
      <w:bookmarkStart w:id="142" w:name="Tc_UeMP4nf_Nku-aXQn2qSMOg_2_5"/>
      <w:bookmarkStart w:id="143" w:name="Tc_4DDOex0H8kml7RsHZ2dxrg_2_2"/>
      <w:bookmarkStart w:id="144" w:name="Tc_LSCYMqDSDEW0Cx_iYosqYw_1_2"/>
      <w:bookmarkStart w:id="145" w:name="_6460aed7_7eb6_4804_8509_44fbbd9ed64b"/>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p>
    <w:tbl>
      <w:tblPr>
        <w:tblW w:w="10205" w:type="dxa"/>
        <w:jc w:val="left"/>
        <w:tblInd w:w="0" w:type="dxa"/>
        <w:tblLayout w:type="fixed"/>
        <w:tblCellMar>
          <w:top w:w="0" w:type="dxa"/>
          <w:left w:w="0" w:type="dxa"/>
          <w:bottom w:w="0" w:type="dxa"/>
          <w:right w:w="0" w:type="dxa"/>
        </w:tblCellMar>
      </w:tblPr>
      <w:tblGrid>
        <w:gridCol w:w="7195"/>
        <w:gridCol w:w="326"/>
        <w:gridCol w:w="219"/>
        <w:gridCol w:w="898"/>
        <w:gridCol w:w="326"/>
        <w:gridCol w:w="233"/>
        <w:gridCol w:w="1008"/>
      </w:tblGrid>
      <w:tr>
        <w:trPr/>
        <w:tc>
          <w:tcPr>
            <w:tcW w:w="719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4568825" cy="175260"/>
                      <wp:effectExtent l="0" t="0" r="0" b="0"/>
                      <wp:wrapNone/>
                      <wp:docPr id="14" name="Frame14"/>
                      <a:graphic xmlns:a="http://schemas.openxmlformats.org/drawingml/2006/main">
                        <a:graphicData uri="http://schemas.microsoft.com/office/word/2010/wordprocessingShape">
                          <wps:wsp>
                            <wps:cNvSpPr txBox="1"/>
                            <wps:spPr>
                              <a:xfrm>
                                <a:off x="0" y="0"/>
                                <a:ext cx="456882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9.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207010" cy="175260"/>
                      <wp:effectExtent l="0" t="0" r="0" b="0"/>
                      <wp:wrapNone/>
                      <wp:docPr id="15" name="Frame1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139065" cy="175260"/>
                      <wp:effectExtent l="0" t="0" r="0" b="0"/>
                      <wp:wrapNone/>
                      <wp:docPr id="16" name="Frame16"/>
                      <a:graphic xmlns:a="http://schemas.openxmlformats.org/drawingml/2006/main">
                        <a:graphicData uri="http://schemas.microsoft.com/office/word/2010/wordprocessingShape">
                          <wps:wsp>
                            <wps:cNvSpPr txBox="1"/>
                            <wps:spPr>
                              <a:xfrm>
                                <a:off x="0" y="0"/>
                                <a:ext cx="13906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9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570230" cy="175260"/>
                      <wp:effectExtent l="0" t="0" r="0" b="0"/>
                      <wp:wrapNone/>
                      <wp:docPr id="17" name="Frame17"/>
                      <a:graphic xmlns:a="http://schemas.openxmlformats.org/drawingml/2006/main">
                        <a:graphicData uri="http://schemas.microsoft.com/office/word/2010/wordprocessingShape">
                          <wps:wsp>
                            <wps:cNvSpPr txBox="1"/>
                            <wps:spPr>
                              <a:xfrm>
                                <a:off x="0" y="0"/>
                                <a:ext cx="57023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207010" cy="175260"/>
                      <wp:effectExtent l="0" t="0" r="0" b="0"/>
                      <wp:wrapNone/>
                      <wp:docPr id="18" name="Frame1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3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147955" cy="175260"/>
                      <wp:effectExtent l="0" t="0" r="0" b="0"/>
                      <wp:wrapNone/>
                      <wp:docPr id="19" name="Frame19"/>
                      <a:graphic xmlns:a="http://schemas.openxmlformats.org/drawingml/2006/main">
                        <a:graphicData uri="http://schemas.microsoft.com/office/word/2010/wordprocessingShape">
                          <wps:wsp>
                            <wps:cNvSpPr txBox="1"/>
                            <wps:spPr>
                              <a:xfrm>
                                <a:off x="0" y="0"/>
                                <a:ext cx="14795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0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0080" cy="175260"/>
                      <wp:effectExtent l="0" t="0" r="0" b="0"/>
                      <wp:wrapNone/>
                      <wp:docPr id="20" name="Frame20"/>
                      <a:graphic xmlns:a="http://schemas.openxmlformats.org/drawingml/2006/main">
                        <a:graphicData uri="http://schemas.microsoft.com/office/word/2010/wordprocessingShape">
                          <wps:wsp>
                            <wps:cNvSpPr txBox="1"/>
                            <wps:spPr>
                              <a:xfrm>
                                <a:off x="0" y="0"/>
                                <a:ext cx="64008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0.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7195"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    </w:t>
            </w:r>
          </w:p>
        </w:tc>
        <w:tc>
          <w:tcPr>
            <w:tcW w:w="2684"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As of</w:t>
            </w:r>
          </w:p>
        </w:tc>
      </w:tr>
      <w:tr>
        <w:trPr/>
        <w:tc>
          <w:tcPr>
            <w:tcW w:w="7195"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111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March 31, 2024</w:t>
            </w:r>
          </w:p>
        </w:tc>
        <w:tc>
          <w:tcPr>
            <w:tcW w:w="326" w:type="dxa"/>
            <w:tcBorders/>
            <w:vAlign w:val="center"/>
          </w:tcPr>
          <w:p>
            <w:pPr>
              <w:pStyle w:val="TableContents"/>
              <w:bidi w:val="0"/>
              <w:spacing w:before="0" w:after="1"/>
              <w:ind w:left="0" w:right="0" w:hanging="0"/>
              <w:jc w:val="center"/>
              <w:rPr/>
            </w:pPr>
            <w:r>
              <w:rPr/>
              <w:t>​</w:t>
            </w:r>
          </w:p>
        </w:tc>
        <w:tc>
          <w:tcPr>
            <w:tcW w:w="124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December 31, 2023</w:t>
            </w:r>
          </w:p>
        </w:tc>
      </w:tr>
      <w:tr>
        <w:trPr/>
        <w:tc>
          <w:tcPr>
            <w:tcW w:w="7195"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1117"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(unaudited)</w:t>
            </w:r>
          </w:p>
        </w:tc>
        <w:tc>
          <w:tcPr>
            <w:tcW w:w="326" w:type="dxa"/>
            <w:tcBorders/>
            <w:vAlign w:val="center"/>
          </w:tcPr>
          <w:p>
            <w:pPr>
              <w:pStyle w:val="TableContents"/>
              <w:bidi w:val="0"/>
              <w:spacing w:before="0" w:after="1"/>
              <w:ind w:left="0" w:right="0" w:hanging="0"/>
              <w:jc w:val="left"/>
              <w:rPr/>
            </w:pPr>
            <w:r>
              <w:rPr/>
              <w:t>    </w:t>
            </w:r>
          </w:p>
        </w:tc>
        <w:tc>
          <w:tcPr>
            <w:tcW w:w="233" w:type="dxa"/>
            <w:tcBorders/>
            <w:vAlign w:val="center"/>
          </w:tcPr>
          <w:p>
            <w:pPr>
              <w:pStyle w:val="TableContents"/>
              <w:bidi w:val="0"/>
              <w:spacing w:before="0" w:after="1"/>
              <w:ind w:left="0" w:right="0" w:hanging="0"/>
              <w:jc w:val="left"/>
              <w:rPr/>
            </w:pPr>
            <w:r>
              <w:rPr/>
              <w:t>​</w:t>
            </w:r>
          </w:p>
        </w:tc>
        <w:tc>
          <w:tcPr>
            <w:tcW w:w="1008"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(1)</w:t>
            </w:r>
          </w:p>
        </w:tc>
      </w:tr>
      <w:tr>
        <w:trPr/>
        <w:tc>
          <w:tcPr>
            <w:tcW w:w="7195" w:type="dxa"/>
            <w:tcBorders/>
            <w:shd w:fill="CCEEFF" w:val="clear"/>
            <w:vAlign w:val="center"/>
          </w:tcPr>
          <w:p>
            <w:pPr>
              <w:pStyle w:val="TableContents"/>
              <w:pBdr/>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ASSETS</w:t>
            </w:r>
          </w:p>
        </w:tc>
        <w:tc>
          <w:tcPr>
            <w:tcW w:w="326" w:type="dxa"/>
            <w:tcBorders/>
            <w:shd w:fill="CCEEFF" w:val="clear"/>
            <w:vAlign w:val="center"/>
          </w:tcPr>
          <w:p>
            <w:pPr>
              <w:pStyle w:val="TableContents"/>
              <w:bidi w:val="0"/>
              <w:spacing w:before="0" w:after="1"/>
              <w:ind w:left="0" w:right="0" w:hanging="0"/>
              <w:jc w:val="left"/>
              <w:rPr/>
            </w:pPr>
            <w:r>
              <w:rPr/>
              <w:t> </w:t>
            </w:r>
          </w:p>
        </w:tc>
        <w:tc>
          <w:tcPr>
            <w:tcW w:w="219" w:type="dxa"/>
            <w:tcBorders/>
            <w:shd w:fill="CCEEFF" w:val="clear"/>
            <w:vAlign w:val="center"/>
          </w:tcPr>
          <w:p>
            <w:pPr>
              <w:pStyle w:val="TableContents"/>
              <w:bidi w:val="0"/>
              <w:spacing w:before="0" w:after="1"/>
              <w:ind w:left="0" w:right="0" w:hanging="0"/>
              <w:jc w:val="left"/>
              <w:rPr/>
            </w:pPr>
            <w:r>
              <w:rPr/>
              <w:t>​</w:t>
            </w:r>
          </w:p>
        </w:tc>
        <w:tc>
          <w:tcPr>
            <w:tcW w:w="898" w:type="dxa"/>
            <w:tcBorders/>
            <w:shd w:fill="CCEEFF" w:val="clear"/>
            <w:vAlign w:val="center"/>
          </w:tcPr>
          <w:p>
            <w:pPr>
              <w:pStyle w:val="TableContents"/>
              <w:bidi w:val="0"/>
              <w:spacing w:before="0" w:after="1"/>
              <w:ind w:left="0" w:right="0" w:hanging="0"/>
              <w:jc w:val="right"/>
              <w:rPr/>
            </w:pPr>
            <w:r>
              <w:rPr/>
              <w:t>  </w:t>
            </w:r>
          </w:p>
        </w:tc>
        <w:tc>
          <w:tcPr>
            <w:tcW w:w="326" w:type="dxa"/>
            <w:tcBorders/>
            <w:shd w:fill="CCEEFF" w:val="clear"/>
            <w:vAlign w:val="center"/>
          </w:tcPr>
          <w:p>
            <w:pPr>
              <w:pStyle w:val="TableContents"/>
              <w:bidi w:val="0"/>
              <w:spacing w:before="0" w:after="1"/>
              <w:ind w:left="0" w:right="0" w:hanging="0"/>
              <w:jc w:val="left"/>
              <w:rPr/>
            </w:pPr>
            <w:r>
              <w:rPr/>
              <w:t> </w:t>
            </w:r>
          </w:p>
        </w:tc>
        <w:tc>
          <w:tcPr>
            <w:tcW w:w="233" w:type="dxa"/>
            <w:tcBorders/>
            <w:shd w:fill="CCEEFF" w:val="clear"/>
            <w:vAlign w:val="center"/>
          </w:tcPr>
          <w:p>
            <w:pPr>
              <w:pStyle w:val="TableContents"/>
              <w:bidi w:val="0"/>
              <w:spacing w:before="0" w:after="1"/>
              <w:ind w:left="0" w:right="0" w:hanging="0"/>
              <w:jc w:val="left"/>
              <w:rPr/>
            </w:pPr>
            <w:r>
              <w:rPr/>
              <w:t>​</w:t>
            </w:r>
          </w:p>
        </w:tc>
        <w:tc>
          <w:tcPr>
            <w:tcW w:w="1008" w:type="dxa"/>
            <w:tcBorders/>
            <w:shd w:fill="CCEEFF" w:val="clear"/>
            <w:vAlign w:val="center"/>
          </w:tcPr>
          <w:p>
            <w:pPr>
              <w:pStyle w:val="TableContents"/>
              <w:bidi w:val="0"/>
              <w:spacing w:before="0" w:after="1"/>
              <w:ind w:left="0" w:right="0" w:hanging="0"/>
              <w:jc w:val="right"/>
              <w:rPr/>
            </w:pPr>
            <w:r>
              <w:rPr/>
              <w:t>  </w:t>
            </w:r>
          </w:p>
        </w:tc>
      </w:tr>
      <w:tr>
        <w:trPr/>
        <w:tc>
          <w:tcPr>
            <w:tcW w:w="7195" w:type="dxa"/>
            <w:tcBorders/>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Current assets:</w:t>
            </w:r>
          </w:p>
        </w:tc>
        <w:tc>
          <w:tcPr>
            <w:tcW w:w="326" w:type="dxa"/>
            <w:tcBorders/>
            <w:vAlign w:val="center"/>
          </w:tcPr>
          <w:p>
            <w:pPr>
              <w:pStyle w:val="TableContents"/>
              <w:bidi w:val="0"/>
              <w:spacing w:before="0" w:after="1"/>
              <w:ind w:left="0" w:right="0" w:hanging="0"/>
              <w:jc w:val="left"/>
              <w:rPr/>
            </w:pPr>
            <w:r>
              <w:rPr/>
              <w:t> </w:t>
            </w:r>
          </w:p>
        </w:tc>
        <w:tc>
          <w:tcPr>
            <w:tcW w:w="219" w:type="dxa"/>
            <w:tcBorders/>
            <w:vAlign w:val="center"/>
          </w:tcPr>
          <w:p>
            <w:pPr>
              <w:pStyle w:val="TableContents"/>
              <w:bidi w:val="0"/>
              <w:spacing w:before="0" w:after="1"/>
              <w:ind w:left="0" w:right="0" w:hanging="0"/>
              <w:jc w:val="left"/>
              <w:rPr/>
            </w:pPr>
            <w:r>
              <w:rPr/>
              <w:t>​</w:t>
            </w:r>
          </w:p>
        </w:tc>
        <w:tc>
          <w:tcPr>
            <w:tcW w:w="898" w:type="dxa"/>
            <w:tcBorders/>
            <w:vAlign w:val="center"/>
          </w:tcPr>
          <w:p>
            <w:pPr>
              <w:pStyle w:val="TableContents"/>
              <w:bidi w:val="0"/>
              <w:spacing w:before="0" w:after="1"/>
              <w:ind w:left="0" w:right="0" w:hanging="0"/>
              <w:jc w:val="right"/>
              <w:rPr/>
            </w:pPr>
            <w:r>
              <w:rPr/>
              <w:t>  </w:t>
            </w:r>
          </w:p>
        </w:tc>
        <w:tc>
          <w:tcPr>
            <w:tcW w:w="326" w:type="dxa"/>
            <w:tcBorders/>
            <w:vAlign w:val="center"/>
          </w:tcPr>
          <w:p>
            <w:pPr>
              <w:pStyle w:val="TableContents"/>
              <w:bidi w:val="0"/>
              <w:spacing w:before="0" w:after="1"/>
              <w:ind w:left="0" w:right="0" w:hanging="0"/>
              <w:jc w:val="left"/>
              <w:rPr/>
            </w:pPr>
            <w:r>
              <w:rPr/>
              <w:t> </w:t>
            </w:r>
          </w:p>
        </w:tc>
        <w:tc>
          <w:tcPr>
            <w:tcW w:w="233" w:type="dxa"/>
            <w:tcBorders/>
            <w:vAlign w:val="center"/>
          </w:tcPr>
          <w:p>
            <w:pPr>
              <w:pStyle w:val="TableContents"/>
              <w:bidi w:val="0"/>
              <w:spacing w:before="0" w:after="1"/>
              <w:ind w:left="0" w:right="0" w:hanging="0"/>
              <w:jc w:val="left"/>
              <w:rPr/>
            </w:pPr>
            <w:r>
              <w:rPr/>
              <w:t>​</w:t>
            </w:r>
          </w:p>
        </w:tc>
        <w:tc>
          <w:tcPr>
            <w:tcW w:w="1008" w:type="dxa"/>
            <w:tcBorders/>
            <w:vAlign w:val="center"/>
          </w:tcPr>
          <w:p>
            <w:pPr>
              <w:pStyle w:val="TableContents"/>
              <w:bidi w:val="0"/>
              <w:spacing w:before="0" w:after="1"/>
              <w:ind w:left="0" w:right="0" w:hanging="0"/>
              <w:jc w:val="right"/>
              <w:rPr/>
            </w:pPr>
            <w:r>
              <w:rPr/>
              <w:t>  </w:t>
            </w:r>
          </w:p>
        </w:tc>
      </w:tr>
      <w:tr>
        <w:trPr/>
        <w:tc>
          <w:tcPr>
            <w:tcW w:w="7195" w:type="dxa"/>
            <w:tcBorders/>
            <w:shd w:fill="CCEEFF" w:val="clear"/>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Cash and cash equivalents</w:t>
            </w:r>
          </w:p>
        </w:tc>
        <w:tc>
          <w:tcPr>
            <w:tcW w:w="326" w:type="dxa"/>
            <w:tcBorders/>
            <w:shd w:fill="CCEEFF" w:val="clear"/>
            <w:vAlign w:val="center"/>
          </w:tcPr>
          <w:p>
            <w:pPr>
              <w:pStyle w:val="TableContents"/>
              <w:bidi w:val="0"/>
              <w:spacing w:before="0" w:after="1"/>
              <w:ind w:left="0" w:right="0" w:hanging="0"/>
              <w:jc w:val="left"/>
              <w:rPr/>
            </w:pPr>
            <w:r>
              <w:rPr/>
              <w:t>​</w:t>
            </w:r>
          </w:p>
        </w:tc>
        <w:tc>
          <w:tcPr>
            <w:tcW w:w="219"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9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10,655</w:t>
            </w:r>
          </w:p>
        </w:tc>
        <w:tc>
          <w:tcPr>
            <w:tcW w:w="326" w:type="dxa"/>
            <w:tcBorders/>
            <w:shd w:fill="CCEEFF" w:val="clear"/>
            <w:vAlign w:val="center"/>
          </w:tcPr>
          <w:p>
            <w:pPr>
              <w:pStyle w:val="TableContents"/>
              <w:bidi w:val="0"/>
              <w:spacing w:before="0" w:after="1"/>
              <w:ind w:left="0" w:right="0" w:hanging="0"/>
              <w:jc w:val="left"/>
              <w:rPr/>
            </w:pPr>
            <w:r>
              <w:rPr/>
              <w:t>​</w:t>
            </w:r>
          </w:p>
        </w:tc>
        <w:tc>
          <w:tcPr>
            <w:tcW w:w="233"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0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13,876</w:t>
            </w:r>
          </w:p>
        </w:tc>
      </w:tr>
      <w:tr>
        <w:trPr/>
        <w:tc>
          <w:tcPr>
            <w:tcW w:w="7195" w:type="dxa"/>
            <w:tcBorders/>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Restricted cash</w:t>
            </w:r>
          </w:p>
        </w:tc>
        <w:tc>
          <w:tcPr>
            <w:tcW w:w="326" w:type="dxa"/>
            <w:tcBorders/>
            <w:vAlign w:val="center"/>
          </w:tcPr>
          <w:p>
            <w:pPr>
              <w:pStyle w:val="TableContents"/>
              <w:bidi w:val="0"/>
              <w:spacing w:before="0" w:after="1"/>
              <w:ind w:left="0" w:right="0" w:hanging="0"/>
              <w:jc w:val="left"/>
              <w:rPr/>
            </w:pPr>
            <w:r>
              <w:rPr/>
              <w:t>​</w:t>
            </w:r>
          </w:p>
        </w:tc>
        <w:tc>
          <w:tcPr>
            <w:tcW w:w="219" w:type="dxa"/>
            <w:tcBorders/>
            <w:vAlign w:val="center"/>
          </w:tcPr>
          <w:p>
            <w:pPr>
              <w:pStyle w:val="TableContents"/>
              <w:bidi w:val="0"/>
              <w:spacing w:before="0" w:after="1"/>
              <w:ind w:left="0" w:right="0" w:hanging="0"/>
              <w:jc w:val="left"/>
              <w:rPr/>
            </w:pPr>
            <w:r>
              <w:rPr/>
              <w:t>​</w:t>
            </w:r>
          </w:p>
        </w:tc>
        <w:tc>
          <w:tcPr>
            <w:tcW w:w="898"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60</w:t>
            </w:r>
          </w:p>
        </w:tc>
        <w:tc>
          <w:tcPr>
            <w:tcW w:w="326" w:type="dxa"/>
            <w:tcBorders/>
            <w:vAlign w:val="center"/>
          </w:tcPr>
          <w:p>
            <w:pPr>
              <w:pStyle w:val="TableContents"/>
              <w:bidi w:val="0"/>
              <w:spacing w:before="0" w:after="1"/>
              <w:ind w:left="0" w:right="0" w:hanging="0"/>
              <w:jc w:val="left"/>
              <w:rPr/>
            </w:pPr>
            <w:r>
              <w:rPr/>
              <w:t>​</w:t>
            </w:r>
          </w:p>
        </w:tc>
        <w:tc>
          <w:tcPr>
            <w:tcW w:w="233" w:type="dxa"/>
            <w:tcBorders/>
            <w:vAlign w:val="center"/>
          </w:tcPr>
          <w:p>
            <w:pPr>
              <w:pStyle w:val="TableContents"/>
              <w:bidi w:val="0"/>
              <w:spacing w:before="0" w:after="1"/>
              <w:ind w:left="0" w:right="0" w:hanging="0"/>
              <w:jc w:val="left"/>
              <w:rPr/>
            </w:pPr>
            <w:r>
              <w:rPr/>
              <w:t>​</w:t>
            </w:r>
          </w:p>
        </w:tc>
        <w:tc>
          <w:tcPr>
            <w:tcW w:w="1008"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60</w:t>
            </w:r>
          </w:p>
        </w:tc>
      </w:tr>
      <w:tr>
        <w:trPr/>
        <w:tc>
          <w:tcPr>
            <w:tcW w:w="7195" w:type="dxa"/>
            <w:tcBorders/>
            <w:shd w:fill="CCEEFF" w:val="clear"/>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Accounts receivable, net</w:t>
            </w:r>
          </w:p>
        </w:tc>
        <w:tc>
          <w:tcPr>
            <w:tcW w:w="326" w:type="dxa"/>
            <w:tcBorders/>
            <w:shd w:fill="CCEEFF" w:val="clear"/>
            <w:vAlign w:val="center"/>
          </w:tcPr>
          <w:p>
            <w:pPr>
              <w:pStyle w:val="TableContents"/>
              <w:bidi w:val="0"/>
              <w:spacing w:before="0" w:after="1"/>
              <w:ind w:left="0" w:right="0" w:hanging="0"/>
              <w:jc w:val="left"/>
              <w:rPr/>
            </w:pPr>
            <w:r>
              <w:rPr/>
              <w:t>​</w:t>
            </w:r>
          </w:p>
        </w:tc>
        <w:tc>
          <w:tcPr>
            <w:tcW w:w="219" w:type="dxa"/>
            <w:tcBorders/>
            <w:shd w:fill="CCEEFF" w:val="clear"/>
            <w:vAlign w:val="center"/>
          </w:tcPr>
          <w:p>
            <w:pPr>
              <w:pStyle w:val="TableContents"/>
              <w:bidi w:val="0"/>
              <w:spacing w:before="0" w:after="1"/>
              <w:ind w:left="0" w:right="0" w:hanging="0"/>
              <w:jc w:val="left"/>
              <w:rPr/>
            </w:pPr>
            <w:r>
              <w:rPr/>
              <w:t> </w:t>
            </w:r>
          </w:p>
        </w:tc>
        <w:tc>
          <w:tcPr>
            <w:tcW w:w="89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27</w:t>
            </w:r>
          </w:p>
        </w:tc>
        <w:tc>
          <w:tcPr>
            <w:tcW w:w="326" w:type="dxa"/>
            <w:tcBorders/>
            <w:shd w:fill="CCEEFF" w:val="clear"/>
            <w:vAlign w:val="center"/>
          </w:tcPr>
          <w:p>
            <w:pPr>
              <w:pStyle w:val="TableContents"/>
              <w:bidi w:val="0"/>
              <w:spacing w:before="0" w:after="1"/>
              <w:ind w:left="0" w:right="0" w:hanging="0"/>
              <w:jc w:val="left"/>
              <w:rPr/>
            </w:pPr>
            <w:r>
              <w:rPr/>
              <w:t>​</w:t>
            </w:r>
          </w:p>
        </w:tc>
        <w:tc>
          <w:tcPr>
            <w:tcW w:w="233" w:type="dxa"/>
            <w:tcBorders/>
            <w:shd w:fill="CCEEFF" w:val="clear"/>
            <w:vAlign w:val="center"/>
          </w:tcPr>
          <w:p>
            <w:pPr>
              <w:pStyle w:val="TableContents"/>
              <w:bidi w:val="0"/>
              <w:spacing w:before="0" w:after="1"/>
              <w:ind w:left="0" w:right="0" w:hanging="0"/>
              <w:jc w:val="left"/>
              <w:rPr/>
            </w:pPr>
            <w:r>
              <w:rPr/>
              <w:t> </w:t>
            </w:r>
          </w:p>
        </w:tc>
        <w:tc>
          <w:tcPr>
            <w:tcW w:w="100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102</w:t>
            </w:r>
          </w:p>
        </w:tc>
      </w:tr>
      <w:tr>
        <w:trPr/>
        <w:tc>
          <w:tcPr>
            <w:tcW w:w="7195" w:type="dxa"/>
            <w:tcBorders/>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Inventory</w:t>
            </w:r>
          </w:p>
        </w:tc>
        <w:tc>
          <w:tcPr>
            <w:tcW w:w="326" w:type="dxa"/>
            <w:tcBorders/>
            <w:vAlign w:val="center"/>
          </w:tcPr>
          <w:p>
            <w:pPr>
              <w:pStyle w:val="TableContents"/>
              <w:bidi w:val="0"/>
              <w:spacing w:before="0" w:after="1"/>
              <w:ind w:left="0" w:right="0" w:hanging="0"/>
              <w:jc w:val="left"/>
              <w:rPr/>
            </w:pPr>
            <w:r>
              <w:rPr/>
              <w:t>​</w:t>
            </w:r>
          </w:p>
        </w:tc>
        <w:tc>
          <w:tcPr>
            <w:tcW w:w="219" w:type="dxa"/>
            <w:tcBorders/>
            <w:vAlign w:val="center"/>
          </w:tcPr>
          <w:p>
            <w:pPr>
              <w:pStyle w:val="TableContents"/>
              <w:bidi w:val="0"/>
              <w:spacing w:before="0" w:after="1"/>
              <w:ind w:left="0" w:right="0" w:hanging="0"/>
              <w:jc w:val="left"/>
              <w:rPr/>
            </w:pPr>
            <w:r>
              <w:rPr/>
              <w:t> </w:t>
            </w:r>
          </w:p>
        </w:tc>
        <w:tc>
          <w:tcPr>
            <w:tcW w:w="898"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623</w:t>
            </w:r>
          </w:p>
        </w:tc>
        <w:tc>
          <w:tcPr>
            <w:tcW w:w="326" w:type="dxa"/>
            <w:tcBorders/>
            <w:vAlign w:val="center"/>
          </w:tcPr>
          <w:p>
            <w:pPr>
              <w:pStyle w:val="TableContents"/>
              <w:bidi w:val="0"/>
              <w:spacing w:before="0" w:after="1"/>
              <w:ind w:left="0" w:right="0" w:hanging="0"/>
              <w:jc w:val="left"/>
              <w:rPr/>
            </w:pPr>
            <w:r>
              <w:rPr/>
              <w:t>​</w:t>
            </w:r>
          </w:p>
        </w:tc>
        <w:tc>
          <w:tcPr>
            <w:tcW w:w="233" w:type="dxa"/>
            <w:tcBorders/>
            <w:vAlign w:val="center"/>
          </w:tcPr>
          <w:p>
            <w:pPr>
              <w:pStyle w:val="TableContents"/>
              <w:bidi w:val="0"/>
              <w:spacing w:before="0" w:after="1"/>
              <w:ind w:left="0" w:right="0" w:hanging="0"/>
              <w:jc w:val="left"/>
              <w:rPr/>
            </w:pPr>
            <w:r>
              <w:rPr/>
              <w:t> </w:t>
            </w:r>
          </w:p>
        </w:tc>
        <w:tc>
          <w:tcPr>
            <w:tcW w:w="1008"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430</w:t>
            </w:r>
          </w:p>
        </w:tc>
      </w:tr>
      <w:tr>
        <w:trPr/>
        <w:tc>
          <w:tcPr>
            <w:tcW w:w="7195" w:type="dxa"/>
            <w:tcBorders/>
            <w:shd w:fill="CCEEFF" w:val="clear"/>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Prepaid expenses and other current assets</w:t>
            </w:r>
          </w:p>
        </w:tc>
        <w:tc>
          <w:tcPr>
            <w:tcW w:w="326" w:type="dxa"/>
            <w:tcBorders/>
            <w:shd w:fill="CCEEFF" w:val="clear"/>
            <w:vAlign w:val="center"/>
          </w:tcPr>
          <w:p>
            <w:pPr>
              <w:pStyle w:val="TableContents"/>
              <w:bidi w:val="0"/>
              <w:spacing w:before="0" w:after="1"/>
              <w:ind w:left="0" w:right="0" w:hanging="0"/>
              <w:jc w:val="left"/>
              <w:rPr/>
            </w:pPr>
            <w:r>
              <w:rPr/>
              <w:t>​</w:t>
            </w:r>
          </w:p>
        </w:tc>
        <w:tc>
          <w:tcPr>
            <w:tcW w:w="219"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98"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316</w:t>
            </w:r>
          </w:p>
        </w:tc>
        <w:tc>
          <w:tcPr>
            <w:tcW w:w="326" w:type="dxa"/>
            <w:tcBorders/>
            <w:shd w:fill="CCEEFF" w:val="clear"/>
            <w:vAlign w:val="center"/>
          </w:tcPr>
          <w:p>
            <w:pPr>
              <w:pStyle w:val="TableContents"/>
              <w:bidi w:val="0"/>
              <w:spacing w:before="0" w:after="1"/>
              <w:ind w:left="0" w:right="0" w:hanging="0"/>
              <w:jc w:val="left"/>
              <w:rPr/>
            </w:pPr>
            <w:r>
              <w:rPr/>
              <w:t>​</w:t>
            </w:r>
          </w:p>
        </w:tc>
        <w:tc>
          <w:tcPr>
            <w:tcW w:w="233"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008"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539</w:t>
            </w:r>
          </w:p>
        </w:tc>
      </w:tr>
      <w:tr>
        <w:trPr/>
        <w:tc>
          <w:tcPr>
            <w:tcW w:w="7195" w:type="dxa"/>
            <w:tcBorders/>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current assets</w:t>
            </w:r>
          </w:p>
        </w:tc>
        <w:tc>
          <w:tcPr>
            <w:tcW w:w="326" w:type="dxa"/>
            <w:tcBorders/>
            <w:vAlign w:val="center"/>
          </w:tcPr>
          <w:p>
            <w:pPr>
              <w:pStyle w:val="TableContents"/>
              <w:bidi w:val="0"/>
              <w:spacing w:before="0" w:after="1"/>
              <w:ind w:left="0" w:right="0" w:hanging="0"/>
              <w:jc w:val="left"/>
              <w:rPr/>
            </w:pPr>
            <w:r>
              <w:rPr/>
              <w:t>​</w:t>
            </w:r>
          </w:p>
        </w:tc>
        <w:tc>
          <w:tcPr>
            <w:tcW w:w="219"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98"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11,681</w:t>
            </w:r>
          </w:p>
        </w:tc>
        <w:tc>
          <w:tcPr>
            <w:tcW w:w="326" w:type="dxa"/>
            <w:tcBorders/>
            <w:vAlign w:val="center"/>
          </w:tcPr>
          <w:p>
            <w:pPr>
              <w:pStyle w:val="TableContents"/>
              <w:bidi w:val="0"/>
              <w:spacing w:before="0" w:after="1"/>
              <w:ind w:left="0" w:right="0" w:hanging="0"/>
              <w:jc w:val="left"/>
              <w:rPr/>
            </w:pPr>
            <w:r>
              <w:rPr/>
              <w:t>​</w:t>
            </w:r>
          </w:p>
        </w:tc>
        <w:tc>
          <w:tcPr>
            <w:tcW w:w="233"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008"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15,007</w:t>
            </w:r>
          </w:p>
        </w:tc>
      </w:tr>
      <w:tr>
        <w:trPr/>
        <w:tc>
          <w:tcPr>
            <w:tcW w:w="7195"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9" w:type="dxa"/>
            <w:tcBorders/>
            <w:shd w:fill="CCEEFF" w:val="clear"/>
            <w:vAlign w:val="center"/>
          </w:tcPr>
          <w:p>
            <w:pPr>
              <w:pStyle w:val="TableContents"/>
              <w:bidi w:val="0"/>
              <w:spacing w:before="0" w:after="1"/>
              <w:ind w:left="0" w:right="0" w:hanging="0"/>
              <w:jc w:val="left"/>
              <w:rPr/>
            </w:pPr>
            <w:r>
              <w:rPr/>
              <w:t>​</w:t>
            </w:r>
          </w:p>
        </w:tc>
        <w:tc>
          <w:tcPr>
            <w:tcW w:w="898"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33" w:type="dxa"/>
            <w:tcBorders/>
            <w:shd w:fill="CCEEFF" w:val="clear"/>
            <w:vAlign w:val="center"/>
          </w:tcPr>
          <w:p>
            <w:pPr>
              <w:pStyle w:val="TableContents"/>
              <w:bidi w:val="0"/>
              <w:spacing w:before="0" w:after="1"/>
              <w:ind w:left="0" w:right="0" w:hanging="0"/>
              <w:jc w:val="left"/>
              <w:rPr/>
            </w:pPr>
            <w:r>
              <w:rPr/>
              <w:t>​</w:t>
            </w:r>
          </w:p>
        </w:tc>
        <w:tc>
          <w:tcPr>
            <w:tcW w:w="1008" w:type="dxa"/>
            <w:tcBorders/>
            <w:shd w:fill="CCEEFF" w:val="clear"/>
            <w:vAlign w:val="center"/>
          </w:tcPr>
          <w:p>
            <w:pPr>
              <w:pStyle w:val="TableContents"/>
              <w:bidi w:val="0"/>
              <w:spacing w:before="0" w:after="1"/>
              <w:ind w:left="0" w:right="0" w:hanging="0"/>
              <w:jc w:val="left"/>
              <w:rPr/>
            </w:pPr>
            <w:r>
              <w:rPr/>
              <w:t>​</w:t>
            </w:r>
          </w:p>
        </w:tc>
      </w:tr>
      <w:tr>
        <w:trPr/>
        <w:tc>
          <w:tcPr>
            <w:tcW w:w="7195" w:type="dxa"/>
            <w:tcBorders/>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Property and equipment, net</w:t>
            </w:r>
          </w:p>
        </w:tc>
        <w:tc>
          <w:tcPr>
            <w:tcW w:w="326" w:type="dxa"/>
            <w:tcBorders/>
            <w:vAlign w:val="center"/>
          </w:tcPr>
          <w:p>
            <w:pPr>
              <w:pStyle w:val="TableContents"/>
              <w:bidi w:val="0"/>
              <w:spacing w:before="0" w:after="1"/>
              <w:ind w:left="0" w:right="0" w:hanging="0"/>
              <w:jc w:val="left"/>
              <w:rPr/>
            </w:pPr>
            <w:r>
              <w:rPr/>
              <w:t>​</w:t>
            </w:r>
          </w:p>
        </w:tc>
        <w:tc>
          <w:tcPr>
            <w:tcW w:w="219" w:type="dxa"/>
            <w:tcBorders/>
            <w:vAlign w:val="center"/>
          </w:tcPr>
          <w:p>
            <w:pPr>
              <w:pStyle w:val="TableContents"/>
              <w:bidi w:val="0"/>
              <w:spacing w:before="0" w:after="1"/>
              <w:ind w:left="0" w:right="0" w:hanging="0"/>
              <w:jc w:val="left"/>
              <w:rPr/>
            </w:pPr>
            <w:r>
              <w:rPr/>
              <w:t> </w:t>
            </w:r>
          </w:p>
        </w:tc>
        <w:tc>
          <w:tcPr>
            <w:tcW w:w="898"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382</w:t>
            </w:r>
          </w:p>
        </w:tc>
        <w:tc>
          <w:tcPr>
            <w:tcW w:w="326" w:type="dxa"/>
            <w:tcBorders/>
            <w:vAlign w:val="center"/>
          </w:tcPr>
          <w:p>
            <w:pPr>
              <w:pStyle w:val="TableContents"/>
              <w:bidi w:val="0"/>
              <w:spacing w:before="0" w:after="1"/>
              <w:ind w:left="0" w:right="0" w:hanging="0"/>
              <w:jc w:val="left"/>
              <w:rPr/>
            </w:pPr>
            <w:r>
              <w:rPr/>
              <w:t>​</w:t>
            </w:r>
          </w:p>
        </w:tc>
        <w:tc>
          <w:tcPr>
            <w:tcW w:w="233" w:type="dxa"/>
            <w:tcBorders/>
            <w:vAlign w:val="center"/>
          </w:tcPr>
          <w:p>
            <w:pPr>
              <w:pStyle w:val="TableContents"/>
              <w:bidi w:val="0"/>
              <w:spacing w:before="0" w:after="1"/>
              <w:ind w:left="0" w:right="0" w:hanging="0"/>
              <w:jc w:val="left"/>
              <w:rPr/>
            </w:pPr>
            <w:r>
              <w:rPr/>
              <w:t> </w:t>
            </w:r>
          </w:p>
        </w:tc>
        <w:tc>
          <w:tcPr>
            <w:tcW w:w="1008"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429</w:t>
            </w:r>
          </w:p>
        </w:tc>
      </w:tr>
      <w:tr>
        <w:trPr/>
        <w:tc>
          <w:tcPr>
            <w:tcW w:w="7195" w:type="dxa"/>
            <w:tcBorders/>
            <w:shd w:fill="CCEEFF" w:val="clear"/>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Operating lease right-of-use assets</w:t>
            </w:r>
          </w:p>
        </w:tc>
        <w:tc>
          <w:tcPr>
            <w:tcW w:w="326" w:type="dxa"/>
            <w:tcBorders/>
            <w:shd w:fill="CCEEFF" w:val="clear"/>
            <w:vAlign w:val="center"/>
          </w:tcPr>
          <w:p>
            <w:pPr>
              <w:pStyle w:val="TableContents"/>
              <w:bidi w:val="0"/>
              <w:spacing w:before="0" w:after="1"/>
              <w:ind w:left="0" w:right="0" w:hanging="0"/>
              <w:jc w:val="left"/>
              <w:rPr/>
            </w:pPr>
            <w:r>
              <w:rPr/>
              <w:t>​</w:t>
            </w:r>
          </w:p>
        </w:tc>
        <w:tc>
          <w:tcPr>
            <w:tcW w:w="219"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98"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1,029</w:t>
            </w:r>
          </w:p>
        </w:tc>
        <w:tc>
          <w:tcPr>
            <w:tcW w:w="326" w:type="dxa"/>
            <w:tcBorders/>
            <w:shd w:fill="CCEEFF" w:val="clear"/>
            <w:vAlign w:val="center"/>
          </w:tcPr>
          <w:p>
            <w:pPr>
              <w:pStyle w:val="TableContents"/>
              <w:bidi w:val="0"/>
              <w:spacing w:before="0" w:after="1"/>
              <w:ind w:left="0" w:right="0" w:hanging="0"/>
              <w:jc w:val="left"/>
              <w:rPr/>
            </w:pPr>
            <w:r>
              <w:rPr/>
              <w:t>​</w:t>
            </w:r>
          </w:p>
        </w:tc>
        <w:tc>
          <w:tcPr>
            <w:tcW w:w="233"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008"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1,240</w:t>
            </w:r>
          </w:p>
        </w:tc>
      </w:tr>
      <w:tr>
        <w:trPr/>
        <w:tc>
          <w:tcPr>
            <w:tcW w:w="7195" w:type="dxa"/>
            <w:tcBorders/>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assets</w:t>
            </w:r>
          </w:p>
        </w:tc>
        <w:tc>
          <w:tcPr>
            <w:tcW w:w="326" w:type="dxa"/>
            <w:tcBorders/>
            <w:vAlign w:val="center"/>
          </w:tcPr>
          <w:p>
            <w:pPr>
              <w:pStyle w:val="TableContents"/>
              <w:bidi w:val="0"/>
              <w:spacing w:before="0" w:after="1"/>
              <w:ind w:left="0" w:right="0" w:hanging="0"/>
              <w:jc w:val="left"/>
              <w:rPr/>
            </w:pPr>
            <w:r>
              <w:rPr/>
              <w:t>​</w:t>
            </w:r>
          </w:p>
        </w:tc>
        <w:tc>
          <w:tcPr>
            <w:tcW w:w="219"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98"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13,092</w:t>
            </w:r>
          </w:p>
        </w:tc>
        <w:tc>
          <w:tcPr>
            <w:tcW w:w="326" w:type="dxa"/>
            <w:tcBorders/>
            <w:vAlign w:val="center"/>
          </w:tcPr>
          <w:p>
            <w:pPr>
              <w:pStyle w:val="TableContents"/>
              <w:bidi w:val="0"/>
              <w:spacing w:before="0" w:after="1"/>
              <w:ind w:left="0" w:right="0" w:hanging="0"/>
              <w:jc w:val="left"/>
              <w:rPr/>
            </w:pPr>
            <w:r>
              <w:rPr/>
              <w:t>​</w:t>
            </w:r>
          </w:p>
        </w:tc>
        <w:tc>
          <w:tcPr>
            <w:tcW w:w="233"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08"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16,676</w:t>
            </w:r>
          </w:p>
        </w:tc>
      </w:tr>
      <w:tr>
        <w:trPr/>
        <w:tc>
          <w:tcPr>
            <w:tcW w:w="7195" w:type="dxa"/>
            <w:tcBorders/>
            <w:shd w:fill="CCEEFF" w:val="clear"/>
            <w:vAlign w:val="center"/>
          </w:tcPr>
          <w:p>
            <w:pPr>
              <w:pStyle w:val="TableContents"/>
              <w:pBdr/>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LIABILITIES AND STOCKHOLDERS’ EQUITY</w:t>
            </w:r>
          </w:p>
        </w:tc>
        <w:tc>
          <w:tcPr>
            <w:tcW w:w="326" w:type="dxa"/>
            <w:tcBorders/>
            <w:shd w:fill="CCEEFF" w:val="clear"/>
            <w:vAlign w:val="center"/>
          </w:tcPr>
          <w:p>
            <w:pPr>
              <w:pStyle w:val="TableContents"/>
              <w:bidi w:val="0"/>
              <w:spacing w:before="0" w:after="1"/>
              <w:ind w:left="0" w:right="0" w:hanging="0"/>
              <w:jc w:val="left"/>
              <w:rPr/>
            </w:pPr>
            <w:r>
              <w:rPr/>
              <w:t>​</w:t>
            </w:r>
          </w:p>
        </w:tc>
        <w:tc>
          <w:tcPr>
            <w:tcW w:w="219" w:type="dxa"/>
            <w:tcBorders/>
            <w:shd w:fill="CCEEFF" w:val="clear"/>
            <w:vAlign w:val="center"/>
          </w:tcPr>
          <w:p>
            <w:pPr>
              <w:pStyle w:val="TableContents"/>
              <w:bidi w:val="0"/>
              <w:spacing w:before="0" w:after="1"/>
              <w:ind w:left="0" w:right="0" w:hanging="0"/>
              <w:jc w:val="left"/>
              <w:rPr/>
            </w:pPr>
            <w:r>
              <w:rPr/>
              <w:t> </w:t>
            </w:r>
          </w:p>
        </w:tc>
        <w:tc>
          <w:tcPr>
            <w:tcW w:w="898" w:type="dxa"/>
            <w:tcBorders/>
            <w:shd w:fill="CCEEFF" w:val="clear"/>
            <w:vAlign w:val="center"/>
          </w:tcPr>
          <w:p>
            <w:pPr>
              <w:pStyle w:val="TableContents"/>
              <w:bidi w:val="0"/>
              <w:spacing w:before="0" w:after="1"/>
              <w:ind w:left="0" w:right="0" w:hanging="0"/>
              <w:jc w:val="right"/>
              <w:rPr/>
            </w:pPr>
            <w:r>
              <w:rPr/>
              <w:t>  </w:t>
            </w:r>
          </w:p>
        </w:tc>
        <w:tc>
          <w:tcPr>
            <w:tcW w:w="326" w:type="dxa"/>
            <w:tcBorders/>
            <w:shd w:fill="CCEEFF" w:val="clear"/>
            <w:vAlign w:val="center"/>
          </w:tcPr>
          <w:p>
            <w:pPr>
              <w:pStyle w:val="TableContents"/>
              <w:bidi w:val="0"/>
              <w:spacing w:before="0" w:after="1"/>
              <w:ind w:left="0" w:right="0" w:hanging="0"/>
              <w:jc w:val="left"/>
              <w:rPr/>
            </w:pPr>
            <w:r>
              <w:rPr/>
              <w:t>​</w:t>
            </w:r>
          </w:p>
        </w:tc>
        <w:tc>
          <w:tcPr>
            <w:tcW w:w="233" w:type="dxa"/>
            <w:tcBorders/>
            <w:shd w:fill="CCEEFF" w:val="clear"/>
            <w:vAlign w:val="center"/>
          </w:tcPr>
          <w:p>
            <w:pPr>
              <w:pStyle w:val="TableContents"/>
              <w:bidi w:val="0"/>
              <w:spacing w:before="0" w:after="1"/>
              <w:ind w:left="0" w:right="0" w:hanging="0"/>
              <w:jc w:val="left"/>
              <w:rPr/>
            </w:pPr>
            <w:r>
              <w:rPr/>
              <w:t> </w:t>
            </w:r>
          </w:p>
        </w:tc>
        <w:tc>
          <w:tcPr>
            <w:tcW w:w="1008" w:type="dxa"/>
            <w:tcBorders/>
            <w:shd w:fill="CCEEFF" w:val="clear"/>
            <w:vAlign w:val="center"/>
          </w:tcPr>
          <w:p>
            <w:pPr>
              <w:pStyle w:val="TableContents"/>
              <w:bidi w:val="0"/>
              <w:spacing w:before="0" w:after="1"/>
              <w:ind w:left="0" w:right="0" w:hanging="0"/>
              <w:jc w:val="right"/>
              <w:rPr/>
            </w:pPr>
            <w:r>
              <w:rPr/>
              <w:t>  </w:t>
            </w:r>
          </w:p>
        </w:tc>
      </w:tr>
      <w:tr>
        <w:trPr/>
        <w:tc>
          <w:tcPr>
            <w:tcW w:w="7195" w:type="dxa"/>
            <w:tcBorders/>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Current liabilities:</w:t>
            </w:r>
          </w:p>
        </w:tc>
        <w:tc>
          <w:tcPr>
            <w:tcW w:w="326" w:type="dxa"/>
            <w:tcBorders/>
            <w:vAlign w:val="center"/>
          </w:tcPr>
          <w:p>
            <w:pPr>
              <w:pStyle w:val="TableContents"/>
              <w:bidi w:val="0"/>
              <w:spacing w:before="0" w:after="1"/>
              <w:ind w:left="0" w:right="0" w:hanging="0"/>
              <w:jc w:val="left"/>
              <w:rPr/>
            </w:pPr>
            <w:r>
              <w:rPr/>
              <w:t>​</w:t>
            </w:r>
          </w:p>
        </w:tc>
        <w:tc>
          <w:tcPr>
            <w:tcW w:w="219" w:type="dxa"/>
            <w:tcBorders/>
            <w:vAlign w:val="center"/>
          </w:tcPr>
          <w:p>
            <w:pPr>
              <w:pStyle w:val="TableContents"/>
              <w:bidi w:val="0"/>
              <w:spacing w:before="0" w:after="1"/>
              <w:ind w:left="0" w:right="0" w:hanging="0"/>
              <w:jc w:val="left"/>
              <w:rPr/>
            </w:pPr>
            <w:r>
              <w:rPr/>
              <w:t> </w:t>
            </w:r>
          </w:p>
        </w:tc>
        <w:tc>
          <w:tcPr>
            <w:tcW w:w="898" w:type="dxa"/>
            <w:tcBorders/>
            <w:vAlign w:val="center"/>
          </w:tcPr>
          <w:p>
            <w:pPr>
              <w:pStyle w:val="TableContents"/>
              <w:bidi w:val="0"/>
              <w:spacing w:before="0" w:after="1"/>
              <w:ind w:left="0" w:right="0" w:hanging="0"/>
              <w:jc w:val="right"/>
              <w:rPr/>
            </w:pPr>
            <w:r>
              <w:rPr/>
              <w:t>  </w:t>
            </w:r>
          </w:p>
        </w:tc>
        <w:tc>
          <w:tcPr>
            <w:tcW w:w="326" w:type="dxa"/>
            <w:tcBorders/>
            <w:vAlign w:val="center"/>
          </w:tcPr>
          <w:p>
            <w:pPr>
              <w:pStyle w:val="TableContents"/>
              <w:bidi w:val="0"/>
              <w:spacing w:before="0" w:after="1"/>
              <w:ind w:left="0" w:right="0" w:hanging="0"/>
              <w:jc w:val="left"/>
              <w:rPr/>
            </w:pPr>
            <w:r>
              <w:rPr/>
              <w:t>​</w:t>
            </w:r>
          </w:p>
        </w:tc>
        <w:tc>
          <w:tcPr>
            <w:tcW w:w="233" w:type="dxa"/>
            <w:tcBorders/>
            <w:vAlign w:val="center"/>
          </w:tcPr>
          <w:p>
            <w:pPr>
              <w:pStyle w:val="TableContents"/>
              <w:bidi w:val="0"/>
              <w:spacing w:before="0" w:after="1"/>
              <w:ind w:left="0" w:right="0" w:hanging="0"/>
              <w:jc w:val="left"/>
              <w:rPr/>
            </w:pPr>
            <w:r>
              <w:rPr/>
              <w:t> </w:t>
            </w:r>
          </w:p>
        </w:tc>
        <w:tc>
          <w:tcPr>
            <w:tcW w:w="1008" w:type="dxa"/>
            <w:tcBorders/>
            <w:vAlign w:val="center"/>
          </w:tcPr>
          <w:p>
            <w:pPr>
              <w:pStyle w:val="TableContents"/>
              <w:bidi w:val="0"/>
              <w:spacing w:before="0" w:after="1"/>
              <w:ind w:left="0" w:right="0" w:hanging="0"/>
              <w:jc w:val="right"/>
              <w:rPr/>
            </w:pPr>
            <w:r>
              <w:rPr/>
              <w:t>  </w:t>
            </w:r>
          </w:p>
        </w:tc>
      </w:tr>
      <w:tr>
        <w:trPr/>
        <w:tc>
          <w:tcPr>
            <w:tcW w:w="7195" w:type="dxa"/>
            <w:tcBorders/>
            <w:shd w:fill="CCEEFF" w:val="clear"/>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Accounts payable</w:t>
            </w:r>
          </w:p>
        </w:tc>
        <w:tc>
          <w:tcPr>
            <w:tcW w:w="326" w:type="dxa"/>
            <w:tcBorders/>
            <w:shd w:fill="CCEEFF" w:val="clear"/>
            <w:vAlign w:val="center"/>
          </w:tcPr>
          <w:p>
            <w:pPr>
              <w:pStyle w:val="TableContents"/>
              <w:bidi w:val="0"/>
              <w:spacing w:before="0" w:after="1"/>
              <w:ind w:left="0" w:right="0" w:hanging="0"/>
              <w:jc w:val="left"/>
              <w:rPr/>
            </w:pPr>
            <w:r>
              <w:rPr/>
              <w:t>​</w:t>
            </w:r>
          </w:p>
        </w:tc>
        <w:tc>
          <w:tcPr>
            <w:tcW w:w="219"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9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1,532</w:t>
            </w:r>
          </w:p>
        </w:tc>
        <w:tc>
          <w:tcPr>
            <w:tcW w:w="326" w:type="dxa"/>
            <w:tcBorders/>
            <w:shd w:fill="CCEEFF" w:val="clear"/>
            <w:vAlign w:val="center"/>
          </w:tcPr>
          <w:p>
            <w:pPr>
              <w:pStyle w:val="TableContents"/>
              <w:bidi w:val="0"/>
              <w:spacing w:before="0" w:after="1"/>
              <w:ind w:left="0" w:right="0" w:hanging="0"/>
              <w:jc w:val="left"/>
              <w:rPr/>
            </w:pPr>
            <w:r>
              <w:rPr/>
              <w:t>​</w:t>
            </w:r>
          </w:p>
        </w:tc>
        <w:tc>
          <w:tcPr>
            <w:tcW w:w="233"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0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1,879</w:t>
            </w:r>
          </w:p>
        </w:tc>
      </w:tr>
      <w:tr>
        <w:trPr/>
        <w:tc>
          <w:tcPr>
            <w:tcW w:w="7195" w:type="dxa"/>
            <w:tcBorders/>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Accrued expenses</w:t>
            </w:r>
          </w:p>
        </w:tc>
        <w:tc>
          <w:tcPr>
            <w:tcW w:w="326" w:type="dxa"/>
            <w:tcBorders/>
            <w:vAlign w:val="center"/>
          </w:tcPr>
          <w:p>
            <w:pPr>
              <w:pStyle w:val="TableContents"/>
              <w:bidi w:val="0"/>
              <w:spacing w:before="0" w:after="1"/>
              <w:ind w:left="0" w:right="0" w:hanging="0"/>
              <w:jc w:val="left"/>
              <w:rPr/>
            </w:pPr>
            <w:r>
              <w:rPr/>
              <w:t>​</w:t>
            </w:r>
          </w:p>
        </w:tc>
        <w:tc>
          <w:tcPr>
            <w:tcW w:w="219" w:type="dxa"/>
            <w:tcBorders/>
            <w:vAlign w:val="center"/>
          </w:tcPr>
          <w:p>
            <w:pPr>
              <w:pStyle w:val="TableContents"/>
              <w:bidi w:val="0"/>
              <w:spacing w:before="0" w:after="1"/>
              <w:ind w:left="0" w:right="0" w:hanging="0"/>
              <w:jc w:val="left"/>
              <w:rPr/>
            </w:pPr>
            <w:r>
              <w:rPr/>
              <w:t> </w:t>
            </w:r>
          </w:p>
        </w:tc>
        <w:tc>
          <w:tcPr>
            <w:tcW w:w="898"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1,170</w:t>
            </w:r>
          </w:p>
        </w:tc>
        <w:tc>
          <w:tcPr>
            <w:tcW w:w="326" w:type="dxa"/>
            <w:tcBorders/>
            <w:vAlign w:val="center"/>
          </w:tcPr>
          <w:p>
            <w:pPr>
              <w:pStyle w:val="TableContents"/>
              <w:bidi w:val="0"/>
              <w:spacing w:before="0" w:after="1"/>
              <w:ind w:left="0" w:right="0" w:hanging="0"/>
              <w:jc w:val="left"/>
              <w:rPr/>
            </w:pPr>
            <w:r>
              <w:rPr/>
              <w:t>​</w:t>
            </w:r>
          </w:p>
        </w:tc>
        <w:tc>
          <w:tcPr>
            <w:tcW w:w="233" w:type="dxa"/>
            <w:tcBorders/>
            <w:vAlign w:val="center"/>
          </w:tcPr>
          <w:p>
            <w:pPr>
              <w:pStyle w:val="TableContents"/>
              <w:bidi w:val="0"/>
              <w:spacing w:before="0" w:after="1"/>
              <w:ind w:left="0" w:right="0" w:hanging="0"/>
              <w:jc w:val="left"/>
              <w:rPr/>
            </w:pPr>
            <w:r>
              <w:rPr/>
              <w:t> </w:t>
            </w:r>
          </w:p>
        </w:tc>
        <w:tc>
          <w:tcPr>
            <w:tcW w:w="1008"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1,254</w:t>
            </w:r>
          </w:p>
        </w:tc>
      </w:tr>
      <w:tr>
        <w:trPr/>
        <w:tc>
          <w:tcPr>
            <w:tcW w:w="7195" w:type="dxa"/>
            <w:tcBorders/>
            <w:shd w:fill="CCEEFF" w:val="clear"/>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Accrued severance expense</w:t>
            </w:r>
          </w:p>
        </w:tc>
        <w:tc>
          <w:tcPr>
            <w:tcW w:w="326" w:type="dxa"/>
            <w:tcBorders/>
            <w:shd w:fill="CCEEFF" w:val="clear"/>
            <w:vAlign w:val="center"/>
          </w:tcPr>
          <w:p>
            <w:pPr>
              <w:pStyle w:val="TableContents"/>
              <w:bidi w:val="0"/>
              <w:spacing w:before="0" w:after="1"/>
              <w:ind w:left="0" w:right="0" w:hanging="0"/>
              <w:jc w:val="left"/>
              <w:rPr/>
            </w:pPr>
            <w:r>
              <w:rPr/>
              <w:t>​</w:t>
            </w:r>
          </w:p>
        </w:tc>
        <w:tc>
          <w:tcPr>
            <w:tcW w:w="219" w:type="dxa"/>
            <w:tcBorders/>
            <w:shd w:fill="CCEEFF" w:val="clear"/>
            <w:vAlign w:val="center"/>
          </w:tcPr>
          <w:p>
            <w:pPr>
              <w:pStyle w:val="TableContents"/>
              <w:bidi w:val="0"/>
              <w:spacing w:before="0" w:after="1"/>
              <w:ind w:left="0" w:right="0" w:hanging="0"/>
              <w:jc w:val="left"/>
              <w:rPr/>
            </w:pPr>
            <w:r>
              <w:rPr/>
              <w:t> </w:t>
            </w:r>
          </w:p>
        </w:tc>
        <w:tc>
          <w:tcPr>
            <w:tcW w:w="89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1,469</w:t>
            </w:r>
          </w:p>
        </w:tc>
        <w:tc>
          <w:tcPr>
            <w:tcW w:w="326" w:type="dxa"/>
            <w:tcBorders/>
            <w:shd w:fill="CCEEFF" w:val="clear"/>
            <w:vAlign w:val="center"/>
          </w:tcPr>
          <w:p>
            <w:pPr>
              <w:pStyle w:val="TableContents"/>
              <w:bidi w:val="0"/>
              <w:spacing w:before="0" w:after="1"/>
              <w:ind w:left="0" w:right="0" w:hanging="0"/>
              <w:jc w:val="left"/>
              <w:rPr/>
            </w:pPr>
            <w:r>
              <w:rPr/>
              <w:t>​</w:t>
            </w:r>
          </w:p>
        </w:tc>
        <w:tc>
          <w:tcPr>
            <w:tcW w:w="233" w:type="dxa"/>
            <w:tcBorders/>
            <w:shd w:fill="CCEEFF" w:val="clear"/>
            <w:vAlign w:val="center"/>
          </w:tcPr>
          <w:p>
            <w:pPr>
              <w:pStyle w:val="TableContents"/>
              <w:bidi w:val="0"/>
              <w:spacing w:before="0" w:after="1"/>
              <w:ind w:left="0" w:right="0" w:hanging="0"/>
              <w:jc w:val="left"/>
              <w:rPr/>
            </w:pPr>
            <w:r>
              <w:rPr/>
              <w:t> </w:t>
            </w:r>
          </w:p>
        </w:tc>
        <w:tc>
          <w:tcPr>
            <w:tcW w:w="100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134</w:t>
            </w:r>
          </w:p>
        </w:tc>
      </w:tr>
      <w:tr>
        <w:trPr/>
        <w:tc>
          <w:tcPr>
            <w:tcW w:w="7195" w:type="dxa"/>
            <w:tcBorders/>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Warrant liability</w:t>
            </w:r>
          </w:p>
        </w:tc>
        <w:tc>
          <w:tcPr>
            <w:tcW w:w="326" w:type="dxa"/>
            <w:tcBorders/>
            <w:vAlign w:val="center"/>
          </w:tcPr>
          <w:p>
            <w:pPr>
              <w:pStyle w:val="TableContents"/>
              <w:bidi w:val="0"/>
              <w:spacing w:before="0" w:after="1"/>
              <w:ind w:left="0" w:right="0" w:hanging="0"/>
              <w:jc w:val="left"/>
              <w:rPr/>
            </w:pPr>
            <w:r>
              <w:rPr/>
              <w:t>​</w:t>
            </w:r>
          </w:p>
        </w:tc>
        <w:tc>
          <w:tcPr>
            <w:tcW w:w="219" w:type="dxa"/>
            <w:tcBorders/>
            <w:vAlign w:val="center"/>
          </w:tcPr>
          <w:p>
            <w:pPr>
              <w:pStyle w:val="TableContents"/>
              <w:bidi w:val="0"/>
              <w:spacing w:before="0" w:after="1"/>
              <w:ind w:left="0" w:right="0" w:hanging="0"/>
              <w:jc w:val="left"/>
              <w:rPr/>
            </w:pPr>
            <w:r>
              <w:rPr/>
              <w:t> </w:t>
            </w:r>
          </w:p>
        </w:tc>
        <w:tc>
          <w:tcPr>
            <w:tcW w:w="898"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702</w:t>
            </w:r>
          </w:p>
        </w:tc>
        <w:tc>
          <w:tcPr>
            <w:tcW w:w="326" w:type="dxa"/>
            <w:tcBorders/>
            <w:vAlign w:val="center"/>
          </w:tcPr>
          <w:p>
            <w:pPr>
              <w:pStyle w:val="TableContents"/>
              <w:bidi w:val="0"/>
              <w:spacing w:before="0" w:after="1"/>
              <w:ind w:left="0" w:right="0" w:hanging="0"/>
              <w:jc w:val="left"/>
              <w:rPr/>
            </w:pPr>
            <w:r>
              <w:rPr/>
              <w:t>​</w:t>
            </w:r>
          </w:p>
        </w:tc>
        <w:tc>
          <w:tcPr>
            <w:tcW w:w="233" w:type="dxa"/>
            <w:tcBorders/>
            <w:vAlign w:val="center"/>
          </w:tcPr>
          <w:p>
            <w:pPr>
              <w:pStyle w:val="TableContents"/>
              <w:bidi w:val="0"/>
              <w:spacing w:before="0" w:after="1"/>
              <w:ind w:left="0" w:right="0" w:hanging="0"/>
              <w:jc w:val="left"/>
              <w:rPr/>
            </w:pPr>
            <w:r>
              <w:rPr/>
              <w:t> </w:t>
            </w:r>
          </w:p>
        </w:tc>
        <w:tc>
          <w:tcPr>
            <w:tcW w:w="1008"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620</w:t>
            </w:r>
          </w:p>
        </w:tc>
      </w:tr>
      <w:tr>
        <w:trPr/>
        <w:tc>
          <w:tcPr>
            <w:tcW w:w="7195" w:type="dxa"/>
            <w:tcBorders/>
            <w:shd w:fill="CCEEFF" w:val="clear"/>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Operating lease liabilities, current portion</w:t>
            </w:r>
          </w:p>
        </w:tc>
        <w:tc>
          <w:tcPr>
            <w:tcW w:w="326" w:type="dxa"/>
            <w:tcBorders/>
            <w:shd w:fill="CCEEFF" w:val="clear"/>
            <w:vAlign w:val="center"/>
          </w:tcPr>
          <w:p>
            <w:pPr>
              <w:pStyle w:val="TableContents"/>
              <w:bidi w:val="0"/>
              <w:spacing w:before="0" w:after="1"/>
              <w:ind w:left="0" w:right="0" w:hanging="0"/>
              <w:jc w:val="left"/>
              <w:rPr/>
            </w:pPr>
            <w:r>
              <w:rPr/>
              <w:t>​</w:t>
            </w:r>
          </w:p>
        </w:tc>
        <w:tc>
          <w:tcPr>
            <w:tcW w:w="219" w:type="dxa"/>
            <w:tcBorders/>
            <w:shd w:fill="CCEEFF" w:val="clear"/>
            <w:vAlign w:val="center"/>
          </w:tcPr>
          <w:p>
            <w:pPr>
              <w:pStyle w:val="TableContents"/>
              <w:bidi w:val="0"/>
              <w:spacing w:before="0" w:after="1"/>
              <w:ind w:left="0" w:right="0" w:hanging="0"/>
              <w:jc w:val="left"/>
              <w:rPr/>
            </w:pPr>
            <w:r>
              <w:rPr/>
              <w:t> </w:t>
            </w:r>
          </w:p>
        </w:tc>
        <w:tc>
          <w:tcPr>
            <w:tcW w:w="89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684</w:t>
            </w:r>
          </w:p>
        </w:tc>
        <w:tc>
          <w:tcPr>
            <w:tcW w:w="326" w:type="dxa"/>
            <w:tcBorders/>
            <w:shd w:fill="CCEEFF" w:val="clear"/>
            <w:vAlign w:val="center"/>
          </w:tcPr>
          <w:p>
            <w:pPr>
              <w:pStyle w:val="TableContents"/>
              <w:bidi w:val="0"/>
              <w:spacing w:before="0" w:after="1"/>
              <w:ind w:left="0" w:right="0" w:hanging="0"/>
              <w:jc w:val="left"/>
              <w:rPr/>
            </w:pPr>
            <w:r>
              <w:rPr/>
              <w:t>​</w:t>
            </w:r>
          </w:p>
        </w:tc>
        <w:tc>
          <w:tcPr>
            <w:tcW w:w="233" w:type="dxa"/>
            <w:tcBorders/>
            <w:shd w:fill="CCEEFF" w:val="clear"/>
            <w:vAlign w:val="center"/>
          </w:tcPr>
          <w:p>
            <w:pPr>
              <w:pStyle w:val="TableContents"/>
              <w:bidi w:val="0"/>
              <w:spacing w:before="0" w:after="1"/>
              <w:ind w:left="0" w:right="0" w:hanging="0"/>
              <w:jc w:val="left"/>
              <w:rPr/>
            </w:pPr>
            <w:r>
              <w:rPr/>
              <w:t> </w:t>
            </w:r>
          </w:p>
        </w:tc>
        <w:tc>
          <w:tcPr>
            <w:tcW w:w="100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707</w:t>
            </w:r>
          </w:p>
        </w:tc>
      </w:tr>
      <w:tr>
        <w:trPr/>
        <w:tc>
          <w:tcPr>
            <w:tcW w:w="7195" w:type="dxa"/>
            <w:tcBorders/>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Deferred revenue</w:t>
            </w:r>
          </w:p>
        </w:tc>
        <w:tc>
          <w:tcPr>
            <w:tcW w:w="326" w:type="dxa"/>
            <w:tcBorders/>
            <w:vAlign w:val="center"/>
          </w:tcPr>
          <w:p>
            <w:pPr>
              <w:pStyle w:val="TableContents"/>
              <w:bidi w:val="0"/>
              <w:spacing w:before="0" w:after="1"/>
              <w:ind w:left="0" w:right="0" w:hanging="0"/>
              <w:jc w:val="left"/>
              <w:rPr/>
            </w:pPr>
            <w:r>
              <w:rPr/>
              <w:t>​</w:t>
            </w:r>
          </w:p>
        </w:tc>
        <w:tc>
          <w:tcPr>
            <w:tcW w:w="219"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98"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w:t>
            </w:r>
          </w:p>
        </w:tc>
        <w:tc>
          <w:tcPr>
            <w:tcW w:w="326" w:type="dxa"/>
            <w:tcBorders/>
            <w:vAlign w:val="center"/>
          </w:tcPr>
          <w:p>
            <w:pPr>
              <w:pStyle w:val="TableContents"/>
              <w:bidi w:val="0"/>
              <w:spacing w:before="0" w:after="1"/>
              <w:ind w:left="0" w:right="0" w:hanging="0"/>
              <w:jc w:val="left"/>
              <w:rPr/>
            </w:pPr>
            <w:r>
              <w:rPr/>
              <w:t>​</w:t>
            </w:r>
          </w:p>
        </w:tc>
        <w:tc>
          <w:tcPr>
            <w:tcW w:w="233"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008"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27</w:t>
            </w:r>
          </w:p>
        </w:tc>
      </w:tr>
      <w:tr>
        <w:trPr/>
        <w:tc>
          <w:tcPr>
            <w:tcW w:w="7195" w:type="dxa"/>
            <w:tcBorders/>
            <w:shd w:fill="CCEEFF" w:val="clear"/>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current liabilities</w:t>
            </w:r>
          </w:p>
        </w:tc>
        <w:tc>
          <w:tcPr>
            <w:tcW w:w="326" w:type="dxa"/>
            <w:tcBorders/>
            <w:shd w:fill="CCEEFF" w:val="clear"/>
            <w:vAlign w:val="center"/>
          </w:tcPr>
          <w:p>
            <w:pPr>
              <w:pStyle w:val="TableContents"/>
              <w:bidi w:val="0"/>
              <w:spacing w:before="0" w:after="1"/>
              <w:ind w:left="0" w:right="0" w:hanging="0"/>
              <w:jc w:val="left"/>
              <w:rPr/>
            </w:pPr>
            <w:r>
              <w:rPr/>
              <w:t>​</w:t>
            </w:r>
          </w:p>
        </w:tc>
        <w:tc>
          <w:tcPr>
            <w:tcW w:w="219"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98"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5,567</w:t>
            </w:r>
          </w:p>
        </w:tc>
        <w:tc>
          <w:tcPr>
            <w:tcW w:w="326" w:type="dxa"/>
            <w:tcBorders/>
            <w:shd w:fill="CCEEFF" w:val="clear"/>
            <w:vAlign w:val="center"/>
          </w:tcPr>
          <w:p>
            <w:pPr>
              <w:pStyle w:val="TableContents"/>
              <w:bidi w:val="0"/>
              <w:spacing w:before="0" w:after="1"/>
              <w:ind w:left="0" w:right="0" w:hanging="0"/>
              <w:jc w:val="left"/>
              <w:rPr/>
            </w:pPr>
            <w:r>
              <w:rPr/>
              <w:t>​</w:t>
            </w:r>
          </w:p>
        </w:tc>
        <w:tc>
          <w:tcPr>
            <w:tcW w:w="233"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008"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4,621</w:t>
            </w:r>
          </w:p>
        </w:tc>
      </w:tr>
      <w:tr>
        <w:trPr/>
        <w:tc>
          <w:tcPr>
            <w:tcW w:w="7195"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19" w:type="dxa"/>
            <w:tcBorders/>
            <w:vAlign w:val="center"/>
          </w:tcPr>
          <w:p>
            <w:pPr>
              <w:pStyle w:val="TableContents"/>
              <w:bidi w:val="0"/>
              <w:spacing w:before="0" w:after="1"/>
              <w:ind w:left="0" w:right="0" w:hanging="0"/>
              <w:jc w:val="left"/>
              <w:rPr/>
            </w:pPr>
            <w:r>
              <w:rPr/>
              <w:t>​</w:t>
            </w:r>
          </w:p>
        </w:tc>
        <w:tc>
          <w:tcPr>
            <w:tcW w:w="898"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33" w:type="dxa"/>
            <w:tcBorders/>
            <w:vAlign w:val="center"/>
          </w:tcPr>
          <w:p>
            <w:pPr>
              <w:pStyle w:val="TableContents"/>
              <w:bidi w:val="0"/>
              <w:spacing w:before="0" w:after="1"/>
              <w:ind w:left="0" w:right="0" w:hanging="0"/>
              <w:jc w:val="left"/>
              <w:rPr/>
            </w:pPr>
            <w:r>
              <w:rPr/>
              <w:t>​</w:t>
            </w:r>
          </w:p>
        </w:tc>
        <w:tc>
          <w:tcPr>
            <w:tcW w:w="1008" w:type="dxa"/>
            <w:tcBorders/>
            <w:vAlign w:val="center"/>
          </w:tcPr>
          <w:p>
            <w:pPr>
              <w:pStyle w:val="TableContents"/>
              <w:bidi w:val="0"/>
              <w:spacing w:before="0" w:after="1"/>
              <w:ind w:left="0" w:right="0" w:hanging="0"/>
              <w:jc w:val="left"/>
              <w:rPr/>
            </w:pPr>
            <w:r>
              <w:rPr/>
              <w:t>​</w:t>
            </w:r>
          </w:p>
        </w:tc>
      </w:tr>
      <w:tr>
        <w:trPr/>
        <w:tc>
          <w:tcPr>
            <w:tcW w:w="7195" w:type="dxa"/>
            <w:tcBorders/>
            <w:shd w:fill="CCEEFF" w:val="clear"/>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Operating lease liabilities, long-term portion</w:t>
            </w:r>
          </w:p>
        </w:tc>
        <w:tc>
          <w:tcPr>
            <w:tcW w:w="326" w:type="dxa"/>
            <w:tcBorders/>
            <w:shd w:fill="CCEEFF" w:val="clear"/>
            <w:vAlign w:val="center"/>
          </w:tcPr>
          <w:p>
            <w:pPr>
              <w:pStyle w:val="TableContents"/>
              <w:bidi w:val="0"/>
              <w:spacing w:before="0" w:after="1"/>
              <w:ind w:left="0" w:right="0" w:hanging="0"/>
              <w:jc w:val="left"/>
              <w:rPr/>
            </w:pPr>
            <w:r>
              <w:rPr/>
              <w:t>​</w:t>
            </w:r>
          </w:p>
        </w:tc>
        <w:tc>
          <w:tcPr>
            <w:tcW w:w="219"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98"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369</w:t>
            </w:r>
          </w:p>
        </w:tc>
        <w:tc>
          <w:tcPr>
            <w:tcW w:w="326" w:type="dxa"/>
            <w:tcBorders/>
            <w:shd w:fill="CCEEFF" w:val="clear"/>
            <w:vAlign w:val="center"/>
          </w:tcPr>
          <w:p>
            <w:pPr>
              <w:pStyle w:val="TableContents"/>
              <w:bidi w:val="0"/>
              <w:spacing w:before="0" w:after="1"/>
              <w:ind w:left="0" w:right="0" w:hanging="0"/>
              <w:jc w:val="left"/>
              <w:rPr/>
            </w:pPr>
            <w:r>
              <w:rPr/>
              <w:t>​</w:t>
            </w:r>
          </w:p>
        </w:tc>
        <w:tc>
          <w:tcPr>
            <w:tcW w:w="233"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008"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557</w:t>
            </w:r>
          </w:p>
        </w:tc>
      </w:tr>
      <w:tr>
        <w:trPr/>
        <w:tc>
          <w:tcPr>
            <w:tcW w:w="7195" w:type="dxa"/>
            <w:tcBorders/>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liabilities</w:t>
            </w:r>
          </w:p>
        </w:tc>
        <w:tc>
          <w:tcPr>
            <w:tcW w:w="326" w:type="dxa"/>
            <w:tcBorders/>
            <w:vAlign w:val="center"/>
          </w:tcPr>
          <w:p>
            <w:pPr>
              <w:pStyle w:val="TableContents"/>
              <w:bidi w:val="0"/>
              <w:spacing w:before="0" w:after="1"/>
              <w:ind w:left="0" w:right="0" w:hanging="0"/>
              <w:jc w:val="left"/>
              <w:rPr/>
            </w:pPr>
            <w:r>
              <w:rPr/>
              <w:t>​</w:t>
            </w:r>
          </w:p>
        </w:tc>
        <w:tc>
          <w:tcPr>
            <w:tcW w:w="219"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98"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5,936</w:t>
            </w:r>
          </w:p>
        </w:tc>
        <w:tc>
          <w:tcPr>
            <w:tcW w:w="326" w:type="dxa"/>
            <w:tcBorders/>
            <w:vAlign w:val="center"/>
          </w:tcPr>
          <w:p>
            <w:pPr>
              <w:pStyle w:val="TableContents"/>
              <w:bidi w:val="0"/>
              <w:spacing w:before="0" w:after="1"/>
              <w:ind w:left="0" w:right="0" w:hanging="0"/>
              <w:jc w:val="left"/>
              <w:rPr/>
            </w:pPr>
            <w:r>
              <w:rPr/>
              <w:t>​</w:t>
            </w:r>
          </w:p>
        </w:tc>
        <w:tc>
          <w:tcPr>
            <w:tcW w:w="233"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008"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5,178</w:t>
            </w:r>
          </w:p>
        </w:tc>
      </w:tr>
      <w:tr>
        <w:trPr/>
        <w:tc>
          <w:tcPr>
            <w:tcW w:w="7195"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9" w:type="dxa"/>
            <w:tcBorders/>
            <w:shd w:fill="CCEEFF" w:val="clear"/>
            <w:vAlign w:val="center"/>
          </w:tcPr>
          <w:p>
            <w:pPr>
              <w:pStyle w:val="TableContents"/>
              <w:bidi w:val="0"/>
              <w:spacing w:before="0" w:after="1"/>
              <w:ind w:left="0" w:right="0" w:hanging="0"/>
              <w:jc w:val="left"/>
              <w:rPr/>
            </w:pPr>
            <w:r>
              <w:rPr/>
              <w:t>​</w:t>
            </w:r>
          </w:p>
        </w:tc>
        <w:tc>
          <w:tcPr>
            <w:tcW w:w="898"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33" w:type="dxa"/>
            <w:tcBorders/>
            <w:shd w:fill="CCEEFF" w:val="clear"/>
            <w:vAlign w:val="center"/>
          </w:tcPr>
          <w:p>
            <w:pPr>
              <w:pStyle w:val="TableContents"/>
              <w:bidi w:val="0"/>
              <w:spacing w:before="0" w:after="1"/>
              <w:ind w:left="0" w:right="0" w:hanging="0"/>
              <w:jc w:val="left"/>
              <w:rPr/>
            </w:pPr>
            <w:r>
              <w:rPr/>
              <w:t>​</w:t>
            </w:r>
          </w:p>
        </w:tc>
        <w:tc>
          <w:tcPr>
            <w:tcW w:w="1008" w:type="dxa"/>
            <w:tcBorders/>
            <w:shd w:fill="CCEEFF" w:val="clear"/>
            <w:vAlign w:val="center"/>
          </w:tcPr>
          <w:p>
            <w:pPr>
              <w:pStyle w:val="TableContents"/>
              <w:bidi w:val="0"/>
              <w:spacing w:before="0" w:after="1"/>
              <w:ind w:left="0" w:right="0" w:hanging="0"/>
              <w:jc w:val="left"/>
              <w:rPr/>
            </w:pPr>
            <w:r>
              <w:rPr/>
              <w:t>​</w:t>
            </w:r>
          </w:p>
        </w:tc>
      </w:tr>
      <w:tr>
        <w:trPr/>
        <w:tc>
          <w:tcPr>
            <w:tcW w:w="7195" w:type="dxa"/>
            <w:tcBorders/>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Commitments and contingencies (Note 6)</w:t>
            </w:r>
          </w:p>
        </w:tc>
        <w:tc>
          <w:tcPr>
            <w:tcW w:w="326" w:type="dxa"/>
            <w:tcBorders/>
            <w:vAlign w:val="center"/>
          </w:tcPr>
          <w:p>
            <w:pPr>
              <w:pStyle w:val="TableContents"/>
              <w:bidi w:val="0"/>
              <w:spacing w:before="0" w:after="1"/>
              <w:ind w:left="0" w:right="0" w:hanging="0"/>
              <w:jc w:val="left"/>
              <w:rPr/>
            </w:pPr>
            <w:r>
              <w:rPr/>
              <w:t>​</w:t>
            </w:r>
          </w:p>
        </w:tc>
        <w:tc>
          <w:tcPr>
            <w:tcW w:w="219" w:type="dxa"/>
            <w:tcBorders/>
            <w:vAlign w:val="center"/>
          </w:tcPr>
          <w:p>
            <w:pPr>
              <w:pStyle w:val="TableContents"/>
              <w:bidi w:val="0"/>
              <w:spacing w:before="0" w:after="1"/>
              <w:ind w:left="0" w:right="0" w:hanging="0"/>
              <w:jc w:val="left"/>
              <w:rPr/>
            </w:pPr>
            <w:r>
              <w:rPr/>
              <w:t> </w:t>
            </w:r>
          </w:p>
        </w:tc>
        <w:tc>
          <w:tcPr>
            <w:tcW w:w="898" w:type="dxa"/>
            <w:tcBorders/>
            <w:vAlign w:val="center"/>
          </w:tcPr>
          <w:p>
            <w:pPr>
              <w:pStyle w:val="TableContents"/>
              <w:bidi w:val="0"/>
              <w:spacing w:before="0" w:after="1"/>
              <w:ind w:left="0" w:right="0" w:hanging="0"/>
              <w:jc w:val="right"/>
              <w:rPr/>
            </w:pPr>
            <w:r>
              <w:rPr/>
              <w:t>  </w:t>
            </w:r>
          </w:p>
        </w:tc>
        <w:tc>
          <w:tcPr>
            <w:tcW w:w="326" w:type="dxa"/>
            <w:tcBorders/>
            <w:vAlign w:val="center"/>
          </w:tcPr>
          <w:p>
            <w:pPr>
              <w:pStyle w:val="TableContents"/>
              <w:bidi w:val="0"/>
              <w:spacing w:before="0" w:after="1"/>
              <w:ind w:left="0" w:right="0" w:hanging="0"/>
              <w:jc w:val="left"/>
              <w:rPr/>
            </w:pPr>
            <w:r>
              <w:rPr/>
              <w:t>​</w:t>
            </w:r>
          </w:p>
        </w:tc>
        <w:tc>
          <w:tcPr>
            <w:tcW w:w="233" w:type="dxa"/>
            <w:tcBorders/>
            <w:vAlign w:val="center"/>
          </w:tcPr>
          <w:p>
            <w:pPr>
              <w:pStyle w:val="TableContents"/>
              <w:bidi w:val="0"/>
              <w:spacing w:before="0" w:after="1"/>
              <w:ind w:left="0" w:right="0" w:hanging="0"/>
              <w:jc w:val="left"/>
              <w:rPr/>
            </w:pPr>
            <w:r>
              <w:rPr/>
              <w:t> </w:t>
            </w:r>
          </w:p>
        </w:tc>
        <w:tc>
          <w:tcPr>
            <w:tcW w:w="1008" w:type="dxa"/>
            <w:tcBorders/>
            <w:vAlign w:val="center"/>
          </w:tcPr>
          <w:p>
            <w:pPr>
              <w:pStyle w:val="TableContents"/>
              <w:bidi w:val="0"/>
              <w:spacing w:before="0" w:after="1"/>
              <w:ind w:left="0" w:right="0" w:hanging="0"/>
              <w:jc w:val="right"/>
              <w:rPr/>
            </w:pPr>
            <w:r>
              <w:rPr/>
              <w:t>  </w:t>
            </w:r>
          </w:p>
        </w:tc>
      </w:tr>
      <w:tr>
        <w:trPr/>
        <w:tc>
          <w:tcPr>
            <w:tcW w:w="7195" w:type="dxa"/>
            <w:tcBorders/>
            <w:shd w:fill="CCEEFF" w:val="clear"/>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Stockholders’ equity:</w:t>
            </w:r>
          </w:p>
        </w:tc>
        <w:tc>
          <w:tcPr>
            <w:tcW w:w="326" w:type="dxa"/>
            <w:tcBorders/>
            <w:shd w:fill="CCEEFF" w:val="clear"/>
            <w:vAlign w:val="center"/>
          </w:tcPr>
          <w:p>
            <w:pPr>
              <w:pStyle w:val="TableContents"/>
              <w:bidi w:val="0"/>
              <w:spacing w:before="0" w:after="1"/>
              <w:ind w:left="0" w:right="0" w:hanging="0"/>
              <w:jc w:val="left"/>
              <w:rPr/>
            </w:pPr>
            <w:r>
              <w:rPr/>
              <w:t>​</w:t>
            </w:r>
          </w:p>
        </w:tc>
        <w:tc>
          <w:tcPr>
            <w:tcW w:w="219" w:type="dxa"/>
            <w:tcBorders/>
            <w:shd w:fill="CCEEFF" w:val="clear"/>
            <w:vAlign w:val="center"/>
          </w:tcPr>
          <w:p>
            <w:pPr>
              <w:pStyle w:val="TableContents"/>
              <w:bidi w:val="0"/>
              <w:spacing w:before="0" w:after="1"/>
              <w:ind w:left="0" w:right="0" w:hanging="0"/>
              <w:jc w:val="left"/>
              <w:rPr/>
            </w:pPr>
            <w:r>
              <w:rPr/>
              <w:t> </w:t>
            </w:r>
          </w:p>
        </w:tc>
        <w:tc>
          <w:tcPr>
            <w:tcW w:w="898" w:type="dxa"/>
            <w:tcBorders/>
            <w:shd w:fill="CCEEFF" w:val="clear"/>
            <w:vAlign w:val="center"/>
          </w:tcPr>
          <w:p>
            <w:pPr>
              <w:pStyle w:val="TableContents"/>
              <w:bidi w:val="0"/>
              <w:spacing w:before="0" w:after="1"/>
              <w:ind w:left="0" w:right="0" w:hanging="0"/>
              <w:jc w:val="right"/>
              <w:rPr/>
            </w:pPr>
            <w:r>
              <w:rPr/>
              <w:t>  </w:t>
            </w:r>
          </w:p>
        </w:tc>
        <w:tc>
          <w:tcPr>
            <w:tcW w:w="326" w:type="dxa"/>
            <w:tcBorders/>
            <w:shd w:fill="CCEEFF" w:val="clear"/>
            <w:vAlign w:val="center"/>
          </w:tcPr>
          <w:p>
            <w:pPr>
              <w:pStyle w:val="TableContents"/>
              <w:bidi w:val="0"/>
              <w:spacing w:before="0" w:after="1"/>
              <w:ind w:left="0" w:right="0" w:hanging="0"/>
              <w:jc w:val="left"/>
              <w:rPr/>
            </w:pPr>
            <w:r>
              <w:rPr/>
              <w:t>​</w:t>
            </w:r>
          </w:p>
        </w:tc>
        <w:tc>
          <w:tcPr>
            <w:tcW w:w="233" w:type="dxa"/>
            <w:tcBorders/>
            <w:shd w:fill="CCEEFF" w:val="clear"/>
            <w:vAlign w:val="center"/>
          </w:tcPr>
          <w:p>
            <w:pPr>
              <w:pStyle w:val="TableContents"/>
              <w:bidi w:val="0"/>
              <w:spacing w:before="0" w:after="1"/>
              <w:ind w:left="0" w:right="0" w:hanging="0"/>
              <w:jc w:val="left"/>
              <w:rPr/>
            </w:pPr>
            <w:r>
              <w:rPr/>
              <w:t> </w:t>
            </w:r>
          </w:p>
        </w:tc>
        <w:tc>
          <w:tcPr>
            <w:tcW w:w="1008" w:type="dxa"/>
            <w:tcBorders/>
            <w:shd w:fill="CCEEFF" w:val="clear"/>
            <w:vAlign w:val="center"/>
          </w:tcPr>
          <w:p>
            <w:pPr>
              <w:pStyle w:val="TableContents"/>
              <w:bidi w:val="0"/>
              <w:spacing w:before="0" w:after="1"/>
              <w:ind w:left="0" w:right="0" w:hanging="0"/>
              <w:jc w:val="right"/>
              <w:rPr/>
            </w:pPr>
            <w:r>
              <w:rPr/>
              <w:t>  </w:t>
            </w:r>
          </w:p>
        </w:tc>
      </w:tr>
      <w:tr>
        <w:trPr/>
        <w:tc>
          <w:tcPr>
            <w:tcW w:w="7195" w:type="dxa"/>
            <w:tcBorders/>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Preferred Stock, $0.00001 par value, 10,000,000 shares authorized as of March 31, 2024 and December 31, 2023; no shares issued or outstanding as of March 31, 2024 and December 31, 2023.</w:t>
            </w:r>
          </w:p>
        </w:tc>
        <w:tc>
          <w:tcPr>
            <w:tcW w:w="326" w:type="dxa"/>
            <w:tcBorders/>
            <w:vAlign w:val="center"/>
          </w:tcPr>
          <w:p>
            <w:pPr>
              <w:pStyle w:val="TableContents"/>
              <w:bidi w:val="0"/>
              <w:spacing w:before="0" w:after="1"/>
              <w:ind w:left="0" w:right="0" w:hanging="0"/>
              <w:jc w:val="left"/>
              <w:rPr/>
            </w:pPr>
            <w:r>
              <w:rPr/>
              <w:t>​</w:t>
            </w:r>
          </w:p>
        </w:tc>
        <w:tc>
          <w:tcPr>
            <w:tcW w:w="219" w:type="dxa"/>
            <w:tcBorders/>
            <w:vAlign w:val="center"/>
          </w:tcPr>
          <w:p>
            <w:pPr>
              <w:pStyle w:val="TableContents"/>
              <w:bidi w:val="0"/>
              <w:spacing w:before="0" w:after="1"/>
              <w:ind w:left="0" w:right="0" w:hanging="0"/>
              <w:jc w:val="left"/>
              <w:rPr/>
            </w:pPr>
            <w:r>
              <w:rPr/>
              <w:t> </w:t>
            </w:r>
          </w:p>
        </w:tc>
        <w:tc>
          <w:tcPr>
            <w:tcW w:w="898"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33" w:type="dxa"/>
            <w:tcBorders/>
            <w:vAlign w:val="center"/>
          </w:tcPr>
          <w:p>
            <w:pPr>
              <w:pStyle w:val="TableContents"/>
              <w:bidi w:val="0"/>
              <w:spacing w:before="0" w:after="1"/>
              <w:ind w:left="0" w:right="0" w:hanging="0"/>
              <w:jc w:val="left"/>
              <w:rPr/>
            </w:pPr>
            <w:r>
              <w:rPr/>
              <w:t> </w:t>
            </w:r>
          </w:p>
        </w:tc>
        <w:tc>
          <w:tcPr>
            <w:tcW w:w="1008" w:type="dxa"/>
            <w:tcBorders/>
            <w:vAlign w:val="center"/>
          </w:tcPr>
          <w:p>
            <w:pPr>
              <w:pStyle w:val="TableContents"/>
              <w:bidi w:val="0"/>
              <w:spacing w:before="0" w:after="1"/>
              <w:ind w:left="0" w:right="0" w:hanging="0"/>
              <w:jc w:val="right"/>
              <w:rPr/>
            </w:pPr>
            <w:r>
              <w:rPr/>
              <w:t>—</w:t>
            </w:r>
          </w:p>
        </w:tc>
      </w:tr>
      <w:tr>
        <w:trPr/>
        <w:tc>
          <w:tcPr>
            <w:tcW w:w="7195" w:type="dxa"/>
            <w:tcBorders/>
            <w:shd w:fill="CCEEFF" w:val="clear"/>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 xml:space="preserve">Common Stock, $0.00001 par value, 200,000,000 shares authorized as of March 31, 2024 and December 31, 2023; 6,085,766 and 5,471,121 shares </w:t>
            </w:r>
            <w:r>
              <w:rPr>
                <w:rFonts w:ascii="Times New Roman;Times;serif" w:hAnsi="Times New Roman;Times;serif"/>
                <w:b w:val="false"/>
                <w:i w:val="false"/>
                <w:caps w:val="false"/>
                <w:smallCaps w:val="false"/>
                <w:sz w:val="20"/>
              </w:rPr>
              <w:t>issued</w:t>
            </w:r>
            <w:r>
              <w:rPr>
                <w:rFonts w:ascii="Times New Roman;Times;serif" w:hAnsi="Times New Roman;Times;serif"/>
                <w:sz w:val="20"/>
              </w:rPr>
              <w:t xml:space="preserve"> and </w:t>
            </w:r>
            <w:r>
              <w:rPr>
                <w:rFonts w:ascii="Times New Roman;Times;serif" w:hAnsi="Times New Roman;Times;serif"/>
                <w:b w:val="false"/>
                <w:i w:val="false"/>
                <w:caps w:val="false"/>
                <w:smallCaps w:val="false"/>
                <w:sz w:val="20"/>
              </w:rPr>
              <w:t>outstanding</w:t>
            </w:r>
            <w:r>
              <w:rPr>
                <w:rFonts w:ascii="Times New Roman;Times;serif" w:hAnsi="Times New Roman;Times;serif"/>
                <w:sz w:val="20"/>
              </w:rPr>
              <w:t xml:space="preserve"> as of March 31, 2024 and December 31, 2023, respectively.</w:t>
            </w:r>
          </w:p>
        </w:tc>
        <w:tc>
          <w:tcPr>
            <w:tcW w:w="326" w:type="dxa"/>
            <w:tcBorders/>
            <w:shd w:fill="CCEEFF" w:val="clear"/>
            <w:vAlign w:val="center"/>
          </w:tcPr>
          <w:p>
            <w:pPr>
              <w:pStyle w:val="TableContents"/>
              <w:bidi w:val="0"/>
              <w:spacing w:before="0" w:after="1"/>
              <w:ind w:left="0" w:right="0" w:hanging="0"/>
              <w:jc w:val="left"/>
              <w:rPr/>
            </w:pPr>
            <w:r>
              <w:rPr/>
              <w:t>​</w:t>
            </w:r>
          </w:p>
        </w:tc>
        <w:tc>
          <w:tcPr>
            <w:tcW w:w="219" w:type="dxa"/>
            <w:tcBorders/>
            <w:shd w:fill="CCEEFF" w:val="clear"/>
            <w:vAlign w:val="center"/>
          </w:tcPr>
          <w:p>
            <w:pPr>
              <w:pStyle w:val="TableContents"/>
              <w:bidi w:val="0"/>
              <w:spacing w:before="0" w:after="1"/>
              <w:ind w:left="0" w:right="0" w:hanging="0"/>
              <w:jc w:val="left"/>
              <w:rPr/>
            </w:pPr>
            <w:r>
              <w:rPr/>
              <w:t> </w:t>
            </w:r>
          </w:p>
        </w:tc>
        <w:tc>
          <w:tcPr>
            <w:tcW w:w="89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w:t>
            </w:r>
          </w:p>
        </w:tc>
        <w:tc>
          <w:tcPr>
            <w:tcW w:w="326" w:type="dxa"/>
            <w:tcBorders/>
            <w:shd w:fill="CCEEFF" w:val="clear"/>
            <w:vAlign w:val="center"/>
          </w:tcPr>
          <w:p>
            <w:pPr>
              <w:pStyle w:val="TableContents"/>
              <w:bidi w:val="0"/>
              <w:spacing w:before="0" w:after="1"/>
              <w:ind w:left="0" w:right="0" w:hanging="0"/>
              <w:jc w:val="left"/>
              <w:rPr/>
            </w:pPr>
            <w:r>
              <w:rPr/>
              <w:t>​</w:t>
            </w:r>
          </w:p>
        </w:tc>
        <w:tc>
          <w:tcPr>
            <w:tcW w:w="233" w:type="dxa"/>
            <w:tcBorders/>
            <w:shd w:fill="CCEEFF" w:val="clear"/>
            <w:vAlign w:val="center"/>
          </w:tcPr>
          <w:p>
            <w:pPr>
              <w:pStyle w:val="TableContents"/>
              <w:bidi w:val="0"/>
              <w:spacing w:before="0" w:after="1"/>
              <w:ind w:left="0" w:right="0" w:hanging="0"/>
              <w:jc w:val="left"/>
              <w:rPr/>
            </w:pPr>
            <w:r>
              <w:rPr/>
              <w:t> </w:t>
            </w:r>
          </w:p>
        </w:tc>
        <w:tc>
          <w:tcPr>
            <w:tcW w:w="100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w:t>
            </w:r>
          </w:p>
        </w:tc>
      </w:tr>
      <w:tr>
        <w:trPr/>
        <w:tc>
          <w:tcPr>
            <w:tcW w:w="7195" w:type="dxa"/>
            <w:tcBorders/>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Additional paid-in capital</w:t>
            </w:r>
          </w:p>
        </w:tc>
        <w:tc>
          <w:tcPr>
            <w:tcW w:w="326" w:type="dxa"/>
            <w:tcBorders/>
            <w:vAlign w:val="center"/>
          </w:tcPr>
          <w:p>
            <w:pPr>
              <w:pStyle w:val="TableContents"/>
              <w:bidi w:val="0"/>
              <w:spacing w:before="0" w:after="1"/>
              <w:ind w:left="0" w:right="0" w:hanging="0"/>
              <w:jc w:val="left"/>
              <w:rPr/>
            </w:pPr>
            <w:r>
              <w:rPr/>
              <w:t>​</w:t>
            </w:r>
          </w:p>
        </w:tc>
        <w:tc>
          <w:tcPr>
            <w:tcW w:w="219" w:type="dxa"/>
            <w:tcBorders/>
            <w:vAlign w:val="center"/>
          </w:tcPr>
          <w:p>
            <w:pPr>
              <w:pStyle w:val="TableContents"/>
              <w:bidi w:val="0"/>
              <w:spacing w:before="0" w:after="1"/>
              <w:ind w:left="0" w:right="0" w:hanging="0"/>
              <w:jc w:val="left"/>
              <w:rPr/>
            </w:pPr>
            <w:r>
              <w:rPr/>
              <w:t> </w:t>
            </w:r>
          </w:p>
        </w:tc>
        <w:tc>
          <w:tcPr>
            <w:tcW w:w="898"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395,796</w:t>
            </w:r>
          </w:p>
        </w:tc>
        <w:tc>
          <w:tcPr>
            <w:tcW w:w="326" w:type="dxa"/>
            <w:tcBorders/>
            <w:vAlign w:val="center"/>
          </w:tcPr>
          <w:p>
            <w:pPr>
              <w:pStyle w:val="TableContents"/>
              <w:bidi w:val="0"/>
              <w:spacing w:before="0" w:after="1"/>
              <w:ind w:left="0" w:right="0" w:hanging="0"/>
              <w:jc w:val="left"/>
              <w:rPr/>
            </w:pPr>
            <w:r>
              <w:rPr/>
              <w:t>​</w:t>
            </w:r>
          </w:p>
        </w:tc>
        <w:tc>
          <w:tcPr>
            <w:tcW w:w="233" w:type="dxa"/>
            <w:tcBorders/>
            <w:vAlign w:val="center"/>
          </w:tcPr>
          <w:p>
            <w:pPr>
              <w:pStyle w:val="TableContents"/>
              <w:bidi w:val="0"/>
              <w:spacing w:before="0" w:after="1"/>
              <w:ind w:left="0" w:right="0" w:hanging="0"/>
              <w:jc w:val="left"/>
              <w:rPr/>
            </w:pPr>
            <w:r>
              <w:rPr/>
              <w:t> </w:t>
            </w:r>
          </w:p>
        </w:tc>
        <w:tc>
          <w:tcPr>
            <w:tcW w:w="1008"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393,539</w:t>
            </w:r>
          </w:p>
        </w:tc>
      </w:tr>
      <w:tr>
        <w:trPr/>
        <w:tc>
          <w:tcPr>
            <w:tcW w:w="7195" w:type="dxa"/>
            <w:tcBorders/>
            <w:shd w:fill="CCEEFF" w:val="clear"/>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Accumulated deficit</w:t>
            </w:r>
          </w:p>
        </w:tc>
        <w:tc>
          <w:tcPr>
            <w:tcW w:w="326" w:type="dxa"/>
            <w:tcBorders/>
            <w:shd w:fill="CCEEFF" w:val="clear"/>
            <w:vAlign w:val="center"/>
          </w:tcPr>
          <w:p>
            <w:pPr>
              <w:pStyle w:val="TableContents"/>
              <w:bidi w:val="0"/>
              <w:spacing w:before="0" w:after="1"/>
              <w:ind w:left="0" w:right="0" w:hanging="0"/>
              <w:jc w:val="left"/>
              <w:rPr/>
            </w:pPr>
            <w:r>
              <w:rPr/>
              <w:t>​</w:t>
            </w:r>
          </w:p>
        </w:tc>
        <w:tc>
          <w:tcPr>
            <w:tcW w:w="219"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98"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(388,641)</w:t>
            </w:r>
          </w:p>
        </w:tc>
        <w:tc>
          <w:tcPr>
            <w:tcW w:w="326" w:type="dxa"/>
            <w:tcBorders/>
            <w:shd w:fill="CCEEFF" w:val="clear"/>
            <w:vAlign w:val="center"/>
          </w:tcPr>
          <w:p>
            <w:pPr>
              <w:pStyle w:val="TableContents"/>
              <w:bidi w:val="0"/>
              <w:spacing w:before="0" w:after="1"/>
              <w:ind w:left="0" w:right="0" w:hanging="0"/>
              <w:jc w:val="left"/>
              <w:rPr/>
            </w:pPr>
            <w:r>
              <w:rPr/>
              <w:t>​</w:t>
            </w:r>
          </w:p>
        </w:tc>
        <w:tc>
          <w:tcPr>
            <w:tcW w:w="233"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008"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(382,042)</w:t>
            </w:r>
          </w:p>
        </w:tc>
      </w:tr>
      <w:tr>
        <w:trPr/>
        <w:tc>
          <w:tcPr>
            <w:tcW w:w="7195" w:type="dxa"/>
            <w:tcBorders/>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stockholders’ equity</w:t>
            </w:r>
          </w:p>
        </w:tc>
        <w:tc>
          <w:tcPr>
            <w:tcW w:w="326" w:type="dxa"/>
            <w:tcBorders/>
            <w:vAlign w:val="center"/>
          </w:tcPr>
          <w:p>
            <w:pPr>
              <w:pStyle w:val="TableContents"/>
              <w:bidi w:val="0"/>
              <w:spacing w:before="0" w:after="1"/>
              <w:ind w:left="0" w:right="0" w:hanging="0"/>
              <w:jc w:val="left"/>
              <w:rPr/>
            </w:pPr>
            <w:r>
              <w:rPr/>
              <w:t>​</w:t>
            </w:r>
          </w:p>
        </w:tc>
        <w:tc>
          <w:tcPr>
            <w:tcW w:w="219"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98"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7,156</w:t>
            </w:r>
          </w:p>
        </w:tc>
        <w:tc>
          <w:tcPr>
            <w:tcW w:w="326" w:type="dxa"/>
            <w:tcBorders/>
            <w:vAlign w:val="center"/>
          </w:tcPr>
          <w:p>
            <w:pPr>
              <w:pStyle w:val="TableContents"/>
              <w:bidi w:val="0"/>
              <w:spacing w:before="0" w:after="1"/>
              <w:ind w:left="0" w:right="0" w:hanging="0"/>
              <w:jc w:val="left"/>
              <w:rPr/>
            </w:pPr>
            <w:r>
              <w:rPr/>
              <w:t>​</w:t>
            </w:r>
          </w:p>
        </w:tc>
        <w:tc>
          <w:tcPr>
            <w:tcW w:w="233"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008"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11,498</w:t>
            </w:r>
          </w:p>
        </w:tc>
      </w:tr>
      <w:tr>
        <w:trPr/>
        <w:tc>
          <w:tcPr>
            <w:tcW w:w="7195" w:type="dxa"/>
            <w:tcBorders/>
            <w:shd w:fill="CCEEFF" w:val="clear"/>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liabilities and stockholders’ equity</w:t>
            </w:r>
          </w:p>
        </w:tc>
        <w:tc>
          <w:tcPr>
            <w:tcW w:w="326" w:type="dxa"/>
            <w:tcBorders/>
            <w:shd w:fill="CCEEFF" w:val="clear"/>
            <w:vAlign w:val="center"/>
          </w:tcPr>
          <w:p>
            <w:pPr>
              <w:pStyle w:val="TableContents"/>
              <w:bidi w:val="0"/>
              <w:spacing w:before="0" w:after="1"/>
              <w:ind w:left="0" w:right="0" w:hanging="0"/>
              <w:jc w:val="left"/>
              <w:rPr/>
            </w:pPr>
            <w:r>
              <w:rPr/>
              <w:t>​</w:t>
            </w:r>
          </w:p>
        </w:tc>
        <w:tc>
          <w:tcPr>
            <w:tcW w:w="219"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98"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13,092</w:t>
            </w:r>
          </w:p>
        </w:tc>
        <w:tc>
          <w:tcPr>
            <w:tcW w:w="326" w:type="dxa"/>
            <w:tcBorders/>
            <w:shd w:fill="CCEEFF" w:val="clear"/>
            <w:vAlign w:val="center"/>
          </w:tcPr>
          <w:p>
            <w:pPr>
              <w:pStyle w:val="TableContents"/>
              <w:bidi w:val="0"/>
              <w:spacing w:before="0" w:after="1"/>
              <w:ind w:left="0" w:right="0" w:hanging="0"/>
              <w:jc w:val="left"/>
              <w:rPr/>
            </w:pPr>
            <w:r>
              <w:rPr/>
              <w:t>​</w:t>
            </w:r>
          </w:p>
        </w:tc>
        <w:tc>
          <w:tcPr>
            <w:tcW w:w="233"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08" w:type="dxa"/>
            <w:tcBorders>
              <w:bottom w:val="double" w:sz="6" w:space="0" w:color="000000"/>
            </w:tcBorders>
            <w:shd w:fill="CCEEFF" w:val="clear"/>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16,676</w:t>
            </w:r>
          </w:p>
        </w:tc>
      </w:tr>
    </w:tbl>
    <w:p>
      <w:pPr>
        <w:pStyle w:val="TextBody"/>
        <w:bidi w:val="0"/>
        <w:spacing w:before="0" w:after="240"/>
        <w:ind w:left="0" w:right="0" w:hanging="0"/>
        <w:jc w:val="left"/>
        <w:rPr/>
      </w:pPr>
      <w:r>
        <w:rPr/>
        <w:t>​</w:t>
      </w:r>
    </w:p>
    <w:tbl>
      <w:tblPr>
        <w:tblW w:w="9756" w:type="dxa"/>
        <w:jc w:val="left"/>
        <w:tblInd w:w="0" w:type="dxa"/>
        <w:tblLayout w:type="fixed"/>
        <w:tblCellMar>
          <w:top w:w="28" w:type="dxa"/>
          <w:left w:w="28" w:type="dxa"/>
          <w:bottom w:w="28" w:type="dxa"/>
          <w:right w:w="28" w:type="dxa"/>
        </w:tblCellMar>
      </w:tblPr>
      <w:tblGrid>
        <w:gridCol w:w="124"/>
        <w:gridCol w:w="331"/>
        <w:gridCol w:w="9301"/>
      </w:tblGrid>
      <w:tr>
        <w:trPr/>
        <w:tc>
          <w:tcPr>
            <w:tcW w:w="124" w:type="dxa"/>
            <w:tcBorders/>
            <w:vAlign w:val="center"/>
          </w:tcPr>
          <w:p>
            <w:pPr>
              <w:pStyle w:val="TableContents"/>
              <w:bidi w:val="0"/>
              <w:spacing w:before="0" w:after="283"/>
              <w:jc w:val="left"/>
              <w:rPr>
                <w:sz w:val="4"/>
                <w:szCs w:val="4"/>
              </w:rPr>
            </w:pPr>
            <w:r>
              <w:rPr>
                <w:sz w:val="4"/>
                <w:szCs w:val="4"/>
              </w:rPr>
            </w:r>
          </w:p>
        </w:tc>
        <w:tc>
          <w:tcPr>
            <w:tcW w:w="33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930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condensed balance sheet as of December 31, 2023 was derived from the audited balance sheet as of that date.</w:t>
            </w:r>
          </w:p>
        </w:tc>
      </w:tr>
    </w:tbl>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Note: Share and per share amounts have been retroactively adjusted to reflect the impact of a 1-for-20 reverse stock split effected in August 2023, as discussed in Note 1.</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The accompanying notes are an integral part of these condensed financial statements.</w:t>
      </w:r>
    </w:p>
    <w:p>
      <w:pPr>
        <w:pStyle w:val="TextBody"/>
        <w:bidi w:val="0"/>
        <w:spacing w:before="0" w:after="0"/>
        <w:ind w:left="0" w:right="0" w:hanging="0"/>
        <w:jc w:val="left"/>
        <w:rPr/>
      </w:pPr>
      <w:r>
        <w:rPr/>
        <w:t>​</w:t>
      </w:r>
    </w:p>
    <w:p>
      <w:pPr>
        <w:pStyle w:val="TextBody"/>
        <w:bidi w:val="0"/>
        <w:spacing w:before="480" w:after="0"/>
        <w:ind w:left="0" w:right="0" w:hanging="0"/>
        <w:jc w:val="right"/>
        <w:rPr>
          <w:rFonts w:ascii="Times New Roman;Times;serif" w:hAnsi="Times New Roman;Times;serif"/>
          <w:sz w:val="20"/>
        </w:rPr>
      </w:pPr>
      <w:r>
        <w:rPr>
          <w:rFonts w:ascii="Times New Roman;Times;serif" w:hAnsi="Times New Roman;Times;serif"/>
          <w:sz w:val="20"/>
        </w:rPr>
        <w:t>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bookmarkStart w:id="146" w:name="_5e9caa79_f613_4dd6_92d3_18458031921e"/>
      <w:bookmarkEnd w:id="146"/>
      <w:r>
        <w:rPr>
          <w:rFonts w:ascii="Times New Roman;Times;serif" w:hAnsi="Times New Roman;Times;serif"/>
          <w:b/>
          <w:sz w:val="20"/>
        </w:rPr>
        <w:t>Energous Corporation</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CONDENSED STATEMENTS OF OPERATIONS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(in thousands, except share and per share amounts)</w:t>
      </w:r>
    </w:p>
    <w:p>
      <w:pPr>
        <w:pStyle w:val="Normal"/>
        <w:bidi w:val="0"/>
        <w:spacing w:before="0" w:after="0"/>
        <w:jc w:val="left"/>
        <w:rPr>
          <w:sz w:val="4"/>
          <w:szCs w:val="4"/>
        </w:rPr>
      </w:pPr>
      <w:r>
        <w:rPr>
          <w:sz w:val="4"/>
          <w:szCs w:val="4"/>
        </w:rPr>
      </w:r>
      <w:bookmarkStart w:id="147" w:name="Tc_o3rt_NAeBkGTdzXTCZImZA_19_0"/>
      <w:bookmarkStart w:id="148" w:name="Tc_q9MOHV_BFUep6cXNduHgHw_18_5"/>
      <w:bookmarkStart w:id="149" w:name="Tc_7x4DkVlA-E-CRt76gCq_MQ_18_2"/>
      <w:bookmarkStart w:id="150" w:name="Tc_En6bvyJG3UenmtOGgVHmSg_18_0"/>
      <w:bookmarkStart w:id="151" w:name="Tc_t5TmK4j0YUuYn3elYeRjFA_17_5"/>
      <w:bookmarkStart w:id="152" w:name="Tc_63bEC20qLkaQzdybTzTkQQ_17_2"/>
      <w:bookmarkStart w:id="153" w:name="Tc_70RiDTp-zk-LqPD3DHY6AA_17_0"/>
      <w:bookmarkStart w:id="154" w:name="Tc_L5fwA_HMrEWkUtwuni4XBw_16_0"/>
      <w:bookmarkStart w:id="155" w:name="Tc_MoVBPZCQLUiW67nd5ME1GQ_15_0"/>
      <w:bookmarkStart w:id="156" w:name="Tc_m3zy3I7bUUGS71Xk9G6CuQ_14_6"/>
      <w:bookmarkStart w:id="157" w:name="Tc_wm6FSfhGIk-1Y4zqKcbU9A_14_0"/>
      <w:bookmarkStart w:id="158" w:name="Tc_D-KWD7crJUODsHXqUpC5ug_13_3"/>
      <w:bookmarkStart w:id="159" w:name="Tc_VSLXoY4xxUGjE0e4CP7Usg_13_0"/>
      <w:bookmarkStart w:id="160" w:name="Tc_0MuG89DqYkWD07GHRD5BxQ_12_0"/>
      <w:bookmarkStart w:id="161" w:name="Tc_-CMZelG28UuiwZ2Edhybdw_11_0"/>
      <w:bookmarkStart w:id="162" w:name="Tc_Q3DeUe8ZvE-338KTyDgrOw_10_0"/>
      <w:bookmarkStart w:id="163" w:name="Tc_g2IxXSrrBES-bYC7PW9vPA_9_6"/>
      <w:bookmarkStart w:id="164" w:name="Tc_XAO4O4J7skCSbVp-0amrUg_9_0"/>
      <w:bookmarkStart w:id="165" w:name="Tc_Rp0oP1ZlVkCsnw27Y3U6kA_8_0"/>
      <w:bookmarkStart w:id="166" w:name="Tc_k6q9EBN4L0Gq4gwIIkD9ow_7_0"/>
      <w:bookmarkStart w:id="167" w:name="Tc_l4FdvbaSbUeiaBUMIcLyvA_6_0"/>
      <w:bookmarkStart w:id="168" w:name="Tc_ZXxaTZ_XtU-eVatxLMI9Sg_5_0"/>
      <w:bookmarkStart w:id="169" w:name="Tc_DqEBOk464EKJIXmmfVvWLQ_4_0"/>
      <w:bookmarkStart w:id="170" w:name="Tc_k8RPZ1yK70KEti3py_3GBw_3_5"/>
      <w:bookmarkStart w:id="171" w:name="Tc_7zYcZzxQ5kaFaQNda_mFGQ_3_2"/>
      <w:bookmarkStart w:id="172" w:name="Tc_C_btikt-hEuiJioVlFAbDQ_3_0"/>
      <w:bookmarkStart w:id="173" w:name="Tc_x5_8DzOTxUe85HlVsvM3qA_2_5"/>
      <w:bookmarkStart w:id="174" w:name="Tc_bcy7eGx6fEactf_S3QWb2Q_2_2"/>
      <w:bookmarkStart w:id="175" w:name="Tc_CRlNg4irMEqcppI4gwRKfA_1_2"/>
      <w:bookmarkStart w:id="176" w:name="_ab1532d6_e98f_4d90_921c_5a61801ea59d"/>
      <w:bookmarkStart w:id="177" w:name="_088c38cb_98a7_45a8_85d2_aa8a304d16b6"/>
      <w:bookmarkStart w:id="178" w:name="Tc_o3rt_NAeBkGTdzXTCZImZA_19_0"/>
      <w:bookmarkStart w:id="179" w:name="Tc_q9MOHV_BFUep6cXNduHgHw_18_5"/>
      <w:bookmarkStart w:id="180" w:name="Tc_7x4DkVlA-E-CRt76gCq_MQ_18_2"/>
      <w:bookmarkStart w:id="181" w:name="Tc_En6bvyJG3UenmtOGgVHmSg_18_0"/>
      <w:bookmarkStart w:id="182" w:name="Tc_t5TmK4j0YUuYn3elYeRjFA_17_5"/>
      <w:bookmarkStart w:id="183" w:name="Tc_63bEC20qLkaQzdybTzTkQQ_17_2"/>
      <w:bookmarkStart w:id="184" w:name="Tc_70RiDTp-zk-LqPD3DHY6AA_17_0"/>
      <w:bookmarkStart w:id="185" w:name="Tc_L5fwA_HMrEWkUtwuni4XBw_16_0"/>
      <w:bookmarkStart w:id="186" w:name="Tc_MoVBPZCQLUiW67nd5ME1GQ_15_0"/>
      <w:bookmarkStart w:id="187" w:name="Tc_m3zy3I7bUUGS71Xk9G6CuQ_14_6"/>
      <w:bookmarkStart w:id="188" w:name="Tc_wm6FSfhGIk-1Y4zqKcbU9A_14_0"/>
      <w:bookmarkStart w:id="189" w:name="Tc_D-KWD7crJUODsHXqUpC5ug_13_3"/>
      <w:bookmarkStart w:id="190" w:name="Tc_VSLXoY4xxUGjE0e4CP7Usg_13_0"/>
      <w:bookmarkStart w:id="191" w:name="Tc_0MuG89DqYkWD07GHRD5BxQ_12_0"/>
      <w:bookmarkStart w:id="192" w:name="Tc_-CMZelG28UuiwZ2Edhybdw_11_0"/>
      <w:bookmarkStart w:id="193" w:name="Tc_Q3DeUe8ZvE-338KTyDgrOw_10_0"/>
      <w:bookmarkStart w:id="194" w:name="Tc_g2IxXSrrBES-bYC7PW9vPA_9_6"/>
      <w:bookmarkStart w:id="195" w:name="Tc_XAO4O4J7skCSbVp-0amrUg_9_0"/>
      <w:bookmarkStart w:id="196" w:name="Tc_Rp0oP1ZlVkCsnw27Y3U6kA_8_0"/>
      <w:bookmarkStart w:id="197" w:name="Tc_k6q9EBN4L0Gq4gwIIkD9ow_7_0"/>
      <w:bookmarkStart w:id="198" w:name="Tc_l4FdvbaSbUeiaBUMIcLyvA_6_0"/>
      <w:bookmarkStart w:id="199" w:name="Tc_ZXxaTZ_XtU-eVatxLMI9Sg_5_0"/>
      <w:bookmarkStart w:id="200" w:name="Tc_DqEBOk464EKJIXmmfVvWLQ_4_0"/>
      <w:bookmarkStart w:id="201" w:name="Tc_k8RPZ1yK70KEti3py_3GBw_3_5"/>
      <w:bookmarkStart w:id="202" w:name="Tc_7zYcZzxQ5kaFaQNda_mFGQ_3_2"/>
      <w:bookmarkStart w:id="203" w:name="Tc_C_btikt-hEuiJioVlFAbDQ_3_0"/>
      <w:bookmarkStart w:id="204" w:name="Tc_x5_8DzOTxUe85HlVsvM3qA_2_5"/>
      <w:bookmarkStart w:id="205" w:name="Tc_bcy7eGx6fEactf_S3QWb2Q_2_2"/>
      <w:bookmarkStart w:id="206" w:name="Tc_CRlNg4irMEqcppI4gwRKfA_1_2"/>
      <w:bookmarkStart w:id="207" w:name="_ab1532d6_e98f_4d90_921c_5a61801ea59d"/>
      <w:bookmarkStart w:id="208" w:name="_088c38cb_98a7_45a8_85d2_aa8a304d16b6"/>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p>
    <w:tbl>
      <w:tblPr>
        <w:tblW w:w="7990" w:type="dxa"/>
        <w:jc w:val="left"/>
        <w:tblInd w:w="0" w:type="dxa"/>
        <w:tblLayout w:type="fixed"/>
        <w:tblCellMar>
          <w:top w:w="0" w:type="dxa"/>
          <w:left w:w="0" w:type="dxa"/>
          <w:bottom w:w="0" w:type="dxa"/>
          <w:right w:w="0" w:type="dxa"/>
        </w:tblCellMar>
      </w:tblPr>
      <w:tblGrid>
        <w:gridCol w:w="4636"/>
        <w:gridCol w:w="326"/>
        <w:gridCol w:w="235"/>
        <w:gridCol w:w="1039"/>
        <w:gridCol w:w="363"/>
        <w:gridCol w:w="235"/>
        <w:gridCol w:w="1156"/>
      </w:tblGrid>
      <w:tr>
        <w:trPr/>
        <w:tc>
          <w:tcPr>
            <w:tcW w:w="46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2943860" cy="175260"/>
                      <wp:effectExtent l="0" t="0" r="0" b="0"/>
                      <wp:wrapNone/>
                      <wp:docPr id="21" name="Frame21"/>
                      <a:graphic xmlns:a="http://schemas.openxmlformats.org/drawingml/2006/main">
                        <a:graphicData uri="http://schemas.microsoft.com/office/word/2010/wordprocessingShape">
                          <wps:wsp>
                            <wps:cNvSpPr txBox="1"/>
                            <wps:spPr>
                              <a:xfrm>
                                <a:off x="0" y="0"/>
                                <a:ext cx="29438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207010" cy="175260"/>
                      <wp:effectExtent l="0" t="0" r="0" b="0"/>
                      <wp:wrapNone/>
                      <wp:docPr id="22" name="Frame2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3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149225" cy="175260"/>
                      <wp:effectExtent l="0" t="0" r="0" b="0"/>
                      <wp:wrapNone/>
                      <wp:docPr id="23" name="Frame23"/>
                      <a:graphic xmlns:a="http://schemas.openxmlformats.org/drawingml/2006/main">
                        <a:graphicData uri="http://schemas.microsoft.com/office/word/2010/wordprocessingShape">
                          <wps:wsp>
                            <wps:cNvSpPr txBox="1"/>
                            <wps:spPr>
                              <a:xfrm>
                                <a:off x="0" y="0"/>
                                <a:ext cx="14922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3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59765" cy="175260"/>
                      <wp:effectExtent l="0" t="0" r="0" b="0"/>
                      <wp:wrapNone/>
                      <wp:docPr id="24" name="Frame24"/>
                      <a:graphic xmlns:a="http://schemas.openxmlformats.org/drawingml/2006/main">
                        <a:graphicData uri="http://schemas.microsoft.com/office/word/2010/wordprocessingShape">
                          <wps:wsp>
                            <wps:cNvSpPr txBox="1"/>
                            <wps:spPr>
                              <a:xfrm>
                                <a:off x="0" y="0"/>
                                <a:ext cx="65976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6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230505" cy="175260"/>
                      <wp:effectExtent l="0" t="0" r="0" b="0"/>
                      <wp:wrapNone/>
                      <wp:docPr id="25" name="Frame25"/>
                      <a:graphic xmlns:a="http://schemas.openxmlformats.org/drawingml/2006/main">
                        <a:graphicData uri="http://schemas.microsoft.com/office/word/2010/wordprocessingShape">
                          <wps:wsp>
                            <wps:cNvSpPr txBox="1"/>
                            <wps:spPr>
                              <a:xfrm>
                                <a:off x="0" y="0"/>
                                <a:ext cx="23050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3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149225" cy="175260"/>
                      <wp:effectExtent l="0" t="0" r="0" b="0"/>
                      <wp:wrapNone/>
                      <wp:docPr id="26" name="Frame26"/>
                      <a:graphic xmlns:a="http://schemas.openxmlformats.org/drawingml/2006/main">
                        <a:graphicData uri="http://schemas.microsoft.com/office/word/2010/wordprocessingShape">
                          <wps:wsp>
                            <wps:cNvSpPr txBox="1"/>
                            <wps:spPr>
                              <a:xfrm>
                                <a:off x="0" y="0"/>
                                <a:ext cx="14922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1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734060" cy="175260"/>
                      <wp:effectExtent l="0" t="0" r="0" b="0"/>
                      <wp:wrapNone/>
                      <wp:docPr id="27" name="Frame27"/>
                      <a:graphic xmlns:a="http://schemas.openxmlformats.org/drawingml/2006/main">
                        <a:graphicData uri="http://schemas.microsoft.com/office/word/2010/wordprocessingShape">
                          <wps:wsp>
                            <wps:cNvSpPr txBox="1"/>
                            <wps:spPr>
                              <a:xfrm>
                                <a:off x="0" y="0"/>
                                <a:ext cx="7340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463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    </w:t>
            </w:r>
          </w:p>
        </w:tc>
        <w:tc>
          <w:tcPr>
            <w:tcW w:w="3028"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For the Three Months Ended March 31,</w:t>
            </w:r>
          </w:p>
        </w:tc>
      </w:tr>
      <w:tr>
        <w:trPr/>
        <w:tc>
          <w:tcPr>
            <w:tcW w:w="463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1274"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63" w:type="dxa"/>
            <w:tcBorders/>
            <w:vAlign w:val="center"/>
          </w:tcPr>
          <w:p>
            <w:pPr>
              <w:pStyle w:val="TableContents"/>
              <w:bidi w:val="0"/>
              <w:spacing w:before="0" w:after="1"/>
              <w:ind w:left="0" w:right="0" w:hanging="0"/>
              <w:jc w:val="center"/>
              <w:rPr/>
            </w:pPr>
            <w:r>
              <w:rPr/>
              <w:t>    </w:t>
            </w:r>
          </w:p>
        </w:tc>
        <w:tc>
          <w:tcPr>
            <w:tcW w:w="139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r>
      <w:tr>
        <w:trPr/>
        <w:tc>
          <w:tcPr>
            <w:tcW w:w="463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Revenue</w:t>
            </w:r>
          </w:p>
        </w:tc>
        <w:tc>
          <w:tcPr>
            <w:tcW w:w="326" w:type="dxa"/>
            <w:tcBorders/>
            <w:shd w:fill="CCEEFF" w:val="clear"/>
            <w:vAlign w:val="center"/>
          </w:tcPr>
          <w:p>
            <w:pPr>
              <w:pStyle w:val="TableContents"/>
              <w:bidi w:val="0"/>
              <w:spacing w:before="0" w:after="1"/>
              <w:ind w:left="0" w:right="0" w:hanging="0"/>
              <w:jc w:val="left"/>
              <w:rPr/>
            </w:pPr>
            <w:r>
              <w:rPr/>
              <w:t>​</w:t>
            </w:r>
          </w:p>
        </w:tc>
        <w:tc>
          <w:tcPr>
            <w:tcW w:w="235"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39"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64</w:t>
            </w:r>
          </w:p>
        </w:tc>
        <w:tc>
          <w:tcPr>
            <w:tcW w:w="363" w:type="dxa"/>
            <w:tcBorders/>
            <w:shd w:fill="CCEEFF" w:val="clear"/>
            <w:vAlign w:val="center"/>
          </w:tcPr>
          <w:p>
            <w:pPr>
              <w:pStyle w:val="TableContents"/>
              <w:bidi w:val="0"/>
              <w:spacing w:before="0" w:after="1"/>
              <w:ind w:left="0" w:right="0" w:hanging="0"/>
              <w:jc w:val="left"/>
              <w:rPr/>
            </w:pPr>
            <w:r>
              <w:rPr/>
              <w:t>​</w:t>
            </w:r>
          </w:p>
        </w:tc>
        <w:tc>
          <w:tcPr>
            <w:tcW w:w="235"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15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97</w:t>
            </w:r>
          </w:p>
        </w:tc>
      </w:tr>
      <w:tr>
        <w:trPr/>
        <w:tc>
          <w:tcPr>
            <w:tcW w:w="463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Costs and expenses:</w:t>
            </w:r>
          </w:p>
        </w:tc>
        <w:tc>
          <w:tcPr>
            <w:tcW w:w="326" w:type="dxa"/>
            <w:tcBorders/>
            <w:vAlign w:val="center"/>
          </w:tcPr>
          <w:p>
            <w:pPr>
              <w:pStyle w:val="TableContents"/>
              <w:bidi w:val="0"/>
              <w:spacing w:before="0" w:after="1"/>
              <w:ind w:left="0" w:right="0" w:hanging="0"/>
              <w:jc w:val="left"/>
              <w:rPr/>
            </w:pPr>
            <w:r>
              <w:rPr/>
              <w:t>​</w:t>
            </w:r>
          </w:p>
        </w:tc>
        <w:tc>
          <w:tcPr>
            <w:tcW w:w="235" w:type="dxa"/>
            <w:tcBorders/>
            <w:vAlign w:val="center"/>
          </w:tcPr>
          <w:p>
            <w:pPr>
              <w:pStyle w:val="TableContents"/>
              <w:bidi w:val="0"/>
              <w:spacing w:before="0" w:after="1"/>
              <w:ind w:left="0" w:right="0" w:hanging="0"/>
              <w:jc w:val="left"/>
              <w:rPr/>
            </w:pPr>
            <w:r>
              <w:rPr/>
              <w:t> </w:t>
            </w:r>
          </w:p>
        </w:tc>
        <w:tc>
          <w:tcPr>
            <w:tcW w:w="1039" w:type="dxa"/>
            <w:tcBorders/>
            <w:vAlign w:val="center"/>
          </w:tcPr>
          <w:p>
            <w:pPr>
              <w:pStyle w:val="TableContents"/>
              <w:bidi w:val="0"/>
              <w:spacing w:before="0" w:after="1"/>
              <w:ind w:left="0" w:right="0" w:hanging="0"/>
              <w:jc w:val="right"/>
              <w:rPr/>
            </w:pPr>
            <w:r>
              <w:rPr/>
              <w:t>  </w:t>
            </w:r>
          </w:p>
        </w:tc>
        <w:tc>
          <w:tcPr>
            <w:tcW w:w="363" w:type="dxa"/>
            <w:tcBorders/>
            <w:vAlign w:val="center"/>
          </w:tcPr>
          <w:p>
            <w:pPr>
              <w:pStyle w:val="TableContents"/>
              <w:bidi w:val="0"/>
              <w:spacing w:before="0" w:after="1"/>
              <w:ind w:left="0" w:right="0" w:hanging="0"/>
              <w:jc w:val="left"/>
              <w:rPr/>
            </w:pPr>
            <w:r>
              <w:rPr/>
              <w:t>​</w:t>
            </w:r>
          </w:p>
        </w:tc>
        <w:tc>
          <w:tcPr>
            <w:tcW w:w="235" w:type="dxa"/>
            <w:tcBorders/>
            <w:vAlign w:val="center"/>
          </w:tcPr>
          <w:p>
            <w:pPr>
              <w:pStyle w:val="TableContents"/>
              <w:bidi w:val="0"/>
              <w:spacing w:before="0" w:after="1"/>
              <w:ind w:left="0" w:right="0" w:hanging="0"/>
              <w:jc w:val="left"/>
              <w:rPr/>
            </w:pPr>
            <w:r>
              <w:rPr/>
              <w:t> </w:t>
            </w:r>
          </w:p>
        </w:tc>
        <w:tc>
          <w:tcPr>
            <w:tcW w:w="1156" w:type="dxa"/>
            <w:tcBorders/>
            <w:vAlign w:val="center"/>
          </w:tcPr>
          <w:p>
            <w:pPr>
              <w:pStyle w:val="TableContents"/>
              <w:bidi w:val="0"/>
              <w:spacing w:before="0" w:after="1"/>
              <w:ind w:left="0" w:right="0" w:hanging="0"/>
              <w:jc w:val="right"/>
              <w:rPr/>
            </w:pPr>
            <w:r>
              <w:rPr/>
              <w:t>  </w:t>
            </w:r>
          </w:p>
        </w:tc>
      </w:tr>
      <w:tr>
        <w:trPr/>
        <w:tc>
          <w:tcPr>
            <w:tcW w:w="463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Cost of revenue</w:t>
            </w:r>
          </w:p>
        </w:tc>
        <w:tc>
          <w:tcPr>
            <w:tcW w:w="326" w:type="dxa"/>
            <w:tcBorders/>
            <w:shd w:fill="CCEEFF" w:val="clear"/>
            <w:vAlign w:val="center"/>
          </w:tcPr>
          <w:p>
            <w:pPr>
              <w:pStyle w:val="TableContents"/>
              <w:bidi w:val="0"/>
              <w:spacing w:before="0" w:after="1"/>
              <w:ind w:left="0" w:right="0" w:hanging="0"/>
              <w:jc w:val="left"/>
              <w:rPr/>
            </w:pPr>
            <w:r>
              <w:rPr/>
              <w:t>​</w:t>
            </w:r>
          </w:p>
        </w:tc>
        <w:tc>
          <w:tcPr>
            <w:tcW w:w="235" w:type="dxa"/>
            <w:tcBorders/>
            <w:shd w:fill="CCEEFF" w:val="clear"/>
            <w:vAlign w:val="center"/>
          </w:tcPr>
          <w:p>
            <w:pPr>
              <w:pStyle w:val="TableContents"/>
              <w:bidi w:val="0"/>
              <w:spacing w:before="0" w:after="1"/>
              <w:ind w:left="0" w:right="0" w:hanging="0"/>
              <w:jc w:val="left"/>
              <w:rPr/>
            </w:pPr>
            <w:r>
              <w:rPr/>
              <w:t> </w:t>
            </w:r>
          </w:p>
        </w:tc>
        <w:tc>
          <w:tcPr>
            <w:tcW w:w="103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109</w:t>
            </w:r>
          </w:p>
        </w:tc>
        <w:tc>
          <w:tcPr>
            <w:tcW w:w="363" w:type="dxa"/>
            <w:tcBorders/>
            <w:shd w:fill="CCEEFF" w:val="clear"/>
            <w:vAlign w:val="center"/>
          </w:tcPr>
          <w:p>
            <w:pPr>
              <w:pStyle w:val="TableContents"/>
              <w:bidi w:val="0"/>
              <w:spacing w:before="0" w:after="1"/>
              <w:ind w:left="0" w:right="0" w:hanging="0"/>
              <w:jc w:val="left"/>
              <w:rPr/>
            </w:pPr>
            <w:r>
              <w:rPr/>
              <w:t>​</w:t>
            </w:r>
          </w:p>
        </w:tc>
        <w:tc>
          <w:tcPr>
            <w:tcW w:w="235" w:type="dxa"/>
            <w:tcBorders/>
            <w:shd w:fill="CCEEFF" w:val="clear"/>
            <w:vAlign w:val="center"/>
          </w:tcPr>
          <w:p>
            <w:pPr>
              <w:pStyle w:val="TableContents"/>
              <w:bidi w:val="0"/>
              <w:spacing w:before="0" w:after="1"/>
              <w:ind w:left="0" w:right="0" w:hanging="0"/>
              <w:jc w:val="left"/>
              <w:rPr/>
            </w:pPr>
            <w:r>
              <w:rPr/>
              <w:t> </w:t>
            </w:r>
          </w:p>
        </w:tc>
        <w:tc>
          <w:tcPr>
            <w:tcW w:w="115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139</w:t>
            </w:r>
          </w:p>
        </w:tc>
      </w:tr>
      <w:tr>
        <w:trPr/>
        <w:tc>
          <w:tcPr>
            <w:tcW w:w="463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Research and development</w:t>
            </w:r>
          </w:p>
        </w:tc>
        <w:tc>
          <w:tcPr>
            <w:tcW w:w="326" w:type="dxa"/>
            <w:tcBorders/>
            <w:vAlign w:val="center"/>
          </w:tcPr>
          <w:p>
            <w:pPr>
              <w:pStyle w:val="TableContents"/>
              <w:bidi w:val="0"/>
              <w:spacing w:before="0" w:after="1"/>
              <w:ind w:left="0" w:right="0" w:hanging="0"/>
              <w:jc w:val="left"/>
              <w:rPr/>
            </w:pPr>
            <w:r>
              <w:rPr/>
              <w:t>​</w:t>
            </w:r>
          </w:p>
        </w:tc>
        <w:tc>
          <w:tcPr>
            <w:tcW w:w="235" w:type="dxa"/>
            <w:tcBorders/>
            <w:vAlign w:val="center"/>
          </w:tcPr>
          <w:p>
            <w:pPr>
              <w:pStyle w:val="TableContents"/>
              <w:bidi w:val="0"/>
              <w:spacing w:before="0" w:after="1"/>
              <w:ind w:left="0" w:right="0" w:hanging="0"/>
              <w:jc w:val="left"/>
              <w:rPr/>
            </w:pPr>
            <w:r>
              <w:rPr/>
              <w:t> </w:t>
            </w:r>
          </w:p>
        </w:tc>
        <w:tc>
          <w:tcPr>
            <w:tcW w:w="103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2,349</w:t>
            </w:r>
          </w:p>
        </w:tc>
        <w:tc>
          <w:tcPr>
            <w:tcW w:w="363" w:type="dxa"/>
            <w:tcBorders/>
            <w:vAlign w:val="center"/>
          </w:tcPr>
          <w:p>
            <w:pPr>
              <w:pStyle w:val="TableContents"/>
              <w:bidi w:val="0"/>
              <w:spacing w:before="0" w:after="1"/>
              <w:ind w:left="0" w:right="0" w:hanging="0"/>
              <w:jc w:val="left"/>
              <w:rPr/>
            </w:pPr>
            <w:r>
              <w:rPr/>
              <w:t>​</w:t>
            </w:r>
          </w:p>
        </w:tc>
        <w:tc>
          <w:tcPr>
            <w:tcW w:w="235" w:type="dxa"/>
            <w:tcBorders/>
            <w:vAlign w:val="center"/>
          </w:tcPr>
          <w:p>
            <w:pPr>
              <w:pStyle w:val="TableContents"/>
              <w:bidi w:val="0"/>
              <w:spacing w:before="0" w:after="1"/>
              <w:ind w:left="0" w:right="0" w:hanging="0"/>
              <w:jc w:val="left"/>
              <w:rPr/>
            </w:pPr>
            <w:r>
              <w:rPr/>
              <w:t> </w:t>
            </w:r>
          </w:p>
        </w:tc>
        <w:tc>
          <w:tcPr>
            <w:tcW w:w="115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3,079</w:t>
            </w:r>
          </w:p>
        </w:tc>
      </w:tr>
      <w:tr>
        <w:trPr/>
        <w:tc>
          <w:tcPr>
            <w:tcW w:w="463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Sales and marketing</w:t>
            </w:r>
          </w:p>
        </w:tc>
        <w:tc>
          <w:tcPr>
            <w:tcW w:w="326" w:type="dxa"/>
            <w:tcBorders/>
            <w:shd w:fill="CCEEFF" w:val="clear"/>
            <w:vAlign w:val="center"/>
          </w:tcPr>
          <w:p>
            <w:pPr>
              <w:pStyle w:val="TableContents"/>
              <w:bidi w:val="0"/>
              <w:spacing w:before="0" w:after="1"/>
              <w:ind w:left="0" w:right="0" w:hanging="0"/>
              <w:jc w:val="left"/>
              <w:rPr/>
            </w:pPr>
            <w:r>
              <w:rPr/>
              <w:t>​</w:t>
            </w:r>
          </w:p>
        </w:tc>
        <w:tc>
          <w:tcPr>
            <w:tcW w:w="235" w:type="dxa"/>
            <w:tcBorders/>
            <w:shd w:fill="CCEEFF" w:val="clear"/>
            <w:vAlign w:val="center"/>
          </w:tcPr>
          <w:p>
            <w:pPr>
              <w:pStyle w:val="TableContents"/>
              <w:bidi w:val="0"/>
              <w:spacing w:before="0" w:after="1"/>
              <w:ind w:left="0" w:right="0" w:hanging="0"/>
              <w:jc w:val="left"/>
              <w:rPr/>
            </w:pPr>
            <w:r>
              <w:rPr/>
              <w:t> </w:t>
            </w:r>
          </w:p>
        </w:tc>
        <w:tc>
          <w:tcPr>
            <w:tcW w:w="103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873</w:t>
            </w:r>
          </w:p>
        </w:tc>
        <w:tc>
          <w:tcPr>
            <w:tcW w:w="363" w:type="dxa"/>
            <w:tcBorders/>
            <w:shd w:fill="CCEEFF" w:val="clear"/>
            <w:vAlign w:val="center"/>
          </w:tcPr>
          <w:p>
            <w:pPr>
              <w:pStyle w:val="TableContents"/>
              <w:bidi w:val="0"/>
              <w:spacing w:before="0" w:after="1"/>
              <w:ind w:left="0" w:right="0" w:hanging="0"/>
              <w:jc w:val="left"/>
              <w:rPr/>
            </w:pPr>
            <w:r>
              <w:rPr/>
              <w:t>​</w:t>
            </w:r>
          </w:p>
        </w:tc>
        <w:tc>
          <w:tcPr>
            <w:tcW w:w="235" w:type="dxa"/>
            <w:tcBorders/>
            <w:shd w:fill="CCEEFF" w:val="clear"/>
            <w:vAlign w:val="center"/>
          </w:tcPr>
          <w:p>
            <w:pPr>
              <w:pStyle w:val="TableContents"/>
              <w:bidi w:val="0"/>
              <w:spacing w:before="0" w:after="1"/>
              <w:ind w:left="0" w:right="0" w:hanging="0"/>
              <w:jc w:val="left"/>
              <w:rPr/>
            </w:pPr>
            <w:r>
              <w:rPr/>
              <w:t> </w:t>
            </w:r>
          </w:p>
        </w:tc>
        <w:tc>
          <w:tcPr>
            <w:tcW w:w="115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1,212</w:t>
            </w:r>
          </w:p>
        </w:tc>
      </w:tr>
      <w:tr>
        <w:trPr/>
        <w:tc>
          <w:tcPr>
            <w:tcW w:w="463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General and administrative</w:t>
            </w:r>
          </w:p>
        </w:tc>
        <w:tc>
          <w:tcPr>
            <w:tcW w:w="326" w:type="dxa"/>
            <w:tcBorders/>
            <w:vAlign w:val="center"/>
          </w:tcPr>
          <w:p>
            <w:pPr>
              <w:pStyle w:val="TableContents"/>
              <w:bidi w:val="0"/>
              <w:spacing w:before="0" w:after="1"/>
              <w:ind w:left="0" w:right="0" w:hanging="0"/>
              <w:jc w:val="left"/>
              <w:rPr/>
            </w:pPr>
            <w:r>
              <w:rPr/>
              <w:t>​</w:t>
            </w:r>
          </w:p>
        </w:tc>
        <w:tc>
          <w:tcPr>
            <w:tcW w:w="235" w:type="dxa"/>
            <w:tcBorders/>
            <w:vAlign w:val="center"/>
          </w:tcPr>
          <w:p>
            <w:pPr>
              <w:pStyle w:val="TableContents"/>
              <w:bidi w:val="0"/>
              <w:spacing w:before="0" w:after="1"/>
              <w:ind w:left="0" w:right="0" w:hanging="0"/>
              <w:jc w:val="left"/>
              <w:rPr/>
            </w:pPr>
            <w:r>
              <w:rPr/>
              <w:t> </w:t>
            </w:r>
          </w:p>
        </w:tc>
        <w:tc>
          <w:tcPr>
            <w:tcW w:w="103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1,835</w:t>
            </w:r>
          </w:p>
        </w:tc>
        <w:tc>
          <w:tcPr>
            <w:tcW w:w="363" w:type="dxa"/>
            <w:tcBorders/>
            <w:vAlign w:val="center"/>
          </w:tcPr>
          <w:p>
            <w:pPr>
              <w:pStyle w:val="TableContents"/>
              <w:bidi w:val="0"/>
              <w:spacing w:before="0" w:after="1"/>
              <w:ind w:left="0" w:right="0" w:hanging="0"/>
              <w:jc w:val="left"/>
              <w:rPr/>
            </w:pPr>
            <w:r>
              <w:rPr/>
              <w:t>​</w:t>
            </w:r>
          </w:p>
        </w:tc>
        <w:tc>
          <w:tcPr>
            <w:tcW w:w="235" w:type="dxa"/>
            <w:tcBorders/>
            <w:vAlign w:val="center"/>
          </w:tcPr>
          <w:p>
            <w:pPr>
              <w:pStyle w:val="TableContents"/>
              <w:bidi w:val="0"/>
              <w:spacing w:before="0" w:after="1"/>
              <w:ind w:left="0" w:right="0" w:hanging="0"/>
              <w:jc w:val="left"/>
              <w:rPr/>
            </w:pPr>
            <w:r>
              <w:rPr/>
              <w:t> </w:t>
            </w:r>
          </w:p>
        </w:tc>
        <w:tc>
          <w:tcPr>
            <w:tcW w:w="115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1,961</w:t>
            </w:r>
          </w:p>
        </w:tc>
      </w:tr>
      <w:tr>
        <w:trPr/>
        <w:tc>
          <w:tcPr>
            <w:tcW w:w="463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Severance expense</w:t>
            </w:r>
          </w:p>
        </w:tc>
        <w:tc>
          <w:tcPr>
            <w:tcW w:w="326" w:type="dxa"/>
            <w:tcBorders/>
            <w:shd w:fill="CCEEFF" w:val="clear"/>
            <w:vAlign w:val="center"/>
          </w:tcPr>
          <w:p>
            <w:pPr>
              <w:pStyle w:val="TableContents"/>
              <w:bidi w:val="0"/>
              <w:spacing w:before="0" w:after="1"/>
              <w:ind w:left="0" w:right="0" w:hanging="0"/>
              <w:jc w:val="left"/>
              <w:rPr/>
            </w:pPr>
            <w:r>
              <w:rPr/>
              <w:t>​</w:t>
            </w:r>
          </w:p>
        </w:tc>
        <w:tc>
          <w:tcPr>
            <w:tcW w:w="235"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039"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1,563</w:t>
            </w:r>
          </w:p>
        </w:tc>
        <w:tc>
          <w:tcPr>
            <w:tcW w:w="363" w:type="dxa"/>
            <w:tcBorders/>
            <w:shd w:fill="CCEEFF" w:val="clear"/>
            <w:vAlign w:val="center"/>
          </w:tcPr>
          <w:p>
            <w:pPr>
              <w:pStyle w:val="TableContents"/>
              <w:bidi w:val="0"/>
              <w:spacing w:before="0" w:after="1"/>
              <w:ind w:left="0" w:right="0" w:hanging="0"/>
              <w:jc w:val="left"/>
              <w:rPr/>
            </w:pPr>
            <w:r>
              <w:rPr/>
              <w:t>​</w:t>
            </w:r>
          </w:p>
        </w:tc>
        <w:tc>
          <w:tcPr>
            <w:tcW w:w="235"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15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r>
      <w:tr>
        <w:trPr/>
        <w:tc>
          <w:tcPr>
            <w:tcW w:w="463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costs and expenses</w:t>
            </w:r>
          </w:p>
        </w:tc>
        <w:tc>
          <w:tcPr>
            <w:tcW w:w="326" w:type="dxa"/>
            <w:tcBorders/>
            <w:vAlign w:val="center"/>
          </w:tcPr>
          <w:p>
            <w:pPr>
              <w:pStyle w:val="TableContents"/>
              <w:bidi w:val="0"/>
              <w:spacing w:before="0" w:after="1"/>
              <w:ind w:left="0" w:right="0" w:hanging="0"/>
              <w:jc w:val="left"/>
              <w:rPr/>
            </w:pPr>
            <w:r>
              <w:rPr/>
              <w:t>​</w:t>
            </w:r>
          </w:p>
        </w:tc>
        <w:tc>
          <w:tcPr>
            <w:tcW w:w="235"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039"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6,729</w:t>
            </w:r>
          </w:p>
        </w:tc>
        <w:tc>
          <w:tcPr>
            <w:tcW w:w="363" w:type="dxa"/>
            <w:tcBorders/>
            <w:vAlign w:val="center"/>
          </w:tcPr>
          <w:p>
            <w:pPr>
              <w:pStyle w:val="TableContents"/>
              <w:bidi w:val="0"/>
              <w:spacing w:before="0" w:after="1"/>
              <w:ind w:left="0" w:right="0" w:hanging="0"/>
              <w:jc w:val="left"/>
              <w:rPr/>
            </w:pPr>
            <w:r>
              <w:rPr/>
              <w:t>​</w:t>
            </w:r>
          </w:p>
        </w:tc>
        <w:tc>
          <w:tcPr>
            <w:tcW w:w="235"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15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6,391</w:t>
            </w:r>
          </w:p>
        </w:tc>
      </w:tr>
      <w:tr>
        <w:trPr/>
        <w:tc>
          <w:tcPr>
            <w:tcW w:w="463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Loss from operations</w:t>
            </w:r>
          </w:p>
        </w:tc>
        <w:tc>
          <w:tcPr>
            <w:tcW w:w="326" w:type="dxa"/>
            <w:tcBorders/>
            <w:shd w:fill="CCEEFF" w:val="clear"/>
            <w:vAlign w:val="center"/>
          </w:tcPr>
          <w:p>
            <w:pPr>
              <w:pStyle w:val="TableContents"/>
              <w:bidi w:val="0"/>
              <w:spacing w:before="0" w:after="1"/>
              <w:ind w:left="0" w:right="0" w:hanging="0"/>
              <w:jc w:val="left"/>
              <w:rPr/>
            </w:pPr>
            <w:r>
              <w:rPr/>
              <w:t>​</w:t>
            </w:r>
          </w:p>
        </w:tc>
        <w:tc>
          <w:tcPr>
            <w:tcW w:w="235"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039"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(6,665)</w:t>
            </w:r>
          </w:p>
        </w:tc>
        <w:tc>
          <w:tcPr>
            <w:tcW w:w="363" w:type="dxa"/>
            <w:tcBorders/>
            <w:shd w:fill="CCEEFF" w:val="clear"/>
            <w:vAlign w:val="center"/>
          </w:tcPr>
          <w:p>
            <w:pPr>
              <w:pStyle w:val="TableContents"/>
              <w:bidi w:val="0"/>
              <w:spacing w:before="0" w:after="1"/>
              <w:ind w:left="0" w:right="0" w:hanging="0"/>
              <w:jc w:val="left"/>
              <w:rPr/>
            </w:pPr>
            <w:r>
              <w:rPr/>
              <w:t>​</w:t>
            </w:r>
          </w:p>
        </w:tc>
        <w:tc>
          <w:tcPr>
            <w:tcW w:w="235"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15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(6,294)</w:t>
            </w:r>
          </w:p>
        </w:tc>
      </w:tr>
      <w:tr>
        <w:trPr/>
        <w:tc>
          <w:tcPr>
            <w:tcW w:w="463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 income (expense):</w:t>
            </w:r>
          </w:p>
        </w:tc>
        <w:tc>
          <w:tcPr>
            <w:tcW w:w="326" w:type="dxa"/>
            <w:tcBorders/>
            <w:vAlign w:val="center"/>
          </w:tcPr>
          <w:p>
            <w:pPr>
              <w:pStyle w:val="TableContents"/>
              <w:bidi w:val="0"/>
              <w:spacing w:before="0" w:after="1"/>
              <w:ind w:left="0" w:right="0" w:hanging="0"/>
              <w:jc w:val="left"/>
              <w:rPr/>
            </w:pPr>
            <w:r>
              <w:rPr/>
              <w:t>​</w:t>
            </w:r>
          </w:p>
        </w:tc>
        <w:tc>
          <w:tcPr>
            <w:tcW w:w="235" w:type="dxa"/>
            <w:tcBorders/>
            <w:vAlign w:val="center"/>
          </w:tcPr>
          <w:p>
            <w:pPr>
              <w:pStyle w:val="TableContents"/>
              <w:bidi w:val="0"/>
              <w:spacing w:before="0" w:after="1"/>
              <w:ind w:left="0" w:right="0" w:hanging="0"/>
              <w:jc w:val="left"/>
              <w:rPr/>
            </w:pPr>
            <w:r>
              <w:rPr/>
              <w:t> </w:t>
            </w:r>
          </w:p>
        </w:tc>
        <w:tc>
          <w:tcPr>
            <w:tcW w:w="1039" w:type="dxa"/>
            <w:tcBorders/>
            <w:vAlign w:val="center"/>
          </w:tcPr>
          <w:p>
            <w:pPr>
              <w:pStyle w:val="TableContents"/>
              <w:bidi w:val="0"/>
              <w:spacing w:before="0" w:after="1"/>
              <w:ind w:left="0" w:right="0" w:hanging="0"/>
              <w:jc w:val="right"/>
              <w:rPr/>
            </w:pPr>
            <w:r>
              <w:rPr/>
              <w:t>  </w:t>
            </w:r>
          </w:p>
        </w:tc>
        <w:tc>
          <w:tcPr>
            <w:tcW w:w="363" w:type="dxa"/>
            <w:tcBorders/>
            <w:vAlign w:val="center"/>
          </w:tcPr>
          <w:p>
            <w:pPr>
              <w:pStyle w:val="TableContents"/>
              <w:bidi w:val="0"/>
              <w:spacing w:before="0" w:after="1"/>
              <w:ind w:left="0" w:right="0" w:hanging="0"/>
              <w:jc w:val="left"/>
              <w:rPr/>
            </w:pPr>
            <w:r>
              <w:rPr/>
              <w:t>​</w:t>
            </w:r>
          </w:p>
        </w:tc>
        <w:tc>
          <w:tcPr>
            <w:tcW w:w="235" w:type="dxa"/>
            <w:tcBorders/>
            <w:vAlign w:val="center"/>
          </w:tcPr>
          <w:p>
            <w:pPr>
              <w:pStyle w:val="TableContents"/>
              <w:bidi w:val="0"/>
              <w:spacing w:before="0" w:after="1"/>
              <w:ind w:left="0" w:right="0" w:hanging="0"/>
              <w:jc w:val="left"/>
              <w:rPr/>
            </w:pPr>
            <w:r>
              <w:rPr/>
              <w:t> </w:t>
            </w:r>
          </w:p>
        </w:tc>
        <w:tc>
          <w:tcPr>
            <w:tcW w:w="1156" w:type="dxa"/>
            <w:tcBorders/>
            <w:vAlign w:val="center"/>
          </w:tcPr>
          <w:p>
            <w:pPr>
              <w:pStyle w:val="TableContents"/>
              <w:bidi w:val="0"/>
              <w:spacing w:before="0" w:after="1"/>
              <w:ind w:left="0" w:right="0" w:hanging="0"/>
              <w:jc w:val="right"/>
              <w:rPr/>
            </w:pPr>
            <w:r>
              <w:rPr/>
              <w:t>  </w:t>
            </w:r>
          </w:p>
        </w:tc>
      </w:tr>
      <w:tr>
        <w:trPr/>
        <w:tc>
          <w:tcPr>
            <w:tcW w:w="463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Offering costs related to warrant liability</w:t>
            </w:r>
          </w:p>
        </w:tc>
        <w:tc>
          <w:tcPr>
            <w:tcW w:w="326" w:type="dxa"/>
            <w:tcBorders/>
            <w:shd w:fill="CCEEFF" w:val="clear"/>
            <w:vAlign w:val="center"/>
          </w:tcPr>
          <w:p>
            <w:pPr>
              <w:pStyle w:val="TableContents"/>
              <w:bidi w:val="0"/>
              <w:spacing w:before="0" w:after="1"/>
              <w:ind w:left="0" w:right="0" w:hanging="0"/>
              <w:jc w:val="left"/>
              <w:rPr/>
            </w:pPr>
            <w:r>
              <w:rPr/>
              <w:t>​</w:t>
            </w:r>
          </w:p>
        </w:tc>
        <w:tc>
          <w:tcPr>
            <w:tcW w:w="235" w:type="dxa"/>
            <w:tcBorders/>
            <w:shd w:fill="CCEEFF" w:val="clear"/>
            <w:vAlign w:val="center"/>
          </w:tcPr>
          <w:p>
            <w:pPr>
              <w:pStyle w:val="TableContents"/>
              <w:bidi w:val="0"/>
              <w:spacing w:before="0" w:after="1"/>
              <w:ind w:left="0" w:right="0" w:hanging="0"/>
              <w:jc w:val="left"/>
              <w:rPr/>
            </w:pPr>
            <w:r>
              <w:rPr/>
              <w:t> </w:t>
            </w:r>
          </w:p>
        </w:tc>
        <w:tc>
          <w:tcPr>
            <w:tcW w:w="1039" w:type="dxa"/>
            <w:tcBorders/>
            <w:shd w:fill="CCEEFF" w:val="clear"/>
            <w:vAlign w:val="center"/>
          </w:tcPr>
          <w:p>
            <w:pPr>
              <w:pStyle w:val="TableContents"/>
              <w:bidi w:val="0"/>
              <w:spacing w:before="0" w:after="1"/>
              <w:ind w:left="0" w:right="0" w:hanging="0"/>
              <w:jc w:val="right"/>
              <w:rPr/>
            </w:pPr>
            <w:r>
              <w:rPr/>
              <w:t>—</w:t>
            </w:r>
          </w:p>
        </w:tc>
        <w:tc>
          <w:tcPr>
            <w:tcW w:w="363" w:type="dxa"/>
            <w:tcBorders/>
            <w:shd w:fill="CCEEFF" w:val="clear"/>
            <w:vAlign w:val="center"/>
          </w:tcPr>
          <w:p>
            <w:pPr>
              <w:pStyle w:val="TableContents"/>
              <w:bidi w:val="0"/>
              <w:spacing w:before="0" w:after="1"/>
              <w:ind w:left="0" w:right="0" w:hanging="0"/>
              <w:jc w:val="left"/>
              <w:rPr/>
            </w:pPr>
            <w:r>
              <w:rPr/>
              <w:t>​</w:t>
            </w:r>
          </w:p>
        </w:tc>
        <w:tc>
          <w:tcPr>
            <w:tcW w:w="235" w:type="dxa"/>
            <w:tcBorders/>
            <w:shd w:fill="CCEEFF" w:val="clear"/>
            <w:vAlign w:val="center"/>
          </w:tcPr>
          <w:p>
            <w:pPr>
              <w:pStyle w:val="TableContents"/>
              <w:bidi w:val="0"/>
              <w:spacing w:before="0" w:after="1"/>
              <w:ind w:left="0" w:right="0" w:hanging="0"/>
              <w:jc w:val="left"/>
              <w:rPr/>
            </w:pPr>
            <w:r>
              <w:rPr/>
              <w:t> </w:t>
            </w:r>
          </w:p>
        </w:tc>
        <w:tc>
          <w:tcPr>
            <w:tcW w:w="115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(592)</w:t>
            </w:r>
          </w:p>
        </w:tc>
      </w:tr>
      <w:tr>
        <w:trPr/>
        <w:tc>
          <w:tcPr>
            <w:tcW w:w="463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Change in fair value of warrant liability</w:t>
            </w:r>
          </w:p>
        </w:tc>
        <w:tc>
          <w:tcPr>
            <w:tcW w:w="326" w:type="dxa"/>
            <w:tcBorders/>
            <w:vAlign w:val="center"/>
          </w:tcPr>
          <w:p>
            <w:pPr>
              <w:pStyle w:val="TableContents"/>
              <w:bidi w:val="0"/>
              <w:spacing w:before="0" w:after="1"/>
              <w:ind w:left="0" w:right="0" w:hanging="0"/>
              <w:jc w:val="left"/>
              <w:rPr/>
            </w:pPr>
            <w:r>
              <w:rPr/>
              <w:t>​</w:t>
            </w:r>
          </w:p>
        </w:tc>
        <w:tc>
          <w:tcPr>
            <w:tcW w:w="235" w:type="dxa"/>
            <w:tcBorders/>
            <w:vAlign w:val="center"/>
          </w:tcPr>
          <w:p>
            <w:pPr>
              <w:pStyle w:val="TableContents"/>
              <w:bidi w:val="0"/>
              <w:spacing w:before="0" w:after="1"/>
              <w:ind w:left="0" w:right="0" w:hanging="0"/>
              <w:jc w:val="left"/>
              <w:rPr/>
            </w:pPr>
            <w:r>
              <w:rPr/>
              <w:t> </w:t>
            </w:r>
          </w:p>
        </w:tc>
        <w:tc>
          <w:tcPr>
            <w:tcW w:w="103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(82)</w:t>
            </w:r>
          </w:p>
        </w:tc>
        <w:tc>
          <w:tcPr>
            <w:tcW w:w="363" w:type="dxa"/>
            <w:tcBorders/>
            <w:vAlign w:val="center"/>
          </w:tcPr>
          <w:p>
            <w:pPr>
              <w:pStyle w:val="TableContents"/>
              <w:bidi w:val="0"/>
              <w:spacing w:before="0" w:after="1"/>
              <w:ind w:left="0" w:right="0" w:hanging="0"/>
              <w:jc w:val="left"/>
              <w:rPr/>
            </w:pPr>
            <w:r>
              <w:rPr/>
              <w:t>​</w:t>
            </w:r>
          </w:p>
        </w:tc>
        <w:tc>
          <w:tcPr>
            <w:tcW w:w="235" w:type="dxa"/>
            <w:tcBorders/>
            <w:vAlign w:val="center"/>
          </w:tcPr>
          <w:p>
            <w:pPr>
              <w:pStyle w:val="TableContents"/>
              <w:bidi w:val="0"/>
              <w:spacing w:before="0" w:after="1"/>
              <w:ind w:left="0" w:right="0" w:hanging="0"/>
              <w:jc w:val="left"/>
              <w:rPr/>
            </w:pPr>
            <w:r>
              <w:rPr/>
              <w:t> </w:t>
            </w:r>
          </w:p>
        </w:tc>
        <w:tc>
          <w:tcPr>
            <w:tcW w:w="1156" w:type="dxa"/>
            <w:tcBorders/>
            <w:vAlign w:val="center"/>
          </w:tcPr>
          <w:p>
            <w:pPr>
              <w:pStyle w:val="TableContents"/>
              <w:bidi w:val="0"/>
              <w:spacing w:before="0" w:after="1"/>
              <w:ind w:left="0" w:right="0" w:hanging="0"/>
              <w:jc w:val="right"/>
              <w:rPr/>
            </w:pPr>
            <w:r>
              <w:rPr/>
              <w:t>—</w:t>
            </w:r>
          </w:p>
        </w:tc>
      </w:tr>
      <w:tr>
        <w:trPr/>
        <w:tc>
          <w:tcPr>
            <w:tcW w:w="463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Interest income</w:t>
            </w:r>
          </w:p>
        </w:tc>
        <w:tc>
          <w:tcPr>
            <w:tcW w:w="326" w:type="dxa"/>
            <w:tcBorders/>
            <w:shd w:fill="CCEEFF" w:val="clear"/>
            <w:vAlign w:val="center"/>
          </w:tcPr>
          <w:p>
            <w:pPr>
              <w:pStyle w:val="TableContents"/>
              <w:bidi w:val="0"/>
              <w:spacing w:before="0" w:after="1"/>
              <w:ind w:left="0" w:right="0" w:hanging="0"/>
              <w:jc w:val="left"/>
              <w:rPr/>
            </w:pPr>
            <w:r>
              <w:rPr/>
              <w:t>​</w:t>
            </w:r>
          </w:p>
        </w:tc>
        <w:tc>
          <w:tcPr>
            <w:tcW w:w="235"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039"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148</w:t>
            </w:r>
          </w:p>
        </w:tc>
        <w:tc>
          <w:tcPr>
            <w:tcW w:w="363" w:type="dxa"/>
            <w:tcBorders/>
            <w:shd w:fill="CCEEFF" w:val="clear"/>
            <w:vAlign w:val="center"/>
          </w:tcPr>
          <w:p>
            <w:pPr>
              <w:pStyle w:val="TableContents"/>
              <w:bidi w:val="0"/>
              <w:spacing w:before="0" w:after="1"/>
              <w:ind w:left="0" w:right="0" w:hanging="0"/>
              <w:jc w:val="left"/>
              <w:rPr/>
            </w:pPr>
            <w:r>
              <w:rPr/>
              <w:t>​</w:t>
            </w:r>
          </w:p>
        </w:tc>
        <w:tc>
          <w:tcPr>
            <w:tcW w:w="235"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15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233</w:t>
            </w:r>
          </w:p>
        </w:tc>
      </w:tr>
      <w:tr>
        <w:trPr/>
        <w:tc>
          <w:tcPr>
            <w:tcW w:w="463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other income (expense)</w:t>
            </w:r>
          </w:p>
        </w:tc>
        <w:tc>
          <w:tcPr>
            <w:tcW w:w="326" w:type="dxa"/>
            <w:tcBorders/>
            <w:vAlign w:val="center"/>
          </w:tcPr>
          <w:p>
            <w:pPr>
              <w:pStyle w:val="TableContents"/>
              <w:bidi w:val="0"/>
              <w:spacing w:before="0" w:after="1"/>
              <w:ind w:left="0" w:right="0" w:hanging="0"/>
              <w:jc w:val="left"/>
              <w:rPr/>
            </w:pPr>
            <w:r>
              <w:rPr/>
              <w:t>​</w:t>
            </w:r>
          </w:p>
        </w:tc>
        <w:tc>
          <w:tcPr>
            <w:tcW w:w="235"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039"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66</w:t>
            </w:r>
          </w:p>
        </w:tc>
        <w:tc>
          <w:tcPr>
            <w:tcW w:w="363" w:type="dxa"/>
            <w:tcBorders/>
            <w:vAlign w:val="center"/>
          </w:tcPr>
          <w:p>
            <w:pPr>
              <w:pStyle w:val="TableContents"/>
              <w:bidi w:val="0"/>
              <w:spacing w:before="0" w:after="1"/>
              <w:ind w:left="0" w:right="0" w:hanging="0"/>
              <w:jc w:val="left"/>
              <w:rPr/>
            </w:pPr>
            <w:r>
              <w:rPr/>
              <w:t>​</w:t>
            </w:r>
          </w:p>
        </w:tc>
        <w:tc>
          <w:tcPr>
            <w:tcW w:w="235"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15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(359)</w:t>
            </w:r>
          </w:p>
        </w:tc>
      </w:tr>
      <w:tr>
        <w:trPr/>
        <w:tc>
          <w:tcPr>
            <w:tcW w:w="463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loss</w:t>
            </w:r>
          </w:p>
        </w:tc>
        <w:tc>
          <w:tcPr>
            <w:tcW w:w="326" w:type="dxa"/>
            <w:tcBorders/>
            <w:shd w:fill="CCEEFF" w:val="clear"/>
            <w:vAlign w:val="center"/>
          </w:tcPr>
          <w:p>
            <w:pPr>
              <w:pStyle w:val="TableContents"/>
              <w:bidi w:val="0"/>
              <w:spacing w:before="0" w:after="1"/>
              <w:ind w:left="0" w:right="0" w:hanging="0"/>
              <w:jc w:val="left"/>
              <w:rPr/>
            </w:pPr>
            <w:r>
              <w:rPr/>
              <w:t>​</w:t>
            </w:r>
          </w:p>
        </w:tc>
        <w:tc>
          <w:tcPr>
            <w:tcW w:w="235"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39"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(6,599)</w:t>
            </w:r>
          </w:p>
        </w:tc>
        <w:tc>
          <w:tcPr>
            <w:tcW w:w="363" w:type="dxa"/>
            <w:tcBorders/>
            <w:shd w:fill="CCEEFF" w:val="clear"/>
            <w:vAlign w:val="center"/>
          </w:tcPr>
          <w:p>
            <w:pPr>
              <w:pStyle w:val="TableContents"/>
              <w:bidi w:val="0"/>
              <w:spacing w:before="0" w:after="1"/>
              <w:ind w:left="0" w:right="0" w:hanging="0"/>
              <w:jc w:val="left"/>
              <w:rPr/>
            </w:pPr>
            <w:r>
              <w:rPr/>
              <w:t>​</w:t>
            </w:r>
          </w:p>
        </w:tc>
        <w:tc>
          <w:tcPr>
            <w:tcW w:w="235"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15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(6,653)</w:t>
            </w:r>
          </w:p>
        </w:tc>
      </w:tr>
      <w:tr>
        <w:trPr/>
        <w:tc>
          <w:tcPr>
            <w:tcW w:w="463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Basic and diluted loss per common share</w:t>
            </w:r>
          </w:p>
        </w:tc>
        <w:tc>
          <w:tcPr>
            <w:tcW w:w="326" w:type="dxa"/>
            <w:tcBorders/>
            <w:vAlign w:val="center"/>
          </w:tcPr>
          <w:p>
            <w:pPr>
              <w:pStyle w:val="TableContents"/>
              <w:bidi w:val="0"/>
              <w:spacing w:before="0" w:after="1"/>
              <w:ind w:left="0" w:right="0" w:hanging="0"/>
              <w:jc w:val="left"/>
              <w:rPr/>
            </w:pPr>
            <w:r>
              <w:rPr/>
              <w:t>​</w:t>
            </w:r>
          </w:p>
        </w:tc>
        <w:tc>
          <w:tcPr>
            <w:tcW w:w="235"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39"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(1.11)</w:t>
            </w:r>
          </w:p>
        </w:tc>
        <w:tc>
          <w:tcPr>
            <w:tcW w:w="363" w:type="dxa"/>
            <w:tcBorders/>
            <w:vAlign w:val="center"/>
          </w:tcPr>
          <w:p>
            <w:pPr>
              <w:pStyle w:val="TableContents"/>
              <w:bidi w:val="0"/>
              <w:spacing w:before="0" w:after="1"/>
              <w:ind w:left="0" w:right="0" w:hanging="0"/>
              <w:jc w:val="left"/>
              <w:rPr/>
            </w:pPr>
            <w:r>
              <w:rPr/>
              <w:t>​</w:t>
            </w:r>
          </w:p>
        </w:tc>
        <w:tc>
          <w:tcPr>
            <w:tcW w:w="235"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15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(1.63)</w:t>
            </w:r>
          </w:p>
        </w:tc>
      </w:tr>
      <w:tr>
        <w:trPr/>
        <w:tc>
          <w:tcPr>
            <w:tcW w:w="463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Weighted average shares outstanding, basic and diluted</w:t>
            </w:r>
          </w:p>
        </w:tc>
        <w:tc>
          <w:tcPr>
            <w:tcW w:w="326" w:type="dxa"/>
            <w:tcBorders/>
            <w:shd w:fill="CCEEFF" w:val="clear"/>
            <w:vAlign w:val="center"/>
          </w:tcPr>
          <w:p>
            <w:pPr>
              <w:pStyle w:val="TableContents"/>
              <w:bidi w:val="0"/>
              <w:spacing w:before="0" w:after="1"/>
              <w:ind w:left="0" w:right="0" w:hanging="0"/>
              <w:jc w:val="left"/>
              <w:rPr/>
            </w:pPr>
            <w:r>
              <w:rPr/>
              <w:t>​</w:t>
            </w:r>
          </w:p>
        </w:tc>
        <w:tc>
          <w:tcPr>
            <w:tcW w:w="235"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039"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5,961,186</w:t>
            </w:r>
          </w:p>
        </w:tc>
        <w:tc>
          <w:tcPr>
            <w:tcW w:w="363" w:type="dxa"/>
            <w:tcBorders/>
            <w:shd w:fill="CCEEFF" w:val="clear"/>
            <w:vAlign w:val="center"/>
          </w:tcPr>
          <w:p>
            <w:pPr>
              <w:pStyle w:val="TableContents"/>
              <w:bidi w:val="0"/>
              <w:spacing w:before="0" w:after="1"/>
              <w:ind w:left="0" w:right="0" w:hanging="0"/>
              <w:jc w:val="left"/>
              <w:rPr/>
            </w:pPr>
            <w:r>
              <w:rPr/>
              <w:t>​</w:t>
            </w:r>
          </w:p>
        </w:tc>
        <w:tc>
          <w:tcPr>
            <w:tcW w:w="235"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156" w:type="dxa"/>
            <w:tcBorders>
              <w:bottom w:val="double" w:sz="6" w:space="0" w:color="000000"/>
            </w:tcBorders>
            <w:shd w:fill="CCEEFF" w:val="clear"/>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4,070,438</w:t>
            </w:r>
          </w:p>
        </w:tc>
      </w:tr>
    </w:tbl>
    <w:p>
      <w:pPr>
        <w:pStyle w:val="TextBody"/>
        <w:bidi w:val="0"/>
        <w:spacing w:before="0" w:after="24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Note: Share and per share amounts have been retroactively adjusted to reflect the impact of a 1-for-20 reverse stock split effected in August 2023, as dicussed in Note 1.</w:t>
      </w:r>
    </w:p>
    <w:p>
      <w:pPr>
        <w:pStyle w:val="TextBody"/>
        <w:bidi w:val="0"/>
        <w:spacing w:before="0" w:after="240"/>
        <w:ind w:left="0" w:right="0" w:hanging="0"/>
        <w:jc w:val="center"/>
        <w:rPr>
          <w:rFonts w:ascii="Times New Roman;Times;serif" w:hAnsi="Times New Roman;Times;serif"/>
          <w:sz w:val="20"/>
        </w:rPr>
      </w:pPr>
      <w:r>
        <w:rPr>
          <w:rFonts w:ascii="Times New Roman;Times;serif" w:hAnsi="Times New Roman;Times;serif"/>
          <w:sz w:val="20"/>
        </w:rPr>
        <w:t>The accompanying notes are an integral part of these condensed financial statements.</w:t>
      </w:r>
    </w:p>
    <w:p>
      <w:pPr>
        <w:pStyle w:val="TextBody"/>
        <w:bidi w:val="0"/>
        <w:spacing w:before="0" w:after="0"/>
        <w:ind w:left="0" w:right="0" w:hanging="0"/>
        <w:jc w:val="left"/>
        <w:rPr/>
      </w:pPr>
      <w:r>
        <w:rPr/>
        <w:t>​</w:t>
      </w:r>
    </w:p>
    <w:p>
      <w:pPr>
        <w:pStyle w:val="TextBody"/>
        <w:bidi w:val="0"/>
        <w:spacing w:before="480" w:after="0"/>
        <w:ind w:left="0" w:right="0" w:hanging="0"/>
        <w:jc w:val="right"/>
        <w:rPr>
          <w:rFonts w:ascii="Times New Roman;Times;serif" w:hAnsi="Times New Roman;Times;serif"/>
          <w:sz w:val="20"/>
        </w:rPr>
      </w:pPr>
      <w:r>
        <w:rPr>
          <w:rFonts w:ascii="Times New Roman;Times;serif" w:hAnsi="Times New Roman;Times;serif"/>
          <w:sz w:val="20"/>
        </w:rPr>
        <w:t>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bookmarkStart w:id="209" w:name="_453a1abc_a7b2_4937_a73c_aa8db1862119"/>
      <w:bookmarkEnd w:id="209"/>
      <w:r>
        <w:rPr>
          <w:rFonts w:ascii="Times New Roman;Times;serif" w:hAnsi="Times New Roman;Times;serif"/>
          <w:b/>
          <w:sz w:val="20"/>
        </w:rPr>
        <w:t>Energous Corporation</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CONDENSED STATEMENT OF CHANGES IN STOCKHOLDERS’ EQUITY</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(in thousands, except for share amounts)</w:t>
      </w:r>
    </w:p>
    <w:p>
      <w:pPr>
        <w:pStyle w:val="TextBody"/>
        <w:bidi w:val="0"/>
        <w:spacing w:before="0" w:after="240"/>
        <w:ind w:left="0" w:right="0" w:hanging="0"/>
        <w:jc w:val="center"/>
        <w:rPr/>
      </w:pPr>
      <w:r>
        <w:rPr/>
        <w:t>​</w:t>
      </w:r>
    </w:p>
    <w:p>
      <w:pPr>
        <w:pStyle w:val="Normal"/>
        <w:bidi w:val="0"/>
        <w:spacing w:before="0" w:after="0"/>
        <w:jc w:val="left"/>
        <w:rPr>
          <w:sz w:val="4"/>
          <w:szCs w:val="4"/>
        </w:rPr>
      </w:pPr>
      <w:r>
        <w:rPr>
          <w:sz w:val="4"/>
          <w:szCs w:val="4"/>
        </w:rPr>
      </w:r>
      <w:bookmarkStart w:id="210" w:name="Tc_L9Aw62lPgU-X3PJN_Q9L2Q_13_13"/>
      <w:bookmarkStart w:id="211" w:name="Tc_7oOv5_VaqUK_pWjSItoWMA_13_10"/>
      <w:bookmarkStart w:id="212" w:name="Tc_Td28Re6IEk6Hdr4H38jh4w_13_7"/>
      <w:bookmarkStart w:id="213" w:name="Tc_ZAigb7kM1k-bnsGRgTX9RA_13_4"/>
      <w:bookmarkStart w:id="214" w:name="Tc__qNLMJYiHU-RQwz6Hr8CdA_13_0"/>
      <w:bookmarkStart w:id="215" w:name="Tc_VPNUuv6V-EC3nB4FRkC62Q_12_8"/>
      <w:bookmarkStart w:id="216" w:name="Tc_qSzI4g_Fvkqlkyhh2w3d1Q_12_5"/>
      <w:bookmarkStart w:id="217" w:name="Tc_fn4YsrqPRk2tc14IOYXS3Q_12_2"/>
      <w:bookmarkStart w:id="218" w:name="Tc_bzcwjjscfkqZtLuDKA3frw_12_0"/>
      <w:bookmarkStart w:id="219" w:name="Tc_nuvVGhqKukGUBF2LJ5SSaQ_11_11"/>
      <w:bookmarkStart w:id="220" w:name="Tc_7KpiONl2DE2cjBw9mSQcvA_11_5"/>
      <w:bookmarkStart w:id="221" w:name="Tc_kHvwtZ5y006F-G9XdPF3Zg_11_0"/>
      <w:bookmarkStart w:id="222" w:name="Tc_dO4JJWWfkUamfVG5yQkj3w_10_11"/>
      <w:bookmarkStart w:id="223" w:name="Tc_3UhXI8lmrUS01uPcedUsjA_10_5"/>
      <w:bookmarkStart w:id="224" w:name="Tc_tsbosXFXBk66JLo5QMJ8Gg_10_0"/>
      <w:bookmarkStart w:id="225" w:name="Tc_pypTgwyDYEqsqsw5f5cClw_9_11"/>
      <w:bookmarkStart w:id="226" w:name="Tc_VwyHs0DWlUK-TFX2fauKlQ_9_5"/>
      <w:bookmarkStart w:id="227" w:name="Tc_Rh9rnqM-LUqMqAB2G_AEUQ_9_2"/>
      <w:bookmarkStart w:id="228" w:name="Tc_SnFxLjkgeE2QX9XRt-iT3A_9_0"/>
      <w:bookmarkStart w:id="229" w:name="Tc_jRYjve-UQkujB83W1l5GjQ_8_14"/>
      <w:bookmarkStart w:id="230" w:name="Tc_kFq4TH1x30izq58DvAlJFQ_8_11"/>
      <w:bookmarkStart w:id="231" w:name="Tc_Wc8knu0WG0GxhwWj306pkQ_8_8"/>
      <w:bookmarkStart w:id="232" w:name="Tc_lG_MNSNGDUmTt835IKg_Xw_8_5"/>
      <w:bookmarkStart w:id="233" w:name="Tc_CfUx2oPMZ02Mruv-sCM85w_8_0"/>
      <w:bookmarkStart w:id="234" w:name="Tc_ymrEpkk4G0qNPWeYM-VTcw_7_11"/>
      <w:bookmarkStart w:id="235" w:name="Tc_a_MGG8-BGUC8OEgGHjaYqQ_7_5"/>
      <w:bookmarkStart w:id="236" w:name="Tc__sxiskaFF0a5B54OZy7edQ_7_2"/>
      <w:bookmarkStart w:id="237" w:name="Tc_715nTzFH3EG_Jz5y4xSrKg_7_0"/>
      <w:bookmarkStart w:id="238" w:name="Tc_KtOMHkfCokmMGY34ol1jwQ_6_11"/>
      <w:bookmarkStart w:id="239" w:name="Tc_-aPooJrJIUutiM20vIFPwQ_6_5"/>
      <w:bookmarkStart w:id="240" w:name="Tc_8Pfnb2fgr0KP--KmtAVkLg_6_2"/>
      <w:bookmarkStart w:id="241" w:name="Tc_Ja75crJQYkuC2i9C4VdXXQ_6_0"/>
      <w:bookmarkStart w:id="242" w:name="Tc_bU5lZFiiUUyX94FgpCzaQQ_5_11"/>
      <w:bookmarkStart w:id="243" w:name="Tc_mPp7TRD0rkq12Z9IBckEXw_5_5"/>
      <w:bookmarkStart w:id="244" w:name="Tc_HWwT02IoCUWZnnMED0ENdQ_5_2"/>
      <w:bookmarkStart w:id="245" w:name="Tc_XMb5Mn0bjkyM8Vvm8Wth0w_5_0"/>
      <w:bookmarkStart w:id="246" w:name="Tc_nFnlfORN9k6VwF7uyd92EA_4_13"/>
      <w:bookmarkStart w:id="247" w:name="Tc_AoxKGwYYskqyPjA7ypYMVw_4_10"/>
      <w:bookmarkStart w:id="248" w:name="Tc_R_D0gyfj-UarQsP0zGHCaQ_4_7"/>
      <w:bookmarkStart w:id="249" w:name="Tc_Hjt3mw0RLEOV3XTi8tNd8A_4_4"/>
      <w:bookmarkStart w:id="250" w:name="Tc_yunXUsJ610iXIiDVM2Oihg_4_0"/>
      <w:bookmarkStart w:id="251" w:name="Tc_2DUmSR6WyEGQOt2RtWFp6A_3_13"/>
      <w:bookmarkStart w:id="252" w:name="Tc_pqM1uFHaH0OXiUUAFr5S2w_3_10"/>
      <w:bookmarkStart w:id="253" w:name="Tc_KXTxeqTJokyi5uKa4pk9sw_3_7"/>
      <w:bookmarkStart w:id="254" w:name="Tc_bmnLJqHI1Ea4-qis-aYdIw_3_4"/>
      <w:bookmarkStart w:id="255" w:name="Tc_bquHD4CsNkSlRR4XeisZ2A_3_2"/>
      <w:bookmarkStart w:id="256" w:name="Tc_oEtVaiPRR0alAivH5IBuRQ_2_13"/>
      <w:bookmarkStart w:id="257" w:name="Tc_FoqGtj6MY0mu_SLmgXjPTA_2_10"/>
      <w:bookmarkStart w:id="258" w:name="Tc_iytq_wgT30WovSymaX0VWA_2_7"/>
      <w:bookmarkStart w:id="259" w:name="Tc_PHqFtwX1a06VjKMngZoWmA_2_2"/>
      <w:bookmarkStart w:id="260" w:name="Tc_xkmEc2VS4EeBpkX39J-PKw_1_13"/>
      <w:bookmarkStart w:id="261" w:name="Tc_azCjnohR20-EnSfckdinWA_1_7"/>
      <w:bookmarkStart w:id="262" w:name="_8e4fee66_3d83_48f5_b872_b96f8be05500"/>
      <w:bookmarkStart w:id="263" w:name="Tc_L9Aw62lPgU-X3PJN_Q9L2Q_13_13"/>
      <w:bookmarkStart w:id="264" w:name="Tc_7oOv5_VaqUK_pWjSItoWMA_13_10"/>
      <w:bookmarkStart w:id="265" w:name="Tc_Td28Re6IEk6Hdr4H38jh4w_13_7"/>
      <w:bookmarkStart w:id="266" w:name="Tc_ZAigb7kM1k-bnsGRgTX9RA_13_4"/>
      <w:bookmarkStart w:id="267" w:name="Tc__qNLMJYiHU-RQwz6Hr8CdA_13_0"/>
      <w:bookmarkStart w:id="268" w:name="Tc_VPNUuv6V-EC3nB4FRkC62Q_12_8"/>
      <w:bookmarkStart w:id="269" w:name="Tc_qSzI4g_Fvkqlkyhh2w3d1Q_12_5"/>
      <w:bookmarkStart w:id="270" w:name="Tc_fn4YsrqPRk2tc14IOYXS3Q_12_2"/>
      <w:bookmarkStart w:id="271" w:name="Tc_bzcwjjscfkqZtLuDKA3frw_12_0"/>
      <w:bookmarkStart w:id="272" w:name="Tc_nuvVGhqKukGUBF2LJ5SSaQ_11_11"/>
      <w:bookmarkStart w:id="273" w:name="Tc_7KpiONl2DE2cjBw9mSQcvA_11_5"/>
      <w:bookmarkStart w:id="274" w:name="Tc_kHvwtZ5y006F-G9XdPF3Zg_11_0"/>
      <w:bookmarkStart w:id="275" w:name="Tc_dO4JJWWfkUamfVG5yQkj3w_10_11"/>
      <w:bookmarkStart w:id="276" w:name="Tc_3UhXI8lmrUS01uPcedUsjA_10_5"/>
      <w:bookmarkStart w:id="277" w:name="Tc_tsbosXFXBk66JLo5QMJ8Gg_10_0"/>
      <w:bookmarkStart w:id="278" w:name="Tc_pypTgwyDYEqsqsw5f5cClw_9_11"/>
      <w:bookmarkStart w:id="279" w:name="Tc_VwyHs0DWlUK-TFX2fauKlQ_9_5"/>
      <w:bookmarkStart w:id="280" w:name="Tc_Rh9rnqM-LUqMqAB2G_AEUQ_9_2"/>
      <w:bookmarkStart w:id="281" w:name="Tc_SnFxLjkgeE2QX9XRt-iT3A_9_0"/>
      <w:bookmarkStart w:id="282" w:name="Tc_jRYjve-UQkujB83W1l5GjQ_8_14"/>
      <w:bookmarkStart w:id="283" w:name="Tc_kFq4TH1x30izq58DvAlJFQ_8_11"/>
      <w:bookmarkStart w:id="284" w:name="Tc_Wc8knu0WG0GxhwWj306pkQ_8_8"/>
      <w:bookmarkStart w:id="285" w:name="Tc_lG_MNSNGDUmTt835IKg_Xw_8_5"/>
      <w:bookmarkStart w:id="286" w:name="Tc_CfUx2oPMZ02Mruv-sCM85w_8_0"/>
      <w:bookmarkStart w:id="287" w:name="Tc_ymrEpkk4G0qNPWeYM-VTcw_7_11"/>
      <w:bookmarkStart w:id="288" w:name="Tc_a_MGG8-BGUC8OEgGHjaYqQ_7_5"/>
      <w:bookmarkStart w:id="289" w:name="Tc__sxiskaFF0a5B54OZy7edQ_7_2"/>
      <w:bookmarkStart w:id="290" w:name="Tc_715nTzFH3EG_Jz5y4xSrKg_7_0"/>
      <w:bookmarkStart w:id="291" w:name="Tc_KtOMHkfCokmMGY34ol1jwQ_6_11"/>
      <w:bookmarkStart w:id="292" w:name="Tc_-aPooJrJIUutiM20vIFPwQ_6_5"/>
      <w:bookmarkStart w:id="293" w:name="Tc_8Pfnb2fgr0KP--KmtAVkLg_6_2"/>
      <w:bookmarkStart w:id="294" w:name="Tc_Ja75crJQYkuC2i9C4VdXXQ_6_0"/>
      <w:bookmarkStart w:id="295" w:name="Tc_bU5lZFiiUUyX94FgpCzaQQ_5_11"/>
      <w:bookmarkStart w:id="296" w:name="Tc_mPp7TRD0rkq12Z9IBckEXw_5_5"/>
      <w:bookmarkStart w:id="297" w:name="Tc_HWwT02IoCUWZnnMED0ENdQ_5_2"/>
      <w:bookmarkStart w:id="298" w:name="Tc_XMb5Mn0bjkyM8Vvm8Wth0w_5_0"/>
      <w:bookmarkStart w:id="299" w:name="Tc_nFnlfORN9k6VwF7uyd92EA_4_13"/>
      <w:bookmarkStart w:id="300" w:name="Tc_AoxKGwYYskqyPjA7ypYMVw_4_10"/>
      <w:bookmarkStart w:id="301" w:name="Tc_R_D0gyfj-UarQsP0zGHCaQ_4_7"/>
      <w:bookmarkStart w:id="302" w:name="Tc_Hjt3mw0RLEOV3XTi8tNd8A_4_4"/>
      <w:bookmarkStart w:id="303" w:name="Tc_yunXUsJ610iXIiDVM2Oihg_4_0"/>
      <w:bookmarkStart w:id="304" w:name="Tc_2DUmSR6WyEGQOt2RtWFp6A_3_13"/>
      <w:bookmarkStart w:id="305" w:name="Tc_pqM1uFHaH0OXiUUAFr5S2w_3_10"/>
      <w:bookmarkStart w:id="306" w:name="Tc_KXTxeqTJokyi5uKa4pk9sw_3_7"/>
      <w:bookmarkStart w:id="307" w:name="Tc_bmnLJqHI1Ea4-qis-aYdIw_3_4"/>
      <w:bookmarkStart w:id="308" w:name="Tc_bquHD4CsNkSlRR4XeisZ2A_3_2"/>
      <w:bookmarkStart w:id="309" w:name="Tc_oEtVaiPRR0alAivH5IBuRQ_2_13"/>
      <w:bookmarkStart w:id="310" w:name="Tc_FoqGtj6MY0mu_SLmgXjPTA_2_10"/>
      <w:bookmarkStart w:id="311" w:name="Tc_iytq_wgT30WovSymaX0VWA_2_7"/>
      <w:bookmarkStart w:id="312" w:name="Tc_PHqFtwX1a06VjKMngZoWmA_2_2"/>
      <w:bookmarkStart w:id="313" w:name="Tc_xkmEc2VS4EeBpkX39J-PKw_1_13"/>
      <w:bookmarkStart w:id="314" w:name="Tc_azCjnohR20-EnSfckdinWA_1_7"/>
      <w:bookmarkStart w:id="315" w:name="_8e4fee66_3d83_48f5_b872_b96f8be05500"/>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p>
    <w:tbl>
      <w:tblPr>
        <w:tblW w:w="10205" w:type="dxa"/>
        <w:jc w:val="left"/>
        <w:tblInd w:w="0" w:type="dxa"/>
        <w:tblLayout w:type="fixed"/>
        <w:tblCellMar>
          <w:top w:w="0" w:type="dxa"/>
          <w:left w:w="0" w:type="dxa"/>
          <w:bottom w:w="0" w:type="dxa"/>
          <w:right w:w="0" w:type="dxa"/>
        </w:tblCellMar>
      </w:tblPr>
      <w:tblGrid>
        <w:gridCol w:w="3788"/>
        <w:gridCol w:w="326"/>
        <w:gridCol w:w="931"/>
        <w:gridCol w:w="326"/>
        <w:gridCol w:w="261"/>
        <w:gridCol w:w="430"/>
        <w:gridCol w:w="326"/>
        <w:gridCol w:w="211"/>
        <w:gridCol w:w="781"/>
        <w:gridCol w:w="326"/>
        <w:gridCol w:w="211"/>
        <w:gridCol w:w="860"/>
        <w:gridCol w:w="326"/>
        <w:gridCol w:w="248"/>
        <w:gridCol w:w="854"/>
      </w:tblGrid>
      <w:tr>
        <w:trPr/>
        <w:tc>
          <w:tcPr>
            <w:tcW w:w="378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2405380" cy="175260"/>
                      <wp:effectExtent l="0" t="0" r="0" b="0"/>
                      <wp:wrapNone/>
                      <wp:docPr id="28" name="Frame28"/>
                      <a:graphic xmlns:a="http://schemas.openxmlformats.org/drawingml/2006/main">
                        <a:graphicData uri="http://schemas.microsoft.com/office/word/2010/wordprocessingShape">
                          <wps:wsp>
                            <wps:cNvSpPr txBox="1"/>
                            <wps:spPr>
                              <a:xfrm>
                                <a:off x="0" y="0"/>
                                <a:ext cx="24053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9.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207010" cy="175260"/>
                      <wp:effectExtent l="0" t="0" r="0" b="0"/>
                      <wp:wrapNone/>
                      <wp:docPr id="29" name="Frame2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591185" cy="175260"/>
                      <wp:effectExtent l="0" t="0" r="0" b="0"/>
                      <wp:wrapNone/>
                      <wp:docPr id="30" name="Frame30"/>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207010" cy="175260"/>
                      <wp:effectExtent l="0" t="0" r="0" b="0"/>
                      <wp:wrapNone/>
                      <wp:docPr id="31" name="Frame3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165735" cy="175260"/>
                      <wp:effectExtent l="0" t="0" r="0" b="0"/>
                      <wp:wrapNone/>
                      <wp:docPr id="32" name="Frame32"/>
                      <a:graphic xmlns:a="http://schemas.openxmlformats.org/drawingml/2006/main">
                        <a:graphicData uri="http://schemas.microsoft.com/office/word/2010/wordprocessingShape">
                          <wps:wsp>
                            <wps:cNvSpPr txBox="1"/>
                            <wps:spPr>
                              <a:xfrm>
                                <a:off x="0" y="0"/>
                                <a:ext cx="1657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3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273050" cy="175260"/>
                      <wp:effectExtent l="0" t="0" r="0" b="0"/>
                      <wp:wrapNone/>
                      <wp:docPr id="33" name="Frame33"/>
                      <a:graphic xmlns:a="http://schemas.openxmlformats.org/drawingml/2006/main">
                        <a:graphicData uri="http://schemas.microsoft.com/office/word/2010/wordprocessingShape">
                          <wps:wsp>
                            <wps:cNvSpPr txBox="1"/>
                            <wps:spPr>
                              <a:xfrm>
                                <a:off x="0" y="0"/>
                                <a:ext cx="2730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207010" cy="175260"/>
                      <wp:effectExtent l="0" t="0" r="0" b="0"/>
                      <wp:wrapNone/>
                      <wp:docPr id="34" name="Frame3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133985" cy="175260"/>
                      <wp:effectExtent l="0" t="0" r="0" b="0"/>
                      <wp:wrapNone/>
                      <wp:docPr id="35" name="Frame3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495935" cy="175260"/>
                      <wp:effectExtent l="0" t="0" r="0" b="0"/>
                      <wp:wrapNone/>
                      <wp:docPr id="36" name="Frame36"/>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207010" cy="175260"/>
                      <wp:effectExtent l="0" t="0" r="0" b="0"/>
                      <wp:wrapNone/>
                      <wp:docPr id="37" name="Frame3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133985" cy="175260"/>
                      <wp:effectExtent l="0" t="0" r="0" b="0"/>
                      <wp:wrapNone/>
                      <wp:docPr id="38" name="Frame3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6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546100" cy="175260"/>
                      <wp:effectExtent l="0" t="0" r="0" b="0"/>
                      <wp:wrapNone/>
                      <wp:docPr id="39" name="Frame39"/>
                      <a:graphic xmlns:a="http://schemas.openxmlformats.org/drawingml/2006/main">
                        <a:graphicData uri="http://schemas.microsoft.com/office/word/2010/wordprocessingShape">
                          <wps:wsp>
                            <wps:cNvSpPr txBox="1"/>
                            <wps:spPr>
                              <a:xfrm>
                                <a:off x="0" y="0"/>
                                <a:ext cx="5461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207010" cy="175260"/>
                      <wp:effectExtent l="0" t="0" r="0" b="0"/>
                      <wp:wrapNone/>
                      <wp:docPr id="40" name="Frame4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4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157480" cy="175260"/>
                      <wp:effectExtent l="0" t="0" r="0" b="0"/>
                      <wp:wrapNone/>
                      <wp:docPr id="41" name="Frame41"/>
                      <a:graphic xmlns:a="http://schemas.openxmlformats.org/drawingml/2006/main">
                        <a:graphicData uri="http://schemas.microsoft.com/office/word/2010/wordprocessingShape">
                          <wps:wsp>
                            <wps:cNvSpPr txBox="1"/>
                            <wps:spPr>
                              <a:xfrm>
                                <a:off x="0" y="0"/>
                                <a:ext cx="1574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542290" cy="175260"/>
                      <wp:effectExtent l="0" t="0" r="0" b="0"/>
                      <wp:wrapNone/>
                      <wp:docPr id="42" name="Frame42"/>
                      <a:graphic xmlns:a="http://schemas.openxmlformats.org/drawingml/2006/main">
                        <a:graphicData uri="http://schemas.microsoft.com/office/word/2010/wordprocessingShape">
                          <wps:wsp>
                            <wps:cNvSpPr txBox="1"/>
                            <wps:spPr>
                              <a:xfrm>
                                <a:off x="0" y="0"/>
                                <a:ext cx="5422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788"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93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    </w:t>
            </w:r>
          </w:p>
        </w:tc>
        <w:tc>
          <w:tcPr>
            <w:tcW w:w="691" w:type="dxa"/>
            <w:gridSpan w:val="2"/>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    </w:t>
            </w:r>
          </w:p>
        </w:tc>
        <w:tc>
          <w:tcPr>
            <w:tcW w:w="99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Additional</w:t>
            </w:r>
          </w:p>
        </w:tc>
        <w:tc>
          <w:tcPr>
            <w:tcW w:w="326" w:type="dxa"/>
            <w:tcBorders/>
            <w:vAlign w:val="center"/>
          </w:tcPr>
          <w:p>
            <w:pPr>
              <w:pStyle w:val="TableContents"/>
              <w:bidi w:val="0"/>
              <w:spacing w:before="0" w:after="0"/>
              <w:ind w:left="0" w:right="0" w:hanging="0"/>
              <w:jc w:val="center"/>
              <w:rPr/>
            </w:pPr>
            <w:r>
              <w:rPr/>
              <w:t>    </w:t>
            </w:r>
          </w:p>
        </w:tc>
        <w:tc>
          <w:tcPr>
            <w:tcW w:w="211" w:type="dxa"/>
            <w:tcBorders/>
            <w:vAlign w:val="center"/>
          </w:tcPr>
          <w:p>
            <w:pPr>
              <w:pStyle w:val="TableContents"/>
              <w:bidi w:val="0"/>
              <w:spacing w:before="0" w:after="0"/>
              <w:ind w:left="0" w:right="0" w:hanging="0"/>
              <w:jc w:val="center"/>
              <w:rPr/>
            </w:pPr>
            <w:r>
              <w:rPr/>
              <w:t>​</w:t>
            </w:r>
          </w:p>
        </w:tc>
        <w:tc>
          <w:tcPr>
            <w:tcW w:w="860"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    </w:t>
            </w:r>
          </w:p>
        </w:tc>
        <w:tc>
          <w:tcPr>
            <w:tcW w:w="110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3788"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1948"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Common Stock</w:t>
            </w:r>
          </w:p>
        </w:tc>
        <w:tc>
          <w:tcPr>
            <w:tcW w:w="326" w:type="dxa"/>
            <w:tcBorders/>
            <w:vAlign w:val="center"/>
          </w:tcPr>
          <w:p>
            <w:pPr>
              <w:pStyle w:val="TableContents"/>
              <w:bidi w:val="0"/>
              <w:spacing w:before="0" w:after="0"/>
              <w:ind w:left="0" w:right="0" w:hanging="0"/>
              <w:jc w:val="center"/>
              <w:rPr/>
            </w:pPr>
            <w:r>
              <w:rPr/>
              <w:t>​</w:t>
            </w:r>
          </w:p>
        </w:tc>
        <w:tc>
          <w:tcPr>
            <w:tcW w:w="99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Paid-in</w:t>
            </w:r>
          </w:p>
        </w:tc>
        <w:tc>
          <w:tcPr>
            <w:tcW w:w="326" w:type="dxa"/>
            <w:tcBorders/>
            <w:vAlign w:val="center"/>
          </w:tcPr>
          <w:p>
            <w:pPr>
              <w:pStyle w:val="TableContents"/>
              <w:bidi w:val="0"/>
              <w:spacing w:before="0" w:after="0"/>
              <w:ind w:left="0" w:right="0" w:hanging="0"/>
              <w:jc w:val="center"/>
              <w:rPr/>
            </w:pPr>
            <w:r>
              <w:rPr/>
              <w:t>​</w:t>
            </w:r>
          </w:p>
        </w:tc>
        <w:tc>
          <w:tcPr>
            <w:tcW w:w="107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Accumulated</w:t>
            </w:r>
          </w:p>
        </w:tc>
        <w:tc>
          <w:tcPr>
            <w:tcW w:w="326" w:type="dxa"/>
            <w:tcBorders/>
            <w:vAlign w:val="center"/>
          </w:tcPr>
          <w:p>
            <w:pPr>
              <w:pStyle w:val="TableContents"/>
              <w:bidi w:val="0"/>
              <w:spacing w:before="0" w:after="0"/>
              <w:ind w:left="0" w:right="0" w:hanging="0"/>
              <w:jc w:val="left"/>
              <w:rPr/>
            </w:pPr>
            <w:r>
              <w:rPr/>
              <w:t>​</w:t>
            </w:r>
          </w:p>
        </w:tc>
        <w:tc>
          <w:tcPr>
            <w:tcW w:w="110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Stockholders’</w:t>
            </w:r>
          </w:p>
        </w:tc>
      </w:tr>
      <w:tr>
        <w:trPr/>
        <w:tc>
          <w:tcPr>
            <w:tcW w:w="3788"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Shares</w:t>
            </w:r>
          </w:p>
        </w:tc>
        <w:tc>
          <w:tcPr>
            <w:tcW w:w="326" w:type="dxa"/>
            <w:tcBorders/>
            <w:vAlign w:val="center"/>
          </w:tcPr>
          <w:p>
            <w:pPr>
              <w:pStyle w:val="TableContents"/>
              <w:bidi w:val="0"/>
              <w:spacing w:before="0" w:after="0"/>
              <w:ind w:left="0" w:right="0" w:hanging="0"/>
              <w:jc w:val="center"/>
              <w:rPr/>
            </w:pPr>
            <w:r>
              <w:rPr/>
              <w:t>    </w:t>
            </w:r>
          </w:p>
        </w:tc>
        <w:tc>
          <w:tcPr>
            <w:tcW w:w="69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Amount</w:t>
            </w:r>
          </w:p>
        </w:tc>
        <w:tc>
          <w:tcPr>
            <w:tcW w:w="326" w:type="dxa"/>
            <w:tcBorders/>
            <w:vAlign w:val="center"/>
          </w:tcPr>
          <w:p>
            <w:pPr>
              <w:pStyle w:val="TableContents"/>
              <w:bidi w:val="0"/>
              <w:spacing w:before="0" w:after="0"/>
              <w:ind w:left="0" w:right="0" w:hanging="0"/>
              <w:jc w:val="left"/>
              <w:rPr/>
            </w:pPr>
            <w:r>
              <w:rPr/>
              <w:t>​</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Capital</w:t>
            </w:r>
          </w:p>
        </w:tc>
        <w:tc>
          <w:tcPr>
            <w:tcW w:w="326" w:type="dxa"/>
            <w:tcBorders/>
            <w:vAlign w:val="center"/>
          </w:tcPr>
          <w:p>
            <w:pPr>
              <w:pStyle w:val="TableContents"/>
              <w:bidi w:val="0"/>
              <w:spacing w:before="0" w:after="0"/>
              <w:ind w:left="0" w:right="0" w:hanging="0"/>
              <w:jc w:val="left"/>
              <w:rPr/>
            </w:pPr>
            <w:r>
              <w:rPr/>
              <w:t>​</w:t>
            </w:r>
          </w:p>
        </w:tc>
        <w:tc>
          <w:tcPr>
            <w:tcW w:w="107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Deficit</w:t>
            </w:r>
          </w:p>
        </w:tc>
        <w:tc>
          <w:tcPr>
            <w:tcW w:w="326" w:type="dxa"/>
            <w:tcBorders/>
            <w:vAlign w:val="center"/>
          </w:tcPr>
          <w:p>
            <w:pPr>
              <w:pStyle w:val="TableContents"/>
              <w:bidi w:val="0"/>
              <w:spacing w:before="0" w:after="0"/>
              <w:ind w:left="0" w:right="0" w:hanging="0"/>
              <w:jc w:val="left"/>
              <w:rPr/>
            </w:pPr>
            <w:r>
              <w:rPr/>
              <w:t>​</w:t>
            </w:r>
          </w:p>
        </w:tc>
        <w:tc>
          <w:tcPr>
            <w:tcW w:w="110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Equity</w:t>
            </w:r>
          </w:p>
        </w:tc>
      </w:tr>
      <w:tr>
        <w:trPr/>
        <w:tc>
          <w:tcPr>
            <w:tcW w:w="3788"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Balance as of January 1, 2024</w:t>
            </w:r>
          </w:p>
        </w:tc>
        <w:tc>
          <w:tcPr>
            <w:tcW w:w="326" w:type="dxa"/>
            <w:tcBorders/>
            <w:shd w:fill="CCEEFF" w:val="clear"/>
            <w:vAlign w:val="center"/>
          </w:tcPr>
          <w:p>
            <w:pPr>
              <w:pStyle w:val="TableContents"/>
              <w:bidi w:val="0"/>
              <w:spacing w:before="0" w:after="0"/>
              <w:ind w:left="0" w:right="0" w:hanging="0"/>
              <w:jc w:val="center"/>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5,471,121</w:t>
            </w:r>
          </w:p>
        </w:tc>
        <w:tc>
          <w:tcPr>
            <w:tcW w:w="326" w:type="dxa"/>
            <w:tcBorders/>
            <w:shd w:fill="CCEEFF" w:val="clear"/>
            <w:vAlign w:val="center"/>
          </w:tcPr>
          <w:p>
            <w:pPr>
              <w:pStyle w:val="TableContents"/>
              <w:bidi w:val="0"/>
              <w:spacing w:before="0" w:after="0"/>
              <w:ind w:left="0" w:right="0" w:hanging="0"/>
              <w:jc w:val="center"/>
              <w:rPr/>
            </w:pPr>
            <w:r>
              <w:rPr/>
              <w:t>​</w:t>
            </w:r>
          </w:p>
        </w:tc>
        <w:tc>
          <w:tcPr>
            <w:tcW w:w="2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3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w:t>
            </w:r>
          </w:p>
        </w:tc>
        <w:tc>
          <w:tcPr>
            <w:tcW w:w="326" w:type="dxa"/>
            <w:tcBorders/>
            <w:shd w:fill="CCEEFF" w:val="clear"/>
            <w:vAlign w:val="center"/>
          </w:tcPr>
          <w:p>
            <w:pPr>
              <w:pStyle w:val="TableContents"/>
              <w:bidi w:val="0"/>
              <w:spacing w:before="0" w:after="0"/>
              <w:ind w:left="0" w:right="0" w:hanging="0"/>
              <w:jc w:val="center"/>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393,539</w:t>
            </w:r>
          </w:p>
        </w:tc>
        <w:tc>
          <w:tcPr>
            <w:tcW w:w="326" w:type="dxa"/>
            <w:tcBorders/>
            <w:shd w:fill="CCEEFF" w:val="clear"/>
            <w:vAlign w:val="center"/>
          </w:tcPr>
          <w:p>
            <w:pPr>
              <w:pStyle w:val="TableContents"/>
              <w:bidi w:val="0"/>
              <w:spacing w:before="0" w:after="0"/>
              <w:ind w:left="0" w:right="0" w:hanging="0"/>
              <w:jc w:val="center"/>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6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(382,042)</w:t>
            </w:r>
          </w:p>
        </w:tc>
        <w:tc>
          <w:tcPr>
            <w:tcW w:w="326" w:type="dxa"/>
            <w:tcBorders/>
            <w:shd w:fill="CCEEFF" w:val="clear"/>
            <w:vAlign w:val="center"/>
          </w:tcPr>
          <w:p>
            <w:pPr>
              <w:pStyle w:val="TableContents"/>
              <w:bidi w:val="0"/>
              <w:spacing w:before="0" w:after="0"/>
              <w:ind w:left="0" w:right="0" w:hanging="0"/>
              <w:jc w:val="center"/>
              <w:rPr/>
            </w:pPr>
            <w:r>
              <w:rPr/>
              <w:t>​</w:t>
            </w:r>
          </w:p>
        </w:tc>
        <w:tc>
          <w:tcPr>
            <w:tcW w:w="24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5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11,498</w:t>
            </w:r>
          </w:p>
        </w:tc>
      </w:tr>
      <w:tr>
        <w:trPr/>
        <w:tc>
          <w:tcPr>
            <w:tcW w:w="3788"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Stock-based compensation - options</w:t>
            </w:r>
          </w:p>
        </w:tc>
        <w:tc>
          <w:tcPr>
            <w:tcW w:w="32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261" w:type="dxa"/>
            <w:tcBorders/>
            <w:vAlign w:val="center"/>
          </w:tcPr>
          <w:p>
            <w:pPr>
              <w:pStyle w:val="TableContents"/>
              <w:bidi w:val="0"/>
              <w:spacing w:before="0" w:after="0"/>
              <w:ind w:left="0" w:right="0" w:hanging="0"/>
              <w:jc w:val="right"/>
              <w:rPr/>
            </w:pPr>
            <w:r>
              <w:rPr/>
              <w:t>​</w:t>
            </w:r>
          </w:p>
        </w:tc>
        <w:tc>
          <w:tcPr>
            <w:tcW w:w="430"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righ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72</w:t>
            </w:r>
          </w:p>
        </w:tc>
        <w:tc>
          <w:tcPr>
            <w:tcW w:w="32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right"/>
              <w:rPr/>
            </w:pPr>
            <w:r>
              <w:rPr/>
              <w:t>​</w:t>
            </w:r>
          </w:p>
        </w:tc>
        <w:tc>
          <w:tcPr>
            <w:tcW w:w="860"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248" w:type="dxa"/>
            <w:tcBorders/>
            <w:vAlign w:val="center"/>
          </w:tcPr>
          <w:p>
            <w:pPr>
              <w:pStyle w:val="TableContents"/>
              <w:bidi w:val="0"/>
              <w:spacing w:before="0" w:after="0"/>
              <w:ind w:left="0" w:right="0" w:hanging="0"/>
              <w:jc w:val="right"/>
              <w:rPr/>
            </w:pPr>
            <w:r>
              <w:rPr/>
              <w:t>​</w:t>
            </w:r>
          </w:p>
        </w:tc>
        <w:tc>
          <w:tcPr>
            <w:tcW w:w="85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72</w:t>
            </w:r>
          </w:p>
        </w:tc>
      </w:tr>
      <w:tr>
        <w:trPr/>
        <w:tc>
          <w:tcPr>
            <w:tcW w:w="3788"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Stock-based compensation - restricted stock units (“RSUs”)</w:t>
            </w:r>
          </w:p>
        </w:tc>
        <w:tc>
          <w:tcPr>
            <w:tcW w:w="326"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261" w:type="dxa"/>
            <w:tcBorders/>
            <w:shd w:fill="CCEEFF" w:val="clear"/>
            <w:vAlign w:val="center"/>
          </w:tcPr>
          <w:p>
            <w:pPr>
              <w:pStyle w:val="TableContents"/>
              <w:bidi w:val="0"/>
              <w:spacing w:before="0" w:after="0"/>
              <w:ind w:left="0" w:right="0" w:hanging="0"/>
              <w:jc w:val="right"/>
              <w:rPr/>
            </w:pPr>
            <w:r>
              <w:rPr/>
              <w:t>​</w:t>
            </w:r>
          </w:p>
        </w:tc>
        <w:tc>
          <w:tcPr>
            <w:tcW w:w="430"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righ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313</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right"/>
              <w:rPr/>
            </w:pPr>
            <w:r>
              <w:rPr/>
              <w:t>​</w:t>
            </w:r>
          </w:p>
        </w:tc>
        <w:tc>
          <w:tcPr>
            <w:tcW w:w="860"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248" w:type="dxa"/>
            <w:tcBorders/>
            <w:shd w:fill="CCEEFF" w:val="clear"/>
            <w:vAlign w:val="center"/>
          </w:tcPr>
          <w:p>
            <w:pPr>
              <w:pStyle w:val="TableContents"/>
              <w:bidi w:val="0"/>
              <w:spacing w:before="0" w:after="0"/>
              <w:ind w:left="0" w:right="0" w:hanging="0"/>
              <w:jc w:val="right"/>
              <w:rPr/>
            </w:pPr>
            <w:r>
              <w:rPr/>
              <w:t>​</w:t>
            </w:r>
          </w:p>
        </w:tc>
        <w:tc>
          <w:tcPr>
            <w:tcW w:w="85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313</w:t>
            </w:r>
          </w:p>
        </w:tc>
      </w:tr>
      <w:tr>
        <w:trPr/>
        <w:tc>
          <w:tcPr>
            <w:tcW w:w="3788"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Stock-based compensation - employee stock purchase plan (“ESPP”)</w:t>
            </w:r>
          </w:p>
        </w:tc>
        <w:tc>
          <w:tcPr>
            <w:tcW w:w="32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261" w:type="dxa"/>
            <w:tcBorders/>
            <w:vAlign w:val="center"/>
          </w:tcPr>
          <w:p>
            <w:pPr>
              <w:pStyle w:val="TableContents"/>
              <w:bidi w:val="0"/>
              <w:spacing w:before="0" w:after="0"/>
              <w:ind w:left="0" w:right="0" w:hanging="0"/>
              <w:jc w:val="right"/>
              <w:rPr/>
            </w:pPr>
            <w:r>
              <w:rPr/>
              <w:t>​</w:t>
            </w:r>
          </w:p>
        </w:tc>
        <w:tc>
          <w:tcPr>
            <w:tcW w:w="430"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righ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w:t>
            </w:r>
          </w:p>
        </w:tc>
        <w:tc>
          <w:tcPr>
            <w:tcW w:w="32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right"/>
              <w:rPr/>
            </w:pPr>
            <w:r>
              <w:rPr/>
              <w:t>​</w:t>
            </w:r>
          </w:p>
        </w:tc>
        <w:tc>
          <w:tcPr>
            <w:tcW w:w="860"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248" w:type="dxa"/>
            <w:tcBorders/>
            <w:vAlign w:val="center"/>
          </w:tcPr>
          <w:p>
            <w:pPr>
              <w:pStyle w:val="TableContents"/>
              <w:bidi w:val="0"/>
              <w:spacing w:before="0" w:after="0"/>
              <w:ind w:left="0" w:right="0" w:hanging="0"/>
              <w:jc w:val="right"/>
              <w:rPr/>
            </w:pPr>
            <w:r>
              <w:rPr/>
              <w:t>​</w:t>
            </w:r>
          </w:p>
        </w:tc>
        <w:tc>
          <w:tcPr>
            <w:tcW w:w="85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w:t>
            </w:r>
          </w:p>
        </w:tc>
      </w:tr>
      <w:tr>
        <w:trPr/>
        <w:tc>
          <w:tcPr>
            <w:tcW w:w="3788"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Issuance of shares for RSUs</w:t>
            </w:r>
          </w:p>
        </w:tc>
        <w:tc>
          <w:tcPr>
            <w:tcW w:w="326"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16,775</w:t>
            </w:r>
          </w:p>
        </w:tc>
        <w:tc>
          <w:tcPr>
            <w:tcW w:w="326" w:type="dxa"/>
            <w:tcBorders/>
            <w:shd w:fill="CCEEFF" w:val="clear"/>
            <w:vAlign w:val="center"/>
          </w:tcPr>
          <w:p>
            <w:pPr>
              <w:pStyle w:val="TableContents"/>
              <w:bidi w:val="0"/>
              <w:spacing w:before="0" w:after="0"/>
              <w:ind w:left="0" w:right="0" w:hanging="0"/>
              <w:jc w:val="left"/>
              <w:rPr/>
            </w:pPr>
            <w:r>
              <w:rPr/>
              <w:t> </w:t>
            </w:r>
          </w:p>
        </w:tc>
        <w:tc>
          <w:tcPr>
            <w:tcW w:w="261" w:type="dxa"/>
            <w:tcBorders/>
            <w:shd w:fill="CCEEFF" w:val="clear"/>
            <w:vAlign w:val="center"/>
          </w:tcPr>
          <w:p>
            <w:pPr>
              <w:pStyle w:val="TableContents"/>
              <w:bidi w:val="0"/>
              <w:spacing w:before="0" w:after="0"/>
              <w:ind w:left="0" w:right="0" w:hanging="0"/>
              <w:jc w:val="right"/>
              <w:rPr/>
            </w:pPr>
            <w:r>
              <w:rPr/>
              <w:t>​</w:t>
            </w:r>
          </w:p>
        </w:tc>
        <w:tc>
          <w:tcPr>
            <w:tcW w:w="430"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right"/>
              <w:rPr/>
            </w:pPr>
            <w:r>
              <w:rPr/>
              <w:t>​</w:t>
            </w:r>
          </w:p>
        </w:tc>
        <w:tc>
          <w:tcPr>
            <w:tcW w:w="78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right"/>
              <w:rPr/>
            </w:pPr>
            <w:r>
              <w:rPr/>
              <w:t>​</w:t>
            </w:r>
          </w:p>
        </w:tc>
        <w:tc>
          <w:tcPr>
            <w:tcW w:w="860"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248" w:type="dxa"/>
            <w:tcBorders/>
            <w:shd w:fill="CCEEFF" w:val="clear"/>
            <w:vAlign w:val="center"/>
          </w:tcPr>
          <w:p>
            <w:pPr>
              <w:pStyle w:val="TableContents"/>
              <w:bidi w:val="0"/>
              <w:spacing w:before="0" w:after="0"/>
              <w:ind w:left="0" w:right="0" w:hanging="0"/>
              <w:jc w:val="right"/>
              <w:rPr/>
            </w:pPr>
            <w:r>
              <w:rPr/>
              <w:t>​</w:t>
            </w:r>
          </w:p>
        </w:tc>
        <w:tc>
          <w:tcPr>
            <w:tcW w:w="854" w:type="dxa"/>
            <w:tcBorders/>
            <w:shd w:fill="CCEEFF" w:val="clear"/>
            <w:vAlign w:val="center"/>
          </w:tcPr>
          <w:p>
            <w:pPr>
              <w:pStyle w:val="TableContents"/>
              <w:bidi w:val="0"/>
              <w:spacing w:before="0" w:after="0"/>
              <w:ind w:left="0" w:right="0" w:hanging="0"/>
              <w:jc w:val="right"/>
              <w:rPr/>
            </w:pPr>
            <w:r>
              <w:rPr/>
              <w:t>—</w:t>
            </w:r>
          </w:p>
        </w:tc>
      </w:tr>
      <w:tr>
        <w:trPr/>
        <w:tc>
          <w:tcPr>
            <w:tcW w:w="3788"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Proceeds from contributions to the ESPP</w:t>
            </w:r>
          </w:p>
        </w:tc>
        <w:tc>
          <w:tcPr>
            <w:tcW w:w="32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261" w:type="dxa"/>
            <w:tcBorders/>
            <w:vAlign w:val="center"/>
          </w:tcPr>
          <w:p>
            <w:pPr>
              <w:pStyle w:val="TableContents"/>
              <w:bidi w:val="0"/>
              <w:spacing w:before="0" w:after="0"/>
              <w:ind w:left="0" w:right="0" w:hanging="0"/>
              <w:jc w:val="right"/>
              <w:rPr/>
            </w:pPr>
            <w:r>
              <w:rPr/>
              <w:t>​</w:t>
            </w:r>
          </w:p>
        </w:tc>
        <w:tc>
          <w:tcPr>
            <w:tcW w:w="430"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righ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w:t>
            </w:r>
          </w:p>
        </w:tc>
        <w:tc>
          <w:tcPr>
            <w:tcW w:w="32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right"/>
              <w:rPr/>
            </w:pPr>
            <w:r>
              <w:rPr/>
              <w:t>​</w:t>
            </w:r>
          </w:p>
        </w:tc>
        <w:tc>
          <w:tcPr>
            <w:tcW w:w="860"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248" w:type="dxa"/>
            <w:tcBorders/>
            <w:vAlign w:val="center"/>
          </w:tcPr>
          <w:p>
            <w:pPr>
              <w:pStyle w:val="TableContents"/>
              <w:bidi w:val="0"/>
              <w:spacing w:before="0" w:after="0"/>
              <w:ind w:left="0" w:right="0" w:hanging="0"/>
              <w:jc w:val="right"/>
              <w:rPr/>
            </w:pPr>
            <w:r>
              <w:rPr/>
              <w:t>​</w:t>
            </w:r>
          </w:p>
        </w:tc>
        <w:tc>
          <w:tcPr>
            <w:tcW w:w="85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w:t>
            </w:r>
          </w:p>
        </w:tc>
      </w:tr>
      <w:tr>
        <w:trPr/>
        <w:tc>
          <w:tcPr>
            <w:tcW w:w="3788"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Issuance of shares in an at-the-market (“ATM”) placement, net of $2 in issuance costs</w:t>
            </w:r>
          </w:p>
        </w:tc>
        <w:tc>
          <w:tcPr>
            <w:tcW w:w="326"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27,870</w:t>
            </w:r>
          </w:p>
        </w:tc>
        <w:tc>
          <w:tcPr>
            <w:tcW w:w="326" w:type="dxa"/>
            <w:tcBorders/>
            <w:shd w:fill="CCEEFF" w:val="clear"/>
            <w:vAlign w:val="center"/>
          </w:tcPr>
          <w:p>
            <w:pPr>
              <w:pStyle w:val="TableContents"/>
              <w:bidi w:val="0"/>
              <w:spacing w:before="0" w:after="0"/>
              <w:ind w:left="0" w:right="0" w:hanging="0"/>
              <w:jc w:val="left"/>
              <w:rPr/>
            </w:pPr>
            <w:r>
              <w:rPr/>
              <w:t> </w:t>
            </w:r>
          </w:p>
        </w:tc>
        <w:tc>
          <w:tcPr>
            <w:tcW w:w="261" w:type="dxa"/>
            <w:tcBorders/>
            <w:shd w:fill="CCEEFF" w:val="clear"/>
            <w:vAlign w:val="center"/>
          </w:tcPr>
          <w:p>
            <w:pPr>
              <w:pStyle w:val="TableContents"/>
              <w:bidi w:val="0"/>
              <w:spacing w:before="0" w:after="0"/>
              <w:ind w:left="0" w:right="0" w:hanging="0"/>
              <w:jc w:val="right"/>
              <w:rPr/>
            </w:pPr>
            <w:r>
              <w:rPr/>
              <w:t>​</w:t>
            </w:r>
          </w:p>
        </w:tc>
        <w:tc>
          <w:tcPr>
            <w:tcW w:w="430"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righ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right"/>
              <w:rPr/>
            </w:pPr>
            <w:r>
              <w:rPr/>
              <w:t>​</w:t>
            </w:r>
          </w:p>
        </w:tc>
        <w:tc>
          <w:tcPr>
            <w:tcW w:w="860"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248" w:type="dxa"/>
            <w:tcBorders/>
            <w:shd w:fill="CCEEFF" w:val="clear"/>
            <w:vAlign w:val="center"/>
          </w:tcPr>
          <w:p>
            <w:pPr>
              <w:pStyle w:val="TableContents"/>
              <w:bidi w:val="0"/>
              <w:spacing w:before="0" w:after="0"/>
              <w:ind w:left="0" w:right="0" w:hanging="0"/>
              <w:jc w:val="right"/>
              <w:rPr/>
            </w:pPr>
            <w:r>
              <w:rPr/>
              <w:t>​</w:t>
            </w:r>
          </w:p>
        </w:tc>
        <w:tc>
          <w:tcPr>
            <w:tcW w:w="85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w:t>
            </w:r>
          </w:p>
        </w:tc>
      </w:tr>
      <w:tr>
        <w:trPr/>
        <w:tc>
          <w:tcPr>
            <w:tcW w:w="3788"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Issuance of shares in a sale of common stock, pre-funded warrants and warrants, net of $230 in issuance costs</w:t>
            </w:r>
          </w:p>
        </w:tc>
        <w:tc>
          <w:tcPr>
            <w:tcW w:w="32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570,000</w:t>
            </w:r>
          </w:p>
        </w:tc>
        <w:tc>
          <w:tcPr>
            <w:tcW w:w="326" w:type="dxa"/>
            <w:tcBorders/>
            <w:vAlign w:val="center"/>
          </w:tcPr>
          <w:p>
            <w:pPr>
              <w:pStyle w:val="TableContents"/>
              <w:bidi w:val="0"/>
              <w:spacing w:before="0" w:after="0"/>
              <w:ind w:left="0" w:right="0" w:hanging="0"/>
              <w:jc w:val="left"/>
              <w:rPr/>
            </w:pPr>
            <w:r>
              <w:rPr/>
              <w:t> </w:t>
            </w:r>
          </w:p>
        </w:tc>
        <w:tc>
          <w:tcPr>
            <w:tcW w:w="261" w:type="dxa"/>
            <w:tcBorders/>
            <w:vAlign w:val="center"/>
          </w:tcPr>
          <w:p>
            <w:pPr>
              <w:pStyle w:val="TableContents"/>
              <w:bidi w:val="0"/>
              <w:spacing w:before="0" w:after="0"/>
              <w:ind w:left="0" w:right="0" w:hanging="0"/>
              <w:jc w:val="right"/>
              <w:rPr/>
            </w:pPr>
            <w:r>
              <w:rPr/>
              <w:t>​</w:t>
            </w:r>
          </w:p>
        </w:tc>
        <w:tc>
          <w:tcPr>
            <w:tcW w:w="430"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righ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1,770</w:t>
            </w:r>
          </w:p>
        </w:tc>
        <w:tc>
          <w:tcPr>
            <w:tcW w:w="32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right"/>
              <w:rPr/>
            </w:pPr>
            <w:r>
              <w:rPr/>
              <w:t>​</w:t>
            </w:r>
          </w:p>
        </w:tc>
        <w:tc>
          <w:tcPr>
            <w:tcW w:w="860"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248" w:type="dxa"/>
            <w:tcBorders/>
            <w:vAlign w:val="center"/>
          </w:tcPr>
          <w:p>
            <w:pPr>
              <w:pStyle w:val="TableContents"/>
              <w:bidi w:val="0"/>
              <w:spacing w:before="0" w:after="0"/>
              <w:ind w:left="0" w:right="0" w:hanging="0"/>
              <w:jc w:val="right"/>
              <w:rPr/>
            </w:pPr>
            <w:r>
              <w:rPr/>
              <w:t>​</w:t>
            </w:r>
          </w:p>
        </w:tc>
        <w:tc>
          <w:tcPr>
            <w:tcW w:w="85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1,770</w:t>
            </w:r>
          </w:p>
        </w:tc>
      </w:tr>
      <w:tr>
        <w:trPr/>
        <w:tc>
          <w:tcPr>
            <w:tcW w:w="3788"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loss</w:t>
            </w:r>
          </w:p>
        </w:tc>
        <w:tc>
          <w:tcPr>
            <w:tcW w:w="326" w:type="dxa"/>
            <w:tcBorders/>
            <w:shd w:fill="CCEEFF" w:val="clear"/>
            <w:vAlign w:val="center"/>
          </w:tcPr>
          <w:p>
            <w:pPr>
              <w:pStyle w:val="TableContents"/>
              <w:bidi w:val="0"/>
              <w:spacing w:before="0" w:after="0"/>
              <w:ind w:left="0" w:right="0" w:hanging="0"/>
              <w:jc w:val="left"/>
              <w:rPr/>
            </w:pPr>
            <w:r>
              <w:rPr/>
              <w:t> </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26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43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86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(6,599)</w:t>
            </w:r>
          </w:p>
        </w:tc>
        <w:tc>
          <w:tcPr>
            <w:tcW w:w="326" w:type="dxa"/>
            <w:tcBorders/>
            <w:shd w:fill="CCEEFF" w:val="clear"/>
            <w:vAlign w:val="center"/>
          </w:tcPr>
          <w:p>
            <w:pPr>
              <w:pStyle w:val="TableContents"/>
              <w:bidi w:val="0"/>
              <w:spacing w:before="0" w:after="0"/>
              <w:ind w:left="0" w:right="0" w:hanging="0"/>
              <w:jc w:val="left"/>
              <w:rPr/>
            </w:pPr>
            <w:r>
              <w:rPr/>
              <w:t> </w:t>
            </w:r>
          </w:p>
        </w:tc>
        <w:tc>
          <w:tcPr>
            <w:tcW w:w="24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85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(6,599)</w:t>
            </w:r>
          </w:p>
        </w:tc>
      </w:tr>
      <w:tr>
        <w:trPr/>
        <w:tc>
          <w:tcPr>
            <w:tcW w:w="3788"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Balance as of March 31, 2024</w:t>
            </w:r>
          </w:p>
        </w:tc>
        <w:tc>
          <w:tcPr>
            <w:tcW w:w="326" w:type="dxa"/>
            <w:tcBorders/>
            <w:vAlign w:val="center"/>
          </w:tcPr>
          <w:p>
            <w:pPr>
              <w:pStyle w:val="TableContents"/>
              <w:bidi w:val="0"/>
              <w:spacing w:before="0" w:after="0"/>
              <w:ind w:left="0" w:right="0" w:hanging="0"/>
              <w:jc w:val="left"/>
              <w:rPr/>
            </w:pPr>
            <w:r>
              <w:rPr/>
              <w:t> </w:t>
            </w:r>
          </w:p>
        </w:tc>
        <w:tc>
          <w:tcPr>
            <w:tcW w:w="93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6,085,766</w:t>
            </w:r>
          </w:p>
        </w:tc>
        <w:tc>
          <w:tcPr>
            <w:tcW w:w="326" w:type="dxa"/>
            <w:tcBorders/>
            <w:vAlign w:val="center"/>
          </w:tcPr>
          <w:p>
            <w:pPr>
              <w:pStyle w:val="TableContents"/>
              <w:bidi w:val="0"/>
              <w:spacing w:before="0" w:after="0"/>
              <w:ind w:left="0" w:right="0" w:hanging="0"/>
              <w:jc w:val="left"/>
              <w:rPr/>
            </w:pPr>
            <w:r>
              <w:rPr/>
              <w:t>​</w:t>
            </w:r>
          </w:p>
        </w:tc>
        <w:tc>
          <w:tcPr>
            <w:tcW w:w="26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30"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395,796</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60"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(388,641)</w:t>
            </w:r>
          </w:p>
        </w:tc>
        <w:tc>
          <w:tcPr>
            <w:tcW w:w="326" w:type="dxa"/>
            <w:tcBorders/>
            <w:vAlign w:val="center"/>
          </w:tcPr>
          <w:p>
            <w:pPr>
              <w:pStyle w:val="TableContents"/>
              <w:bidi w:val="0"/>
              <w:spacing w:before="0" w:after="0"/>
              <w:ind w:left="0" w:right="0" w:hanging="0"/>
              <w:jc w:val="left"/>
              <w:rPr/>
            </w:pPr>
            <w:r>
              <w:rPr/>
              <w:t>​</w:t>
            </w:r>
          </w:p>
        </w:tc>
        <w:tc>
          <w:tcPr>
            <w:tcW w:w="248"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54"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7,156</w:t>
            </w:r>
          </w:p>
        </w:tc>
      </w:tr>
    </w:tbl>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316" w:name="Tc_zHnlkamvKUem1OdpGgnVaA_13_13"/>
      <w:bookmarkStart w:id="317" w:name="Tc_H3L_PbU8Qk6RgGk0Gm_qCw_13_10"/>
      <w:bookmarkStart w:id="318" w:name="Tc_kP9o6aAzBkSCEMPMHW7IaA_13_7"/>
      <w:bookmarkStart w:id="319" w:name="Tc_JxBM06VhRkCJZr3tcO-OaA_13_4"/>
      <w:bookmarkStart w:id="320" w:name="Tc_cCik4LDPMUK_foE1Af7aFw_13_0"/>
      <w:bookmarkStart w:id="321" w:name="Tc_fbqDMD56j0C_Ci_GtSe8Uw_12_8"/>
      <w:bookmarkStart w:id="322" w:name="Tc_JPiJuScS6E2SjiOOIa4A6g_12_5"/>
      <w:bookmarkStart w:id="323" w:name="Tc_bwzkkpLwAku_WTsAX-QVYQ_12_2"/>
      <w:bookmarkStart w:id="324" w:name="Tc_bF4tn9vD0ESv_31xrBL0IA_12_0"/>
      <w:bookmarkStart w:id="325" w:name="Tc_gwepgpYynk6pG70CbEXZow_11_11"/>
      <w:bookmarkStart w:id="326" w:name="Tc_DZw7ryZptkWBAIXvNev2NA_11_5"/>
      <w:bookmarkStart w:id="327" w:name="Tc_sfPL6cNtT0GKjXrB-2q7gw_11_0"/>
      <w:bookmarkStart w:id="328" w:name="Tc_0Rf5pno0eEOwo0VTviyJcw_10_11"/>
      <w:bookmarkStart w:id="329" w:name="Tc__WbJWhV_XEWy4ympzfduAQ_10_5"/>
      <w:bookmarkStart w:id="330" w:name="Tc_HqI_Uy6i4kSEyKLvQNXpQQ_10_0"/>
      <w:bookmarkStart w:id="331" w:name="Tc_yjOrXYfT80Cr_eTOhkrrGg_9_11"/>
      <w:bookmarkStart w:id="332" w:name="Tc_LrQQrYI91E-dXtgs0bo0Qg_9_5"/>
      <w:bookmarkStart w:id="333" w:name="Tc_oC2EhQ28b0u_nx0RUuDytg_9_2"/>
      <w:bookmarkStart w:id="334" w:name="Tc_piuEKAyTdEWCmxx1ezCzSQ_9_0"/>
      <w:bookmarkStart w:id="335" w:name="Tc_CmjOa_WMy0KmhQ1ehnNTeQ_8_14"/>
      <w:bookmarkStart w:id="336" w:name="Tc_s5Ov0TC3TEOmhv7TxLyhGg_8_11"/>
      <w:bookmarkStart w:id="337" w:name="Tc_7eA2DBDnqkKM7XeXJMvuaw_8_8"/>
      <w:bookmarkStart w:id="338" w:name="Tc_HbdwfxBGtkqhqjK3CyOf2w_8_5"/>
      <w:bookmarkStart w:id="339" w:name="Tc_xyvAzc5agEqN2xcIMvaBXQ_8_0"/>
      <w:bookmarkStart w:id="340" w:name="Tc_Xe6bVEN7EU-KHmVctWJ48Q_7_11"/>
      <w:bookmarkStart w:id="341" w:name="Tc_-HtlYobhG0q7tutR8LViUQ_7_5"/>
      <w:bookmarkStart w:id="342" w:name="Tc_f4Map67XY0GnLR2yVj5Ueg_7_2"/>
      <w:bookmarkStart w:id="343" w:name="Tc_bKwbQV6lyUyNrUnz1MpdlQ_7_0"/>
      <w:bookmarkStart w:id="344" w:name="Tc_zZIH3FzvRUS6KgiinpaT5g_6_11"/>
      <w:bookmarkStart w:id="345" w:name="Tc_B_unHAaf20yTnm3XXwssyw_6_5"/>
      <w:bookmarkStart w:id="346" w:name="Tc_lvMDrRRwGEyP0E4OpgPXBA_6_2"/>
      <w:bookmarkStart w:id="347" w:name="Tc_VLuSEtr-f0muG0vO_iygww_6_0"/>
      <w:bookmarkStart w:id="348" w:name="Tc_-jzxE-mOIEeL-H6Alf5tNg_5_11"/>
      <w:bookmarkStart w:id="349" w:name="Tc_2PHxkhgIJEaXVO39SBUE4g_5_5"/>
      <w:bookmarkStart w:id="350" w:name="Tc_di2yZVod2ke7LuQ1TakbsA_5_2"/>
      <w:bookmarkStart w:id="351" w:name="Tc_XKj7qvCepEuSiZw2tDKY5A_5_0"/>
      <w:bookmarkStart w:id="352" w:name="Tc_Mepqsxg7Fk2VZclsB3wjgg_4_13"/>
      <w:bookmarkStart w:id="353" w:name="Tc_hM3XmwSqkUizPeWi3yYhtw_4_10"/>
      <w:bookmarkStart w:id="354" w:name="Tc_0WHXQamecUG9xorXKE9uYA_4_7"/>
      <w:bookmarkStart w:id="355" w:name="Tc_exof0Q8Ozk-RzYDP1yeF-A_4_4"/>
      <w:bookmarkStart w:id="356" w:name="Tc_mSPqknubmE6c_0Ygj0XaFQ_4_0"/>
      <w:bookmarkStart w:id="357" w:name="Tc_xBVXCAiJn0yCuAVneFRYMQ_3_13"/>
      <w:bookmarkStart w:id="358" w:name="Tc_IaNtp5B3gUKVDz84ubl4eQ_3_10"/>
      <w:bookmarkStart w:id="359" w:name="Tc_YbzfDZDS0Eehwu4rVpPo-g_3_7"/>
      <w:bookmarkStart w:id="360" w:name="Tc_U38mAAeTi0GSM1fAWI5JUg_3_4"/>
      <w:bookmarkStart w:id="361" w:name="Tc_9_lHT9knAECckq9LQtWHIw_3_2"/>
      <w:bookmarkStart w:id="362" w:name="Tc_oM23RShTfUWcIqz1ywK0Fg_2_13"/>
      <w:bookmarkStart w:id="363" w:name="Tc_2F67BhMyrU2hgH0ZkWSP7w_2_10"/>
      <w:bookmarkStart w:id="364" w:name="Tc_9R7rd5VdKkCjlGY5P_gPQQ_2_7"/>
      <w:bookmarkStart w:id="365" w:name="Tc_F_rr3Q044UymA2XUoEEenQ_2_2"/>
      <w:bookmarkStart w:id="366" w:name="Tc_cxB2gDPWc06EmwVd8RvzmA_1_13"/>
      <w:bookmarkStart w:id="367" w:name="Tc_MCuXL6HNaUqbJCX4FptqLQ_1_7"/>
      <w:bookmarkStart w:id="368" w:name="_e3f1f7b4_80b5_4b0d_8dd5_2c0c106df20b"/>
      <w:bookmarkStart w:id="369" w:name="Tc_zHnlkamvKUem1OdpGgnVaA_13_13"/>
      <w:bookmarkStart w:id="370" w:name="Tc_H3L_PbU8Qk6RgGk0Gm_qCw_13_10"/>
      <w:bookmarkStart w:id="371" w:name="Tc_kP9o6aAzBkSCEMPMHW7IaA_13_7"/>
      <w:bookmarkStart w:id="372" w:name="Tc_JxBM06VhRkCJZr3tcO-OaA_13_4"/>
      <w:bookmarkStart w:id="373" w:name="Tc_cCik4LDPMUK_foE1Af7aFw_13_0"/>
      <w:bookmarkStart w:id="374" w:name="Tc_fbqDMD56j0C_Ci_GtSe8Uw_12_8"/>
      <w:bookmarkStart w:id="375" w:name="Tc_JPiJuScS6E2SjiOOIa4A6g_12_5"/>
      <w:bookmarkStart w:id="376" w:name="Tc_bwzkkpLwAku_WTsAX-QVYQ_12_2"/>
      <w:bookmarkStart w:id="377" w:name="Tc_bF4tn9vD0ESv_31xrBL0IA_12_0"/>
      <w:bookmarkStart w:id="378" w:name="Tc_gwepgpYynk6pG70CbEXZow_11_11"/>
      <w:bookmarkStart w:id="379" w:name="Tc_DZw7ryZptkWBAIXvNev2NA_11_5"/>
      <w:bookmarkStart w:id="380" w:name="Tc_sfPL6cNtT0GKjXrB-2q7gw_11_0"/>
      <w:bookmarkStart w:id="381" w:name="Tc_0Rf5pno0eEOwo0VTviyJcw_10_11"/>
      <w:bookmarkStart w:id="382" w:name="Tc__WbJWhV_XEWy4ympzfduAQ_10_5"/>
      <w:bookmarkStart w:id="383" w:name="Tc_HqI_Uy6i4kSEyKLvQNXpQQ_10_0"/>
      <w:bookmarkStart w:id="384" w:name="Tc_yjOrXYfT80Cr_eTOhkrrGg_9_11"/>
      <w:bookmarkStart w:id="385" w:name="Tc_LrQQrYI91E-dXtgs0bo0Qg_9_5"/>
      <w:bookmarkStart w:id="386" w:name="Tc_oC2EhQ28b0u_nx0RUuDytg_9_2"/>
      <w:bookmarkStart w:id="387" w:name="Tc_piuEKAyTdEWCmxx1ezCzSQ_9_0"/>
      <w:bookmarkStart w:id="388" w:name="Tc_CmjOa_WMy0KmhQ1ehnNTeQ_8_14"/>
      <w:bookmarkStart w:id="389" w:name="Tc_s5Ov0TC3TEOmhv7TxLyhGg_8_11"/>
      <w:bookmarkStart w:id="390" w:name="Tc_7eA2DBDnqkKM7XeXJMvuaw_8_8"/>
      <w:bookmarkStart w:id="391" w:name="Tc_HbdwfxBGtkqhqjK3CyOf2w_8_5"/>
      <w:bookmarkStart w:id="392" w:name="Tc_xyvAzc5agEqN2xcIMvaBXQ_8_0"/>
      <w:bookmarkStart w:id="393" w:name="Tc_Xe6bVEN7EU-KHmVctWJ48Q_7_11"/>
      <w:bookmarkStart w:id="394" w:name="Tc_-HtlYobhG0q7tutR8LViUQ_7_5"/>
      <w:bookmarkStart w:id="395" w:name="Tc_f4Map67XY0GnLR2yVj5Ueg_7_2"/>
      <w:bookmarkStart w:id="396" w:name="Tc_bKwbQV6lyUyNrUnz1MpdlQ_7_0"/>
      <w:bookmarkStart w:id="397" w:name="Tc_zZIH3FzvRUS6KgiinpaT5g_6_11"/>
      <w:bookmarkStart w:id="398" w:name="Tc_B_unHAaf20yTnm3XXwssyw_6_5"/>
      <w:bookmarkStart w:id="399" w:name="Tc_lvMDrRRwGEyP0E4OpgPXBA_6_2"/>
      <w:bookmarkStart w:id="400" w:name="Tc_VLuSEtr-f0muG0vO_iygww_6_0"/>
      <w:bookmarkStart w:id="401" w:name="Tc_-jzxE-mOIEeL-H6Alf5tNg_5_11"/>
      <w:bookmarkStart w:id="402" w:name="Tc_2PHxkhgIJEaXVO39SBUE4g_5_5"/>
      <w:bookmarkStart w:id="403" w:name="Tc_di2yZVod2ke7LuQ1TakbsA_5_2"/>
      <w:bookmarkStart w:id="404" w:name="Tc_XKj7qvCepEuSiZw2tDKY5A_5_0"/>
      <w:bookmarkStart w:id="405" w:name="Tc_Mepqsxg7Fk2VZclsB3wjgg_4_13"/>
      <w:bookmarkStart w:id="406" w:name="Tc_hM3XmwSqkUizPeWi3yYhtw_4_10"/>
      <w:bookmarkStart w:id="407" w:name="Tc_0WHXQamecUG9xorXKE9uYA_4_7"/>
      <w:bookmarkStart w:id="408" w:name="Tc_exof0Q8Ozk-RzYDP1yeF-A_4_4"/>
      <w:bookmarkStart w:id="409" w:name="Tc_mSPqknubmE6c_0Ygj0XaFQ_4_0"/>
      <w:bookmarkStart w:id="410" w:name="Tc_xBVXCAiJn0yCuAVneFRYMQ_3_13"/>
      <w:bookmarkStart w:id="411" w:name="Tc_IaNtp5B3gUKVDz84ubl4eQ_3_10"/>
      <w:bookmarkStart w:id="412" w:name="Tc_YbzfDZDS0Eehwu4rVpPo-g_3_7"/>
      <w:bookmarkStart w:id="413" w:name="Tc_U38mAAeTi0GSM1fAWI5JUg_3_4"/>
      <w:bookmarkStart w:id="414" w:name="Tc_9_lHT9knAECckq9LQtWHIw_3_2"/>
      <w:bookmarkStart w:id="415" w:name="Tc_oM23RShTfUWcIqz1ywK0Fg_2_13"/>
      <w:bookmarkStart w:id="416" w:name="Tc_2F67BhMyrU2hgH0ZkWSP7w_2_10"/>
      <w:bookmarkStart w:id="417" w:name="Tc_9R7rd5VdKkCjlGY5P_gPQQ_2_7"/>
      <w:bookmarkStart w:id="418" w:name="Tc_F_rr3Q044UymA2XUoEEenQ_2_2"/>
      <w:bookmarkStart w:id="419" w:name="Tc_cxB2gDPWc06EmwVd8RvzmA_1_13"/>
      <w:bookmarkStart w:id="420" w:name="Tc_MCuXL6HNaUqbJCX4FptqLQ_1_7"/>
      <w:bookmarkStart w:id="421" w:name="_e3f1f7b4_80b5_4b0d_8dd5_2c0c106df20b"/>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p>
    <w:tbl>
      <w:tblPr>
        <w:tblW w:w="10205" w:type="dxa"/>
        <w:jc w:val="left"/>
        <w:tblInd w:w="0" w:type="dxa"/>
        <w:tblLayout w:type="fixed"/>
        <w:tblCellMar>
          <w:top w:w="0" w:type="dxa"/>
          <w:left w:w="0" w:type="dxa"/>
          <w:bottom w:w="0" w:type="dxa"/>
          <w:right w:w="0" w:type="dxa"/>
        </w:tblCellMar>
      </w:tblPr>
      <w:tblGrid>
        <w:gridCol w:w="3789"/>
        <w:gridCol w:w="326"/>
        <w:gridCol w:w="931"/>
        <w:gridCol w:w="326"/>
        <w:gridCol w:w="261"/>
        <w:gridCol w:w="430"/>
        <w:gridCol w:w="326"/>
        <w:gridCol w:w="211"/>
        <w:gridCol w:w="781"/>
        <w:gridCol w:w="326"/>
        <w:gridCol w:w="211"/>
        <w:gridCol w:w="860"/>
        <w:gridCol w:w="326"/>
        <w:gridCol w:w="232"/>
        <w:gridCol w:w="869"/>
      </w:tblGrid>
      <w:tr>
        <w:trPr/>
        <w:tc>
          <w:tcPr>
            <w:tcW w:w="378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2406015" cy="175260"/>
                      <wp:effectExtent l="0" t="0" r="0" b="0"/>
                      <wp:wrapNone/>
                      <wp:docPr id="43" name="Frame43"/>
                      <a:graphic xmlns:a="http://schemas.openxmlformats.org/drawingml/2006/main">
                        <a:graphicData uri="http://schemas.microsoft.com/office/word/2010/wordprocessingShape">
                          <wps:wsp>
                            <wps:cNvSpPr txBox="1"/>
                            <wps:spPr>
                              <a:xfrm>
                                <a:off x="0" y="0"/>
                                <a:ext cx="24060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9.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207010" cy="175260"/>
                      <wp:effectExtent l="0" t="0" r="0" b="0"/>
                      <wp:wrapNone/>
                      <wp:docPr id="44" name="Frame4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591185" cy="175260"/>
                      <wp:effectExtent l="0" t="0" r="0" b="0"/>
                      <wp:wrapNone/>
                      <wp:docPr id="45" name="Frame45"/>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207010" cy="175260"/>
                      <wp:effectExtent l="0" t="0" r="0" b="0"/>
                      <wp:wrapNone/>
                      <wp:docPr id="46" name="Frame4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165735" cy="175260"/>
                      <wp:effectExtent l="0" t="0" r="0" b="0"/>
                      <wp:wrapNone/>
                      <wp:docPr id="47" name="Frame47"/>
                      <a:graphic xmlns:a="http://schemas.openxmlformats.org/drawingml/2006/main">
                        <a:graphicData uri="http://schemas.microsoft.com/office/word/2010/wordprocessingShape">
                          <wps:wsp>
                            <wps:cNvSpPr txBox="1"/>
                            <wps:spPr>
                              <a:xfrm>
                                <a:off x="0" y="0"/>
                                <a:ext cx="1657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3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273050" cy="175260"/>
                      <wp:effectExtent l="0" t="0" r="0" b="0"/>
                      <wp:wrapNone/>
                      <wp:docPr id="48" name="Frame48"/>
                      <a:graphic xmlns:a="http://schemas.openxmlformats.org/drawingml/2006/main">
                        <a:graphicData uri="http://schemas.microsoft.com/office/word/2010/wordprocessingShape">
                          <wps:wsp>
                            <wps:cNvSpPr txBox="1"/>
                            <wps:spPr>
                              <a:xfrm>
                                <a:off x="0" y="0"/>
                                <a:ext cx="2730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207010" cy="175260"/>
                      <wp:effectExtent l="0" t="0" r="0" b="0"/>
                      <wp:wrapNone/>
                      <wp:docPr id="49" name="Frame4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133985" cy="175260"/>
                      <wp:effectExtent l="0" t="0" r="0" b="0"/>
                      <wp:wrapNone/>
                      <wp:docPr id="50" name="Frame5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495935" cy="175260"/>
                      <wp:effectExtent l="0" t="0" r="0" b="0"/>
                      <wp:wrapNone/>
                      <wp:docPr id="51" name="Frame51"/>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207010" cy="175260"/>
                      <wp:effectExtent l="0" t="0" r="0" b="0"/>
                      <wp:wrapNone/>
                      <wp:docPr id="52" name="Frame5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133985" cy="175260"/>
                      <wp:effectExtent l="0" t="0" r="0" b="0"/>
                      <wp:wrapNone/>
                      <wp:docPr id="53" name="Frame5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6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546100" cy="175260"/>
                      <wp:effectExtent l="0" t="0" r="0" b="0"/>
                      <wp:wrapNone/>
                      <wp:docPr id="54" name="Frame54"/>
                      <a:graphic xmlns:a="http://schemas.openxmlformats.org/drawingml/2006/main">
                        <a:graphicData uri="http://schemas.microsoft.com/office/word/2010/wordprocessingShape">
                          <wps:wsp>
                            <wps:cNvSpPr txBox="1"/>
                            <wps:spPr>
                              <a:xfrm>
                                <a:off x="0" y="0"/>
                                <a:ext cx="5461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207010" cy="175260"/>
                      <wp:effectExtent l="0" t="0" r="0" b="0"/>
                      <wp:wrapNone/>
                      <wp:docPr id="55" name="Frame5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3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147320" cy="175260"/>
                      <wp:effectExtent l="0" t="0" r="0" b="0"/>
                      <wp:wrapNone/>
                      <wp:docPr id="56" name="Frame56"/>
                      <a:graphic xmlns:a="http://schemas.openxmlformats.org/drawingml/2006/main">
                        <a:graphicData uri="http://schemas.microsoft.com/office/word/2010/wordprocessingShape">
                          <wps:wsp>
                            <wps:cNvSpPr txBox="1"/>
                            <wps:spPr>
                              <a:xfrm>
                                <a:off x="0" y="0"/>
                                <a:ext cx="1473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6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551815" cy="175260"/>
                      <wp:effectExtent l="0" t="0" r="0" b="0"/>
                      <wp:wrapNone/>
                      <wp:docPr id="57" name="Frame57"/>
                      <a:graphic xmlns:a="http://schemas.openxmlformats.org/drawingml/2006/main">
                        <a:graphicData uri="http://schemas.microsoft.com/office/word/2010/wordprocessingShape">
                          <wps:wsp>
                            <wps:cNvSpPr txBox="1"/>
                            <wps:spPr>
                              <a:xfrm>
                                <a:off x="0" y="0"/>
                                <a:ext cx="5518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789"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93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261" w:type="dxa"/>
            <w:tcBorders/>
            <w:vAlign w:val="center"/>
          </w:tcPr>
          <w:p>
            <w:pPr>
              <w:pStyle w:val="TableContents"/>
              <w:bidi w:val="0"/>
              <w:spacing w:before="0" w:after="0"/>
              <w:ind w:left="0" w:right="0" w:hanging="0"/>
              <w:jc w:val="left"/>
              <w:rPr/>
            </w:pPr>
            <w:r>
              <w:rPr/>
              <w:t>​</w:t>
            </w:r>
          </w:p>
        </w:tc>
        <w:tc>
          <w:tcPr>
            <w:tcW w:w="430"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99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Additional </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60"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110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3789"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1948"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Common Stock</w:t>
            </w:r>
          </w:p>
        </w:tc>
        <w:tc>
          <w:tcPr>
            <w:tcW w:w="326" w:type="dxa"/>
            <w:tcBorders/>
            <w:vAlign w:val="center"/>
          </w:tcPr>
          <w:p>
            <w:pPr>
              <w:pStyle w:val="TableContents"/>
              <w:bidi w:val="0"/>
              <w:spacing w:before="0" w:after="0"/>
              <w:ind w:left="0" w:right="0" w:hanging="0"/>
              <w:jc w:val="center"/>
              <w:rPr/>
            </w:pPr>
            <w:r>
              <w:rPr/>
              <w:t>    </w:t>
            </w:r>
          </w:p>
        </w:tc>
        <w:tc>
          <w:tcPr>
            <w:tcW w:w="99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Paid-in</w:t>
            </w:r>
          </w:p>
        </w:tc>
        <w:tc>
          <w:tcPr>
            <w:tcW w:w="326" w:type="dxa"/>
            <w:tcBorders/>
            <w:vAlign w:val="center"/>
          </w:tcPr>
          <w:p>
            <w:pPr>
              <w:pStyle w:val="TableContents"/>
              <w:bidi w:val="0"/>
              <w:spacing w:before="0" w:after="0"/>
              <w:ind w:left="0" w:right="0" w:hanging="0"/>
              <w:jc w:val="center"/>
              <w:rPr/>
            </w:pPr>
            <w:r>
              <w:rPr/>
              <w:t>    </w:t>
            </w:r>
          </w:p>
        </w:tc>
        <w:tc>
          <w:tcPr>
            <w:tcW w:w="107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Accumulated</w:t>
            </w:r>
          </w:p>
        </w:tc>
        <w:tc>
          <w:tcPr>
            <w:tcW w:w="326" w:type="dxa"/>
            <w:tcBorders/>
            <w:vAlign w:val="center"/>
          </w:tcPr>
          <w:p>
            <w:pPr>
              <w:pStyle w:val="TableContents"/>
              <w:bidi w:val="0"/>
              <w:spacing w:before="0" w:after="0"/>
              <w:ind w:left="0" w:right="0" w:hanging="0"/>
              <w:jc w:val="left"/>
              <w:rPr/>
            </w:pPr>
            <w:r>
              <w:rPr/>
              <w:t>    </w:t>
            </w:r>
          </w:p>
        </w:tc>
        <w:tc>
          <w:tcPr>
            <w:tcW w:w="110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Stockholders’</w:t>
            </w:r>
          </w:p>
        </w:tc>
      </w:tr>
      <w:tr>
        <w:trPr/>
        <w:tc>
          <w:tcPr>
            <w:tcW w:w="3789"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Shares</w:t>
            </w:r>
          </w:p>
        </w:tc>
        <w:tc>
          <w:tcPr>
            <w:tcW w:w="326" w:type="dxa"/>
            <w:tcBorders/>
            <w:vAlign w:val="center"/>
          </w:tcPr>
          <w:p>
            <w:pPr>
              <w:pStyle w:val="TableContents"/>
              <w:bidi w:val="0"/>
              <w:spacing w:before="0" w:after="0"/>
              <w:ind w:left="0" w:right="0" w:hanging="0"/>
              <w:jc w:val="center"/>
              <w:rPr/>
            </w:pPr>
            <w:r>
              <w:rPr/>
              <w:t>    </w:t>
            </w:r>
          </w:p>
        </w:tc>
        <w:tc>
          <w:tcPr>
            <w:tcW w:w="69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Amount</w:t>
            </w:r>
          </w:p>
        </w:tc>
        <w:tc>
          <w:tcPr>
            <w:tcW w:w="326" w:type="dxa"/>
            <w:tcBorders/>
            <w:vAlign w:val="center"/>
          </w:tcPr>
          <w:p>
            <w:pPr>
              <w:pStyle w:val="TableContents"/>
              <w:bidi w:val="0"/>
              <w:spacing w:before="0" w:after="0"/>
              <w:ind w:left="0" w:right="0" w:hanging="0"/>
              <w:jc w:val="left"/>
              <w:rPr/>
            </w:pPr>
            <w:r>
              <w:rPr/>
              <w:t>​</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Capital</w:t>
            </w:r>
          </w:p>
        </w:tc>
        <w:tc>
          <w:tcPr>
            <w:tcW w:w="326" w:type="dxa"/>
            <w:tcBorders/>
            <w:vAlign w:val="center"/>
          </w:tcPr>
          <w:p>
            <w:pPr>
              <w:pStyle w:val="TableContents"/>
              <w:bidi w:val="0"/>
              <w:spacing w:before="0" w:after="0"/>
              <w:ind w:left="0" w:right="0" w:hanging="0"/>
              <w:jc w:val="left"/>
              <w:rPr/>
            </w:pPr>
            <w:r>
              <w:rPr/>
              <w:t>​</w:t>
            </w:r>
          </w:p>
        </w:tc>
        <w:tc>
          <w:tcPr>
            <w:tcW w:w="107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Deficit</w:t>
            </w:r>
          </w:p>
        </w:tc>
        <w:tc>
          <w:tcPr>
            <w:tcW w:w="326" w:type="dxa"/>
            <w:tcBorders/>
            <w:vAlign w:val="center"/>
          </w:tcPr>
          <w:p>
            <w:pPr>
              <w:pStyle w:val="TableContents"/>
              <w:bidi w:val="0"/>
              <w:spacing w:before="0" w:after="0"/>
              <w:ind w:left="0" w:right="0" w:hanging="0"/>
              <w:jc w:val="left"/>
              <w:rPr/>
            </w:pPr>
            <w:r>
              <w:rPr/>
              <w:t>​</w:t>
            </w:r>
          </w:p>
        </w:tc>
        <w:tc>
          <w:tcPr>
            <w:tcW w:w="110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Equity</w:t>
            </w:r>
          </w:p>
        </w:tc>
      </w:tr>
      <w:tr>
        <w:trPr/>
        <w:tc>
          <w:tcPr>
            <w:tcW w:w="3789"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Balance as of January 1, 2023</w:t>
            </w:r>
          </w:p>
        </w:tc>
        <w:tc>
          <w:tcPr>
            <w:tcW w:w="326" w:type="dxa"/>
            <w:tcBorders/>
            <w:shd w:fill="CCEEFF" w:val="clear"/>
            <w:vAlign w:val="center"/>
          </w:tcPr>
          <w:p>
            <w:pPr>
              <w:pStyle w:val="TableContents"/>
              <w:bidi w:val="0"/>
              <w:spacing w:before="0" w:after="0"/>
              <w:ind w:left="0" w:right="0" w:hanging="0"/>
              <w:jc w:val="center"/>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3,947,267</w:t>
            </w:r>
          </w:p>
        </w:tc>
        <w:tc>
          <w:tcPr>
            <w:tcW w:w="326" w:type="dxa"/>
            <w:tcBorders/>
            <w:shd w:fill="CCEEFF" w:val="clear"/>
            <w:vAlign w:val="center"/>
          </w:tcPr>
          <w:p>
            <w:pPr>
              <w:pStyle w:val="TableContents"/>
              <w:bidi w:val="0"/>
              <w:spacing w:before="0" w:after="0"/>
              <w:ind w:left="0" w:right="0" w:hanging="0"/>
              <w:jc w:val="center"/>
              <w:rPr/>
            </w:pPr>
            <w:r>
              <w:rPr/>
              <w:t>​</w:t>
            </w:r>
          </w:p>
        </w:tc>
        <w:tc>
          <w:tcPr>
            <w:tcW w:w="2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3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w:t>
            </w:r>
          </w:p>
        </w:tc>
        <w:tc>
          <w:tcPr>
            <w:tcW w:w="326" w:type="dxa"/>
            <w:tcBorders/>
            <w:shd w:fill="CCEEFF" w:val="clear"/>
            <w:vAlign w:val="center"/>
          </w:tcPr>
          <w:p>
            <w:pPr>
              <w:pStyle w:val="TableContents"/>
              <w:bidi w:val="0"/>
              <w:spacing w:before="0" w:after="0"/>
              <w:ind w:left="0" w:right="0" w:hanging="0"/>
              <w:jc w:val="center"/>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387,320</w:t>
            </w:r>
          </w:p>
        </w:tc>
        <w:tc>
          <w:tcPr>
            <w:tcW w:w="326" w:type="dxa"/>
            <w:tcBorders/>
            <w:shd w:fill="CCEEFF" w:val="clear"/>
            <w:vAlign w:val="center"/>
          </w:tcPr>
          <w:p>
            <w:pPr>
              <w:pStyle w:val="TableContents"/>
              <w:bidi w:val="0"/>
              <w:spacing w:before="0" w:after="0"/>
              <w:ind w:left="0" w:right="0" w:hanging="0"/>
              <w:jc w:val="center"/>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6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(362,675)</w:t>
            </w:r>
          </w:p>
        </w:tc>
        <w:tc>
          <w:tcPr>
            <w:tcW w:w="326" w:type="dxa"/>
            <w:tcBorders/>
            <w:shd w:fill="CCEEFF" w:val="clear"/>
            <w:vAlign w:val="center"/>
          </w:tcPr>
          <w:p>
            <w:pPr>
              <w:pStyle w:val="TableContents"/>
              <w:bidi w:val="0"/>
              <w:spacing w:before="0" w:after="0"/>
              <w:ind w:left="0" w:right="0" w:hanging="0"/>
              <w:jc w:val="center"/>
              <w:rPr/>
            </w:pPr>
            <w:r>
              <w:rPr/>
              <w:t>​</w:t>
            </w:r>
          </w:p>
        </w:tc>
        <w:tc>
          <w:tcPr>
            <w:tcW w:w="23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6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24,646</w:t>
            </w:r>
          </w:p>
        </w:tc>
      </w:tr>
      <w:tr>
        <w:trPr/>
        <w:tc>
          <w:tcPr>
            <w:tcW w:w="3789"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Stock-based compensation - options</w:t>
            </w:r>
          </w:p>
        </w:tc>
        <w:tc>
          <w:tcPr>
            <w:tcW w:w="32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261" w:type="dxa"/>
            <w:tcBorders/>
            <w:vAlign w:val="center"/>
          </w:tcPr>
          <w:p>
            <w:pPr>
              <w:pStyle w:val="TableContents"/>
              <w:bidi w:val="0"/>
              <w:spacing w:before="0" w:after="0"/>
              <w:ind w:left="0" w:right="0" w:hanging="0"/>
              <w:jc w:val="left"/>
              <w:rPr/>
            </w:pPr>
            <w:r>
              <w:rPr/>
              <w:t>​</w:t>
            </w:r>
          </w:p>
        </w:tc>
        <w:tc>
          <w:tcPr>
            <w:tcW w:w="430"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w:t>
            </w:r>
          </w:p>
        </w:tc>
        <w:tc>
          <w:tcPr>
            <w:tcW w:w="32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860"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232" w:type="dxa"/>
            <w:tcBorders/>
            <w:vAlign w:val="center"/>
          </w:tcPr>
          <w:p>
            <w:pPr>
              <w:pStyle w:val="TableContents"/>
              <w:bidi w:val="0"/>
              <w:spacing w:before="0" w:after="0"/>
              <w:ind w:left="0" w:right="0" w:hanging="0"/>
              <w:jc w:val="left"/>
              <w:rPr/>
            </w:pPr>
            <w:r>
              <w:rPr/>
              <w:t>​</w:t>
            </w:r>
          </w:p>
        </w:tc>
        <w:tc>
          <w:tcPr>
            <w:tcW w:w="86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w:t>
            </w:r>
          </w:p>
        </w:tc>
      </w:tr>
      <w:tr>
        <w:trPr/>
        <w:tc>
          <w:tcPr>
            <w:tcW w:w="3789"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Stock-based compensation - RSUs</w:t>
            </w:r>
          </w:p>
        </w:tc>
        <w:tc>
          <w:tcPr>
            <w:tcW w:w="326"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261" w:type="dxa"/>
            <w:tcBorders/>
            <w:shd w:fill="CCEEFF" w:val="clear"/>
            <w:vAlign w:val="center"/>
          </w:tcPr>
          <w:p>
            <w:pPr>
              <w:pStyle w:val="TableContents"/>
              <w:bidi w:val="0"/>
              <w:spacing w:before="0" w:after="0"/>
              <w:ind w:left="0" w:right="0" w:hanging="0"/>
              <w:jc w:val="left"/>
              <w:rPr/>
            </w:pPr>
            <w:r>
              <w:rPr/>
              <w:t>​</w:t>
            </w:r>
          </w:p>
        </w:tc>
        <w:tc>
          <w:tcPr>
            <w:tcW w:w="430"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476</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860"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232" w:type="dxa"/>
            <w:tcBorders/>
            <w:shd w:fill="CCEEFF" w:val="clear"/>
            <w:vAlign w:val="center"/>
          </w:tcPr>
          <w:p>
            <w:pPr>
              <w:pStyle w:val="TableContents"/>
              <w:bidi w:val="0"/>
              <w:spacing w:before="0" w:after="0"/>
              <w:ind w:left="0" w:right="0" w:hanging="0"/>
              <w:jc w:val="left"/>
              <w:rPr/>
            </w:pPr>
            <w:r>
              <w:rPr/>
              <w:t>​</w:t>
            </w:r>
          </w:p>
        </w:tc>
        <w:tc>
          <w:tcPr>
            <w:tcW w:w="86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476</w:t>
            </w:r>
          </w:p>
        </w:tc>
      </w:tr>
      <w:tr>
        <w:trPr/>
        <w:tc>
          <w:tcPr>
            <w:tcW w:w="3789"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Stock-based compensation - ESPP</w:t>
            </w:r>
          </w:p>
        </w:tc>
        <w:tc>
          <w:tcPr>
            <w:tcW w:w="32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261" w:type="dxa"/>
            <w:tcBorders/>
            <w:vAlign w:val="center"/>
          </w:tcPr>
          <w:p>
            <w:pPr>
              <w:pStyle w:val="TableContents"/>
              <w:bidi w:val="0"/>
              <w:spacing w:before="0" w:after="0"/>
              <w:ind w:left="0" w:right="0" w:hanging="0"/>
              <w:jc w:val="left"/>
              <w:rPr/>
            </w:pPr>
            <w:r>
              <w:rPr/>
              <w:t>​</w:t>
            </w:r>
          </w:p>
        </w:tc>
        <w:tc>
          <w:tcPr>
            <w:tcW w:w="430"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w:t>
            </w:r>
          </w:p>
        </w:tc>
        <w:tc>
          <w:tcPr>
            <w:tcW w:w="32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860"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232" w:type="dxa"/>
            <w:tcBorders/>
            <w:vAlign w:val="center"/>
          </w:tcPr>
          <w:p>
            <w:pPr>
              <w:pStyle w:val="TableContents"/>
              <w:bidi w:val="0"/>
              <w:spacing w:before="0" w:after="0"/>
              <w:ind w:left="0" w:right="0" w:hanging="0"/>
              <w:jc w:val="left"/>
              <w:rPr/>
            </w:pPr>
            <w:r>
              <w:rPr/>
              <w:t>​</w:t>
            </w:r>
          </w:p>
        </w:tc>
        <w:tc>
          <w:tcPr>
            <w:tcW w:w="86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w:t>
            </w:r>
          </w:p>
        </w:tc>
      </w:tr>
      <w:tr>
        <w:trPr/>
        <w:tc>
          <w:tcPr>
            <w:tcW w:w="3789"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Issuance of shares for RSUs</w:t>
            </w:r>
          </w:p>
        </w:tc>
        <w:tc>
          <w:tcPr>
            <w:tcW w:w="326"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9,347</w:t>
            </w:r>
          </w:p>
        </w:tc>
        <w:tc>
          <w:tcPr>
            <w:tcW w:w="326" w:type="dxa"/>
            <w:tcBorders/>
            <w:shd w:fill="CCEEFF" w:val="clear"/>
            <w:vAlign w:val="center"/>
          </w:tcPr>
          <w:p>
            <w:pPr>
              <w:pStyle w:val="TableContents"/>
              <w:bidi w:val="0"/>
              <w:spacing w:before="0" w:after="0"/>
              <w:ind w:left="0" w:right="0" w:hanging="0"/>
              <w:jc w:val="left"/>
              <w:rPr/>
            </w:pPr>
            <w:r>
              <w:rPr/>
              <w:t> </w:t>
            </w:r>
          </w:p>
        </w:tc>
        <w:tc>
          <w:tcPr>
            <w:tcW w:w="261" w:type="dxa"/>
            <w:tcBorders/>
            <w:shd w:fill="CCEEFF" w:val="clear"/>
            <w:vAlign w:val="center"/>
          </w:tcPr>
          <w:p>
            <w:pPr>
              <w:pStyle w:val="TableContents"/>
              <w:bidi w:val="0"/>
              <w:spacing w:before="0" w:after="0"/>
              <w:ind w:left="0" w:right="0" w:hanging="0"/>
              <w:jc w:val="left"/>
              <w:rPr/>
            </w:pPr>
            <w:r>
              <w:rPr/>
              <w:t>​</w:t>
            </w:r>
          </w:p>
        </w:tc>
        <w:tc>
          <w:tcPr>
            <w:tcW w:w="430"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860"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232" w:type="dxa"/>
            <w:tcBorders/>
            <w:shd w:fill="CCEEFF" w:val="clear"/>
            <w:vAlign w:val="center"/>
          </w:tcPr>
          <w:p>
            <w:pPr>
              <w:pStyle w:val="TableContents"/>
              <w:bidi w:val="0"/>
              <w:spacing w:before="0" w:after="0"/>
              <w:ind w:left="0" w:right="0" w:hanging="0"/>
              <w:jc w:val="left"/>
              <w:rPr/>
            </w:pPr>
            <w:r>
              <w:rPr/>
              <w:t>​</w:t>
            </w:r>
          </w:p>
        </w:tc>
        <w:tc>
          <w:tcPr>
            <w:tcW w:w="869" w:type="dxa"/>
            <w:tcBorders/>
            <w:shd w:fill="CCEEFF" w:val="clear"/>
            <w:vAlign w:val="center"/>
          </w:tcPr>
          <w:p>
            <w:pPr>
              <w:pStyle w:val="TableContents"/>
              <w:bidi w:val="0"/>
              <w:spacing w:before="0" w:after="0"/>
              <w:ind w:left="0" w:right="0" w:hanging="0"/>
              <w:jc w:val="right"/>
              <w:rPr/>
            </w:pPr>
            <w:r>
              <w:rPr/>
              <w:t>—</w:t>
            </w:r>
          </w:p>
        </w:tc>
      </w:tr>
      <w:tr>
        <w:trPr/>
        <w:tc>
          <w:tcPr>
            <w:tcW w:w="3789"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Proceeds from contributions to the ESPP</w:t>
            </w:r>
          </w:p>
        </w:tc>
        <w:tc>
          <w:tcPr>
            <w:tcW w:w="32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261" w:type="dxa"/>
            <w:tcBorders/>
            <w:vAlign w:val="center"/>
          </w:tcPr>
          <w:p>
            <w:pPr>
              <w:pStyle w:val="TableContents"/>
              <w:bidi w:val="0"/>
              <w:spacing w:before="0" w:after="0"/>
              <w:ind w:left="0" w:right="0" w:hanging="0"/>
              <w:jc w:val="left"/>
              <w:rPr/>
            </w:pPr>
            <w:r>
              <w:rPr/>
              <w:t>​</w:t>
            </w:r>
          </w:p>
        </w:tc>
        <w:tc>
          <w:tcPr>
            <w:tcW w:w="430"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65</w:t>
            </w:r>
          </w:p>
        </w:tc>
        <w:tc>
          <w:tcPr>
            <w:tcW w:w="32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860"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232" w:type="dxa"/>
            <w:tcBorders/>
            <w:vAlign w:val="center"/>
          </w:tcPr>
          <w:p>
            <w:pPr>
              <w:pStyle w:val="TableContents"/>
              <w:bidi w:val="0"/>
              <w:spacing w:before="0" w:after="0"/>
              <w:ind w:left="0" w:right="0" w:hanging="0"/>
              <w:jc w:val="left"/>
              <w:rPr/>
            </w:pPr>
            <w:r>
              <w:rPr/>
              <w:t>​</w:t>
            </w:r>
          </w:p>
        </w:tc>
        <w:tc>
          <w:tcPr>
            <w:tcW w:w="86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65</w:t>
            </w:r>
          </w:p>
        </w:tc>
      </w:tr>
      <w:tr>
        <w:trPr/>
        <w:tc>
          <w:tcPr>
            <w:tcW w:w="3789"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Issuance of shares in an ATM placement, net of $69 in issuance costs</w:t>
            </w:r>
          </w:p>
        </w:tc>
        <w:tc>
          <w:tcPr>
            <w:tcW w:w="326"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182,511</w:t>
            </w:r>
          </w:p>
        </w:tc>
        <w:tc>
          <w:tcPr>
            <w:tcW w:w="326" w:type="dxa"/>
            <w:tcBorders/>
            <w:shd w:fill="CCEEFF" w:val="clear"/>
            <w:vAlign w:val="center"/>
          </w:tcPr>
          <w:p>
            <w:pPr>
              <w:pStyle w:val="TableContents"/>
              <w:bidi w:val="0"/>
              <w:spacing w:before="0" w:after="0"/>
              <w:ind w:left="0" w:right="0" w:hanging="0"/>
              <w:jc w:val="left"/>
              <w:rPr/>
            </w:pPr>
            <w:r>
              <w:rPr/>
              <w:t> </w:t>
            </w:r>
          </w:p>
        </w:tc>
        <w:tc>
          <w:tcPr>
            <w:tcW w:w="261" w:type="dxa"/>
            <w:tcBorders/>
            <w:shd w:fill="CCEEFF" w:val="clear"/>
            <w:vAlign w:val="center"/>
          </w:tcPr>
          <w:p>
            <w:pPr>
              <w:pStyle w:val="TableContents"/>
              <w:bidi w:val="0"/>
              <w:spacing w:before="0" w:after="0"/>
              <w:ind w:left="0" w:right="0" w:hanging="0"/>
              <w:jc w:val="left"/>
              <w:rPr/>
            </w:pPr>
            <w:r>
              <w:rPr/>
              <w:t>​</w:t>
            </w:r>
          </w:p>
        </w:tc>
        <w:tc>
          <w:tcPr>
            <w:tcW w:w="430"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2,675</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860"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232" w:type="dxa"/>
            <w:tcBorders/>
            <w:shd w:fill="CCEEFF" w:val="clear"/>
            <w:vAlign w:val="center"/>
          </w:tcPr>
          <w:p>
            <w:pPr>
              <w:pStyle w:val="TableContents"/>
              <w:bidi w:val="0"/>
              <w:spacing w:before="0" w:after="0"/>
              <w:ind w:left="0" w:right="0" w:hanging="0"/>
              <w:jc w:val="left"/>
              <w:rPr/>
            </w:pPr>
            <w:r>
              <w:rPr/>
              <w:t>​</w:t>
            </w:r>
          </w:p>
        </w:tc>
        <w:tc>
          <w:tcPr>
            <w:tcW w:w="86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2,675</w:t>
            </w:r>
          </w:p>
        </w:tc>
      </w:tr>
      <w:tr>
        <w:trPr/>
        <w:tc>
          <w:tcPr>
            <w:tcW w:w="3789"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Issuance of shares in a sale of common stock, net of $3,166 in issuance costs and fair value of liability warrant</w:t>
            </w:r>
          </w:p>
        </w:tc>
        <w:tc>
          <w:tcPr>
            <w:tcW w:w="32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412,500</w:t>
            </w:r>
          </w:p>
        </w:tc>
        <w:tc>
          <w:tcPr>
            <w:tcW w:w="326" w:type="dxa"/>
            <w:tcBorders/>
            <w:vAlign w:val="center"/>
          </w:tcPr>
          <w:p>
            <w:pPr>
              <w:pStyle w:val="TableContents"/>
              <w:bidi w:val="0"/>
              <w:spacing w:before="0" w:after="0"/>
              <w:ind w:left="0" w:right="0" w:hanging="0"/>
              <w:jc w:val="left"/>
              <w:rPr/>
            </w:pPr>
            <w:r>
              <w:rPr/>
              <w:t> </w:t>
            </w:r>
          </w:p>
        </w:tc>
        <w:tc>
          <w:tcPr>
            <w:tcW w:w="261" w:type="dxa"/>
            <w:tcBorders/>
            <w:vAlign w:val="center"/>
          </w:tcPr>
          <w:p>
            <w:pPr>
              <w:pStyle w:val="TableContents"/>
              <w:bidi w:val="0"/>
              <w:spacing w:before="0" w:after="0"/>
              <w:ind w:left="0" w:right="0" w:hanging="0"/>
              <w:jc w:val="left"/>
              <w:rPr/>
            </w:pPr>
            <w:r>
              <w:rPr/>
              <w:t>​</w:t>
            </w:r>
          </w:p>
        </w:tc>
        <w:tc>
          <w:tcPr>
            <w:tcW w:w="430"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134</w:t>
            </w:r>
          </w:p>
        </w:tc>
        <w:tc>
          <w:tcPr>
            <w:tcW w:w="32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860"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232" w:type="dxa"/>
            <w:tcBorders/>
            <w:vAlign w:val="center"/>
          </w:tcPr>
          <w:p>
            <w:pPr>
              <w:pStyle w:val="TableContents"/>
              <w:bidi w:val="0"/>
              <w:spacing w:before="0" w:after="0"/>
              <w:ind w:left="0" w:right="0" w:hanging="0"/>
              <w:jc w:val="left"/>
              <w:rPr/>
            </w:pPr>
            <w:r>
              <w:rPr/>
              <w:t>​</w:t>
            </w:r>
          </w:p>
        </w:tc>
        <w:tc>
          <w:tcPr>
            <w:tcW w:w="86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134</w:t>
            </w:r>
          </w:p>
        </w:tc>
      </w:tr>
      <w:tr>
        <w:trPr/>
        <w:tc>
          <w:tcPr>
            <w:tcW w:w="3789"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loss</w:t>
            </w:r>
          </w:p>
        </w:tc>
        <w:tc>
          <w:tcPr>
            <w:tcW w:w="326" w:type="dxa"/>
            <w:tcBorders/>
            <w:shd w:fill="CCEEFF" w:val="clear"/>
            <w:vAlign w:val="center"/>
          </w:tcPr>
          <w:p>
            <w:pPr>
              <w:pStyle w:val="TableContents"/>
              <w:bidi w:val="0"/>
              <w:spacing w:before="0" w:after="0"/>
              <w:ind w:left="0" w:right="0" w:hanging="0"/>
              <w:jc w:val="left"/>
              <w:rPr/>
            </w:pPr>
            <w:r>
              <w:rPr/>
              <w:t> </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26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43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6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(6,653)</w:t>
            </w:r>
          </w:p>
        </w:tc>
        <w:tc>
          <w:tcPr>
            <w:tcW w:w="326" w:type="dxa"/>
            <w:tcBorders/>
            <w:shd w:fill="CCEEFF" w:val="clear"/>
            <w:vAlign w:val="center"/>
          </w:tcPr>
          <w:p>
            <w:pPr>
              <w:pStyle w:val="TableContents"/>
              <w:bidi w:val="0"/>
              <w:spacing w:before="0" w:after="0"/>
              <w:ind w:left="0" w:right="0" w:hanging="0"/>
              <w:jc w:val="left"/>
              <w:rPr/>
            </w:pPr>
            <w:r>
              <w:rPr/>
              <w:t> </w:t>
            </w:r>
          </w:p>
        </w:tc>
        <w:tc>
          <w:tcPr>
            <w:tcW w:w="23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6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(6,653)</w:t>
            </w:r>
          </w:p>
        </w:tc>
      </w:tr>
      <w:tr>
        <w:trPr/>
        <w:tc>
          <w:tcPr>
            <w:tcW w:w="3789"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Balance as of March 31, 2023</w:t>
            </w:r>
          </w:p>
        </w:tc>
        <w:tc>
          <w:tcPr>
            <w:tcW w:w="326" w:type="dxa"/>
            <w:tcBorders/>
            <w:vAlign w:val="center"/>
          </w:tcPr>
          <w:p>
            <w:pPr>
              <w:pStyle w:val="TableContents"/>
              <w:bidi w:val="0"/>
              <w:spacing w:before="0" w:after="0"/>
              <w:ind w:left="0" w:right="0" w:hanging="0"/>
              <w:jc w:val="left"/>
              <w:rPr/>
            </w:pPr>
            <w:r>
              <w:rPr/>
              <w:t> </w:t>
            </w:r>
          </w:p>
        </w:tc>
        <w:tc>
          <w:tcPr>
            <w:tcW w:w="93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4,551,625</w:t>
            </w:r>
          </w:p>
        </w:tc>
        <w:tc>
          <w:tcPr>
            <w:tcW w:w="326" w:type="dxa"/>
            <w:tcBorders/>
            <w:vAlign w:val="center"/>
          </w:tcPr>
          <w:p>
            <w:pPr>
              <w:pStyle w:val="TableContents"/>
              <w:bidi w:val="0"/>
              <w:spacing w:before="0" w:after="0"/>
              <w:ind w:left="0" w:right="0" w:hanging="0"/>
              <w:jc w:val="left"/>
              <w:rPr/>
            </w:pPr>
            <w:r>
              <w:rPr/>
              <w:t>​</w:t>
            </w:r>
          </w:p>
        </w:tc>
        <w:tc>
          <w:tcPr>
            <w:tcW w:w="26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30"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390,716</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60"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(369,328)</w:t>
            </w:r>
          </w:p>
        </w:tc>
        <w:tc>
          <w:tcPr>
            <w:tcW w:w="326" w:type="dxa"/>
            <w:tcBorders/>
            <w:vAlign w:val="center"/>
          </w:tcPr>
          <w:p>
            <w:pPr>
              <w:pStyle w:val="TableContents"/>
              <w:bidi w:val="0"/>
              <w:spacing w:before="0" w:after="0"/>
              <w:ind w:left="0" w:right="0" w:hanging="0"/>
              <w:jc w:val="left"/>
              <w:rPr/>
            </w:pPr>
            <w:r>
              <w:rPr/>
              <w:t>​</w:t>
            </w:r>
          </w:p>
        </w:tc>
        <w:tc>
          <w:tcPr>
            <w:tcW w:w="232"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69"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21,389</w:t>
            </w:r>
          </w:p>
        </w:tc>
      </w:tr>
    </w:tbl>
    <w:p>
      <w:pPr>
        <w:pStyle w:val="TextBody"/>
        <w:bidi w:val="0"/>
        <w:spacing w:before="0" w:after="0"/>
        <w:ind w:left="0" w:right="0" w:hanging="0"/>
        <w:jc w:val="center"/>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Note: Share and per share amounts have been retroactively adjusted to reflect the impact of a 1-for-20 reverse stock split effected in August 2023, as discussed in Note 1.</w:t>
      </w:r>
    </w:p>
    <w:p>
      <w:pPr>
        <w:pStyle w:val="TextBody"/>
        <w:bidi w:val="0"/>
        <w:spacing w:before="0" w:after="0"/>
        <w:ind w:left="0" w:right="0" w:hanging="0"/>
        <w:jc w:val="center"/>
        <w:rPr/>
      </w:pPr>
      <w:r>
        <w:rPr/>
        <w:t>​</w:t>
      </w:r>
    </w:p>
    <w:p>
      <w:pPr>
        <w:pStyle w:val="TextBody"/>
        <w:bidi w:val="0"/>
        <w:spacing w:before="0" w:after="240"/>
        <w:ind w:left="0" w:right="0" w:hanging="0"/>
        <w:jc w:val="center"/>
        <w:rPr>
          <w:rFonts w:ascii="Times New Roman;Times;serif" w:hAnsi="Times New Roman;Times;serif"/>
          <w:sz w:val="20"/>
        </w:rPr>
      </w:pPr>
      <w:r>
        <w:rPr>
          <w:rFonts w:ascii="Times New Roman;Times;serif" w:hAnsi="Times New Roman;Times;serif"/>
          <w:sz w:val="20"/>
        </w:rPr>
        <w:t>The accompanying notes are an integral part of these condensed financial statements.</w:t>
      </w:r>
    </w:p>
    <w:p>
      <w:pPr>
        <w:pStyle w:val="TextBody"/>
        <w:bidi w:val="0"/>
        <w:spacing w:before="0" w:after="0"/>
        <w:ind w:left="0" w:right="0" w:hanging="0"/>
        <w:jc w:val="left"/>
        <w:rPr/>
      </w:pPr>
      <w:r>
        <w:rPr/>
        <w:t>​</w:t>
      </w:r>
    </w:p>
    <w:p>
      <w:pPr>
        <w:pStyle w:val="TextBody"/>
        <w:bidi w:val="0"/>
        <w:spacing w:before="480" w:after="0"/>
        <w:ind w:left="0" w:right="0" w:hanging="0"/>
        <w:jc w:val="right"/>
        <w:rPr>
          <w:rFonts w:ascii="Times New Roman;Times;serif" w:hAnsi="Times New Roman;Times;serif"/>
          <w:sz w:val="20"/>
        </w:rPr>
      </w:pPr>
      <w:r>
        <w:rPr>
          <w:rFonts w:ascii="Times New Roman;Times;serif" w:hAnsi="Times New Roman;Times;serif"/>
          <w:sz w:val="20"/>
        </w:rPr>
        <w:t>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bookmarkStart w:id="422" w:name="_dc3c335f_695a_41d7_a19b_acb3c46f955d"/>
      <w:bookmarkEnd w:id="422"/>
      <w:r>
        <w:rPr>
          <w:rFonts w:ascii="Times New Roman;Times;serif" w:hAnsi="Times New Roman;Times;serif"/>
          <w:b/>
          <w:sz w:val="20"/>
        </w:rPr>
        <w:t>Energous Corporation</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CONDENSED STATEMENTS OF CASH FLOWS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(in thousands)</w:t>
      </w:r>
    </w:p>
    <w:p>
      <w:pPr>
        <w:pStyle w:val="TextBody"/>
        <w:bidi w:val="0"/>
        <w:spacing w:before="0" w:after="240"/>
        <w:ind w:left="0" w:right="0" w:hanging="0"/>
        <w:jc w:val="center"/>
        <w:rPr/>
      </w:pPr>
      <w:r>
        <w:rPr/>
        <w:t>​</w:t>
      </w:r>
    </w:p>
    <w:p>
      <w:pPr>
        <w:pStyle w:val="Normal"/>
        <w:bidi w:val="0"/>
        <w:spacing w:before="0" w:after="0"/>
        <w:jc w:val="left"/>
        <w:rPr>
          <w:sz w:val="4"/>
          <w:szCs w:val="4"/>
        </w:rPr>
      </w:pPr>
      <w:r>
        <w:rPr>
          <w:sz w:val="4"/>
          <w:szCs w:val="4"/>
        </w:rPr>
      </w:r>
      <w:bookmarkStart w:id="423" w:name="Tc_ObdMInrEEEGkbZtnt0J2xA_36_6"/>
      <w:bookmarkStart w:id="424" w:name="Tc_dVt79YqXF0mjzRTLIn-vvw_36_5"/>
      <w:bookmarkStart w:id="425" w:name="Tc_eclM1BavE0udnvEglO-jzg_36_2"/>
      <w:bookmarkStart w:id="426" w:name="Tc_TCJfluzKlk6UcH__2tIJEQ_36_0"/>
      <w:bookmarkStart w:id="427" w:name="Tc_c2WUZlqEdEieCimqGbPAFg_35_0"/>
      <w:bookmarkStart w:id="428" w:name="Tc_8H4CxeLVhkKuZxcO4CvpfQ_34_5"/>
      <w:bookmarkStart w:id="429" w:name="Tc_UTT7dWMEwEqIUWKYNEzxXg_34_2"/>
      <w:bookmarkStart w:id="430" w:name="Tc_nv11VVO_8Ey_M1ixy_wpCA_34_0"/>
      <w:bookmarkStart w:id="431" w:name="Tc_XagIg0PDSk2Fk2QqEAumHw_33_0"/>
      <w:bookmarkStart w:id="432" w:name="Tc_RuntGmyUg0eEt1qdsQo49A_32_0"/>
      <w:bookmarkStart w:id="433" w:name="Tc_cpS_dB7o5Eq0CY6Cn0kAIw_31_0"/>
      <w:bookmarkStart w:id="434" w:name="Tc_AxVV_nJP1UyZcDpyqck_JA_30_0"/>
      <w:bookmarkStart w:id="435" w:name="Tc_0Ya_5BV5CkSANvJwSrUmvw_29_0"/>
      <w:bookmarkStart w:id="436" w:name="Tc_kx7q7P1QO06vJ976bJdBYA_28_0"/>
      <w:bookmarkStart w:id="437" w:name="Tc_NLNEl95AcE-jAdjCn5qZvQ_27_0"/>
      <w:bookmarkStart w:id="438" w:name="Tc_yLDE_SrmBk6sZ63cYPdGHQ_26_6"/>
      <w:bookmarkStart w:id="439" w:name="Tc_vU3yrw_Po02FBVzJgzLENw_26_0"/>
      <w:bookmarkStart w:id="440" w:name="Tc_m5BX-wrpi0G8MRr8c222_g_25_6"/>
      <w:bookmarkStart w:id="441" w:name="Tc_ljeEIYiL-k2iC1IHnKLf2A_25_0"/>
      <w:bookmarkStart w:id="442" w:name="Tc_v7QPNuwR-kCAeL-DPaaW1g_24_0"/>
      <w:bookmarkStart w:id="443" w:name="Tc_l6d0bPT7c0aPfbN9TjGSQw_23_0"/>
      <w:bookmarkStart w:id="444" w:name="Tc_eiZv5Ap0G0e2waMwQ_PdvA_22_0"/>
      <w:bookmarkStart w:id="445" w:name="Tc_8jaTN9YSEkCHbB2K9uw3Tg_21_0"/>
      <w:bookmarkStart w:id="446" w:name="Tc_EUj5gWbfcEynjQLUo7sVuA_20_0"/>
      <w:bookmarkStart w:id="447" w:name="Tc_vV8B1lst9k6vWvsZzoItIw_19_0"/>
      <w:bookmarkStart w:id="448" w:name="Tc_VO1v4d5p40-0k-C8DFo5mA_18_0"/>
      <w:bookmarkStart w:id="449" w:name="Tc_O52Vi4KFIk6rUeldwbtV1g_17_0"/>
      <w:bookmarkStart w:id="450" w:name="Tc_mZmtfhvAbUKJ_PFxDW5t4g_16_0"/>
      <w:bookmarkStart w:id="451" w:name="Tc__LYf4-gc606panWfCAz7HQ_15_0"/>
      <w:bookmarkStart w:id="452" w:name="Tc_N8p3Dfi3A0e5jlfM7h2kNQ_14_0"/>
      <w:bookmarkStart w:id="453" w:name="Tc_-VVAfiX3HU2RrlZI0HtKOA_13_0"/>
      <w:bookmarkStart w:id="454" w:name="Tc_FSK_K_yFnUyEYSzbXt-iIQ_12_3"/>
      <w:bookmarkStart w:id="455" w:name="Tc_YQ_IIDsMzEiTHciP1NdbuA_12_0"/>
      <w:bookmarkStart w:id="456" w:name="Tc_APTtaTgfQEiP7gICckPwGA_11_6"/>
      <w:bookmarkStart w:id="457" w:name="Tc_855F2iEtD0yrG5Q79MUFZQ_11_0"/>
      <w:bookmarkStart w:id="458" w:name="Tc_KsH4avnrHEub_5eRoS4e7w_10_3"/>
      <w:bookmarkStart w:id="459" w:name="Tc_XkJvmiwlyEWHVN4IH5Hqsw_10_0"/>
      <w:bookmarkStart w:id="460" w:name="Tc_ujgy-1NwLkOVeLSdPMUxPw_9_3"/>
      <w:bookmarkStart w:id="461" w:name="Tc_nOSIiyaIb0KvK5Rqp1VGuw_9_0"/>
      <w:bookmarkStart w:id="462" w:name="Tc_XceP6XAR3kyasn0qsJgkCw_8_0"/>
      <w:bookmarkStart w:id="463" w:name="Tc_br1THaPIt02F6cLaRwAymg_7_0"/>
      <w:bookmarkStart w:id="464" w:name="Tc_2Zw1WlWKWEeT2OVaYwgaBw_6_0"/>
      <w:bookmarkStart w:id="465" w:name="Tc_Eu7WWoL3cE-vfycq1cOJUg_5_5"/>
      <w:bookmarkStart w:id="466" w:name="Tc_jzwwYmGQx0W-xB2Biic7dA_5_2"/>
      <w:bookmarkStart w:id="467" w:name="Tc_8k0w08owP0-t7YYVica3uA_5_0"/>
      <w:bookmarkStart w:id="468" w:name="Tc_Rvfc_YwS5k6NcvigTv3dLQ_4_0"/>
      <w:bookmarkStart w:id="469" w:name="Tc__OQhx73HB0GlFtu2i9w09A_3_5"/>
      <w:bookmarkStart w:id="470" w:name="Tc_z3dk0xwhe0i1Rpqeyk2B6g_3_2"/>
      <w:bookmarkStart w:id="471" w:name="Tc_ZFOzQ0ISRESieIC9--0nXw_2_2"/>
      <w:bookmarkStart w:id="472" w:name="Tc_CJ2pW4ldcEe5LlxYpBYq8w_1_2"/>
      <w:bookmarkStart w:id="473" w:name="_370ee853_1597_4b1f_8514_a52156f65458"/>
      <w:bookmarkStart w:id="474" w:name="Tc_ObdMInrEEEGkbZtnt0J2xA_36_6"/>
      <w:bookmarkStart w:id="475" w:name="Tc_dVt79YqXF0mjzRTLIn-vvw_36_5"/>
      <w:bookmarkStart w:id="476" w:name="Tc_eclM1BavE0udnvEglO-jzg_36_2"/>
      <w:bookmarkStart w:id="477" w:name="Tc_TCJfluzKlk6UcH__2tIJEQ_36_0"/>
      <w:bookmarkStart w:id="478" w:name="Tc_c2WUZlqEdEieCimqGbPAFg_35_0"/>
      <w:bookmarkStart w:id="479" w:name="Tc_8H4CxeLVhkKuZxcO4CvpfQ_34_5"/>
      <w:bookmarkStart w:id="480" w:name="Tc_UTT7dWMEwEqIUWKYNEzxXg_34_2"/>
      <w:bookmarkStart w:id="481" w:name="Tc_nv11VVO_8Ey_M1ixy_wpCA_34_0"/>
      <w:bookmarkStart w:id="482" w:name="Tc_XagIg0PDSk2Fk2QqEAumHw_33_0"/>
      <w:bookmarkStart w:id="483" w:name="Tc_RuntGmyUg0eEt1qdsQo49A_32_0"/>
      <w:bookmarkStart w:id="484" w:name="Tc_cpS_dB7o5Eq0CY6Cn0kAIw_31_0"/>
      <w:bookmarkStart w:id="485" w:name="Tc_AxVV_nJP1UyZcDpyqck_JA_30_0"/>
      <w:bookmarkStart w:id="486" w:name="Tc_0Ya_5BV5CkSANvJwSrUmvw_29_0"/>
      <w:bookmarkStart w:id="487" w:name="Tc_kx7q7P1QO06vJ976bJdBYA_28_0"/>
      <w:bookmarkStart w:id="488" w:name="Tc_NLNEl95AcE-jAdjCn5qZvQ_27_0"/>
      <w:bookmarkStart w:id="489" w:name="Tc_yLDE_SrmBk6sZ63cYPdGHQ_26_6"/>
      <w:bookmarkStart w:id="490" w:name="Tc_vU3yrw_Po02FBVzJgzLENw_26_0"/>
      <w:bookmarkStart w:id="491" w:name="Tc_m5BX-wrpi0G8MRr8c222_g_25_6"/>
      <w:bookmarkStart w:id="492" w:name="Tc_ljeEIYiL-k2iC1IHnKLf2A_25_0"/>
      <w:bookmarkStart w:id="493" w:name="Tc_v7QPNuwR-kCAeL-DPaaW1g_24_0"/>
      <w:bookmarkStart w:id="494" w:name="Tc_l6d0bPT7c0aPfbN9TjGSQw_23_0"/>
      <w:bookmarkStart w:id="495" w:name="Tc_eiZv5Ap0G0e2waMwQ_PdvA_22_0"/>
      <w:bookmarkStart w:id="496" w:name="Tc_8jaTN9YSEkCHbB2K9uw3Tg_21_0"/>
      <w:bookmarkStart w:id="497" w:name="Tc_EUj5gWbfcEynjQLUo7sVuA_20_0"/>
      <w:bookmarkStart w:id="498" w:name="Tc_vV8B1lst9k6vWvsZzoItIw_19_0"/>
      <w:bookmarkStart w:id="499" w:name="Tc_VO1v4d5p40-0k-C8DFo5mA_18_0"/>
      <w:bookmarkStart w:id="500" w:name="Tc_O52Vi4KFIk6rUeldwbtV1g_17_0"/>
      <w:bookmarkStart w:id="501" w:name="Tc_mZmtfhvAbUKJ_PFxDW5t4g_16_0"/>
      <w:bookmarkStart w:id="502" w:name="Tc__LYf4-gc606panWfCAz7HQ_15_0"/>
      <w:bookmarkStart w:id="503" w:name="Tc_N8p3Dfi3A0e5jlfM7h2kNQ_14_0"/>
      <w:bookmarkStart w:id="504" w:name="Tc_-VVAfiX3HU2RrlZI0HtKOA_13_0"/>
      <w:bookmarkStart w:id="505" w:name="Tc_FSK_K_yFnUyEYSzbXt-iIQ_12_3"/>
      <w:bookmarkStart w:id="506" w:name="Tc_YQ_IIDsMzEiTHciP1NdbuA_12_0"/>
      <w:bookmarkStart w:id="507" w:name="Tc_APTtaTgfQEiP7gICckPwGA_11_6"/>
      <w:bookmarkStart w:id="508" w:name="Tc_855F2iEtD0yrG5Q79MUFZQ_11_0"/>
      <w:bookmarkStart w:id="509" w:name="Tc_KsH4avnrHEub_5eRoS4e7w_10_3"/>
      <w:bookmarkStart w:id="510" w:name="Tc_XkJvmiwlyEWHVN4IH5Hqsw_10_0"/>
      <w:bookmarkStart w:id="511" w:name="Tc_ujgy-1NwLkOVeLSdPMUxPw_9_3"/>
      <w:bookmarkStart w:id="512" w:name="Tc_nOSIiyaIb0KvK5Rqp1VGuw_9_0"/>
      <w:bookmarkStart w:id="513" w:name="Tc_XceP6XAR3kyasn0qsJgkCw_8_0"/>
      <w:bookmarkStart w:id="514" w:name="Tc_br1THaPIt02F6cLaRwAymg_7_0"/>
      <w:bookmarkStart w:id="515" w:name="Tc_2Zw1WlWKWEeT2OVaYwgaBw_6_0"/>
      <w:bookmarkStart w:id="516" w:name="Tc_Eu7WWoL3cE-vfycq1cOJUg_5_5"/>
      <w:bookmarkStart w:id="517" w:name="Tc_jzwwYmGQx0W-xB2Biic7dA_5_2"/>
      <w:bookmarkStart w:id="518" w:name="Tc_8k0w08owP0-t7YYVica3uA_5_0"/>
      <w:bookmarkStart w:id="519" w:name="Tc_Rvfc_YwS5k6NcvigTv3dLQ_4_0"/>
      <w:bookmarkStart w:id="520" w:name="Tc__OQhx73HB0GlFtu2i9w09A_3_5"/>
      <w:bookmarkStart w:id="521" w:name="Tc_z3dk0xwhe0i1Rpqeyk2B6g_3_2"/>
      <w:bookmarkStart w:id="522" w:name="Tc_ZFOzQ0ISRESieIC9--0nXw_2_2"/>
      <w:bookmarkStart w:id="523" w:name="Tc_CJ2pW4ldcEe5LlxYpBYq8w_1_2"/>
      <w:bookmarkStart w:id="524" w:name="_370ee853_1597_4b1f_8514_a52156f65458"/>
      <w:bookmarkEnd w:id="474"/>
      <w:bookmarkEnd w:id="475"/>
      <w:bookmarkEnd w:id="476"/>
      <w:bookmarkEnd w:id="477"/>
      <w:bookmarkEnd w:id="478"/>
      <w:bookmarkEnd w:id="479"/>
      <w:bookmarkEnd w:id="480"/>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bookmarkEnd w:id="509"/>
      <w:bookmarkEnd w:id="510"/>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p>
    <w:tbl>
      <w:tblPr>
        <w:tblW w:w="10205" w:type="dxa"/>
        <w:jc w:val="left"/>
        <w:tblInd w:w="0" w:type="dxa"/>
        <w:tblLayout w:type="fixed"/>
        <w:tblCellMar>
          <w:top w:w="0" w:type="dxa"/>
          <w:left w:w="0" w:type="dxa"/>
          <w:bottom w:w="0" w:type="dxa"/>
          <w:right w:w="0" w:type="dxa"/>
        </w:tblCellMar>
      </w:tblPr>
      <w:tblGrid>
        <w:gridCol w:w="7631"/>
        <w:gridCol w:w="326"/>
        <w:gridCol w:w="218"/>
        <w:gridCol w:w="712"/>
        <w:gridCol w:w="337"/>
        <w:gridCol w:w="218"/>
        <w:gridCol w:w="763"/>
      </w:tblGrid>
      <w:tr>
        <w:trPr/>
        <w:tc>
          <w:tcPr>
            <w:tcW w:w="76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4845685" cy="175260"/>
                      <wp:effectExtent l="0" t="0" r="0" b="0"/>
                      <wp:wrapNone/>
                      <wp:docPr id="58" name="Frame58"/>
                      <a:graphic xmlns:a="http://schemas.openxmlformats.org/drawingml/2006/main">
                        <a:graphicData uri="http://schemas.microsoft.com/office/word/2010/wordprocessingShape">
                          <wps:wsp>
                            <wps:cNvSpPr txBox="1"/>
                            <wps:spPr>
                              <a:xfrm>
                                <a:off x="0" y="0"/>
                                <a:ext cx="48456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207010" cy="175260"/>
                      <wp:effectExtent l="0" t="0" r="0" b="0"/>
                      <wp:wrapNone/>
                      <wp:docPr id="59" name="Frame5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138430" cy="175260"/>
                      <wp:effectExtent l="0" t="0" r="0" b="0"/>
                      <wp:wrapNone/>
                      <wp:docPr id="60" name="Frame60"/>
                      <a:graphic xmlns:a="http://schemas.openxmlformats.org/drawingml/2006/main">
                        <a:graphicData uri="http://schemas.microsoft.com/office/word/2010/wordprocessingShape">
                          <wps:wsp>
                            <wps:cNvSpPr txBox="1"/>
                            <wps:spPr>
                              <a:xfrm>
                                <a:off x="0" y="0"/>
                                <a:ext cx="13843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1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452120" cy="175260"/>
                      <wp:effectExtent l="0" t="0" r="0" b="0"/>
                      <wp:wrapNone/>
                      <wp:docPr id="61" name="Frame61"/>
                      <a:graphic xmlns:a="http://schemas.openxmlformats.org/drawingml/2006/main">
                        <a:graphicData uri="http://schemas.microsoft.com/office/word/2010/wordprocessingShape">
                          <wps:wsp>
                            <wps:cNvSpPr txBox="1"/>
                            <wps:spPr>
                              <a:xfrm>
                                <a:off x="0" y="0"/>
                                <a:ext cx="45212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3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213995" cy="175260"/>
                      <wp:effectExtent l="0" t="0" r="0" b="0"/>
                      <wp:wrapNone/>
                      <wp:docPr id="62" name="Frame62"/>
                      <a:graphic xmlns:a="http://schemas.openxmlformats.org/drawingml/2006/main">
                        <a:graphicData uri="http://schemas.microsoft.com/office/word/2010/wordprocessingShape">
                          <wps:wsp>
                            <wps:cNvSpPr txBox="1"/>
                            <wps:spPr>
                              <a:xfrm>
                                <a:off x="0" y="0"/>
                                <a:ext cx="21399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138430" cy="175260"/>
                      <wp:effectExtent l="0" t="0" r="0" b="0"/>
                      <wp:wrapNone/>
                      <wp:docPr id="63" name="Frame63"/>
                      <a:graphic xmlns:a="http://schemas.openxmlformats.org/drawingml/2006/main">
                        <a:graphicData uri="http://schemas.microsoft.com/office/word/2010/wordprocessingShape">
                          <wps:wsp>
                            <wps:cNvSpPr txBox="1"/>
                            <wps:spPr>
                              <a:xfrm>
                                <a:off x="0" y="0"/>
                                <a:ext cx="13843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6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484505" cy="175260"/>
                      <wp:effectExtent l="0" t="0" r="0" b="0"/>
                      <wp:wrapNone/>
                      <wp:docPr id="64" name="Frame64"/>
                      <a:graphic xmlns:a="http://schemas.openxmlformats.org/drawingml/2006/main">
                        <a:graphicData uri="http://schemas.microsoft.com/office/word/2010/wordprocessingShape">
                          <wps:wsp>
                            <wps:cNvSpPr txBox="1"/>
                            <wps:spPr>
                              <a:xfrm>
                                <a:off x="0" y="0"/>
                                <a:ext cx="48450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763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    </w:t>
            </w:r>
          </w:p>
        </w:tc>
        <w:tc>
          <w:tcPr>
            <w:tcW w:w="2248" w:type="dxa"/>
            <w:gridSpan w:val="5"/>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xml:space="preserve">For the Three Months Ended </w:t>
            </w:r>
          </w:p>
        </w:tc>
      </w:tr>
      <w:tr>
        <w:trPr/>
        <w:tc>
          <w:tcPr>
            <w:tcW w:w="763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2248"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March 31,</w:t>
            </w:r>
          </w:p>
        </w:tc>
      </w:tr>
      <w:tr>
        <w:trPr/>
        <w:tc>
          <w:tcPr>
            <w:tcW w:w="763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93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37" w:type="dxa"/>
            <w:tcBorders/>
            <w:vAlign w:val="center"/>
          </w:tcPr>
          <w:p>
            <w:pPr>
              <w:pStyle w:val="TableContents"/>
              <w:bidi w:val="0"/>
              <w:spacing w:before="0" w:after="1"/>
              <w:ind w:left="0" w:right="0" w:hanging="0"/>
              <w:jc w:val="left"/>
              <w:rPr/>
            </w:pPr>
            <w:r>
              <w:rPr/>
              <w:t>    </w:t>
            </w:r>
          </w:p>
        </w:tc>
        <w:tc>
          <w:tcPr>
            <w:tcW w:w="98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r>
      <w:tr>
        <w:trPr/>
        <w:tc>
          <w:tcPr>
            <w:tcW w:w="7631" w:type="dxa"/>
            <w:tcBorders/>
            <w:shd w:fill="CCEEFF" w:val="clear"/>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Cash flows from operating activities:</w:t>
            </w:r>
          </w:p>
        </w:tc>
        <w:tc>
          <w:tcPr>
            <w:tcW w:w="326" w:type="dxa"/>
            <w:tcBorders/>
            <w:shd w:fill="CCEEFF" w:val="clear"/>
            <w:vAlign w:val="center"/>
          </w:tcPr>
          <w:p>
            <w:pPr>
              <w:pStyle w:val="TableContents"/>
              <w:bidi w:val="0"/>
              <w:spacing w:before="0" w:after="1"/>
              <w:ind w:left="0" w:right="0" w:hanging="0"/>
              <w:jc w:val="left"/>
              <w:rPr/>
            </w:pPr>
            <w:r>
              <w:rPr/>
              <w:t> </w:t>
            </w:r>
          </w:p>
        </w:tc>
        <w:tc>
          <w:tcPr>
            <w:tcW w:w="218" w:type="dxa"/>
            <w:tcBorders/>
            <w:shd w:fill="CCEEFF" w:val="clear"/>
            <w:vAlign w:val="center"/>
          </w:tcPr>
          <w:p>
            <w:pPr>
              <w:pStyle w:val="TableContents"/>
              <w:bidi w:val="0"/>
              <w:spacing w:before="0" w:after="1"/>
              <w:ind w:left="0" w:right="0" w:hanging="0"/>
              <w:jc w:val="left"/>
              <w:rPr/>
            </w:pPr>
            <w:r>
              <w:rPr/>
              <w:t>​</w:t>
            </w:r>
          </w:p>
        </w:tc>
        <w:tc>
          <w:tcPr>
            <w:tcW w:w="712" w:type="dxa"/>
            <w:tcBorders/>
            <w:shd w:fill="CCEEFF" w:val="clear"/>
            <w:vAlign w:val="center"/>
          </w:tcPr>
          <w:p>
            <w:pPr>
              <w:pStyle w:val="TableContents"/>
              <w:bidi w:val="0"/>
              <w:spacing w:before="0" w:after="1"/>
              <w:ind w:left="0" w:right="0" w:hanging="0"/>
              <w:jc w:val="right"/>
              <w:rPr/>
            </w:pPr>
            <w:r>
              <w:rPr/>
              <w:t>  </w:t>
            </w:r>
          </w:p>
        </w:tc>
        <w:tc>
          <w:tcPr>
            <w:tcW w:w="337" w:type="dxa"/>
            <w:tcBorders/>
            <w:shd w:fill="CCEEFF" w:val="clear"/>
            <w:vAlign w:val="center"/>
          </w:tcPr>
          <w:p>
            <w:pPr>
              <w:pStyle w:val="TableContents"/>
              <w:bidi w:val="0"/>
              <w:spacing w:before="0" w:after="1"/>
              <w:ind w:left="0" w:right="0" w:hanging="0"/>
              <w:jc w:val="left"/>
              <w:rPr/>
            </w:pPr>
            <w:r>
              <w:rPr/>
              <w:t> </w:t>
            </w:r>
          </w:p>
        </w:tc>
        <w:tc>
          <w:tcPr>
            <w:tcW w:w="218" w:type="dxa"/>
            <w:tcBorders/>
            <w:shd w:fill="CCEEFF" w:val="clear"/>
            <w:vAlign w:val="center"/>
          </w:tcPr>
          <w:p>
            <w:pPr>
              <w:pStyle w:val="TableContents"/>
              <w:bidi w:val="0"/>
              <w:spacing w:before="0" w:after="1"/>
              <w:ind w:left="0" w:right="0" w:hanging="0"/>
              <w:jc w:val="left"/>
              <w:rPr/>
            </w:pPr>
            <w:r>
              <w:rPr/>
              <w:t>​</w:t>
            </w:r>
          </w:p>
        </w:tc>
        <w:tc>
          <w:tcPr>
            <w:tcW w:w="763" w:type="dxa"/>
            <w:tcBorders/>
            <w:shd w:fill="CCEEFF" w:val="clear"/>
            <w:vAlign w:val="center"/>
          </w:tcPr>
          <w:p>
            <w:pPr>
              <w:pStyle w:val="TableContents"/>
              <w:bidi w:val="0"/>
              <w:spacing w:before="0" w:after="1"/>
              <w:ind w:left="0" w:right="0" w:hanging="0"/>
              <w:jc w:val="right"/>
              <w:rPr/>
            </w:pPr>
            <w:r>
              <w:rPr/>
              <w:t>  </w:t>
            </w:r>
          </w:p>
        </w:tc>
      </w:tr>
      <w:tr>
        <w:trPr/>
        <w:tc>
          <w:tcPr>
            <w:tcW w:w="7631" w:type="dxa"/>
            <w:tcBorders/>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loss</w:t>
            </w:r>
          </w:p>
        </w:tc>
        <w:tc>
          <w:tcPr>
            <w:tcW w:w="326" w:type="dxa"/>
            <w:tcBorders/>
            <w:vAlign w:val="center"/>
          </w:tcPr>
          <w:p>
            <w:pPr>
              <w:pStyle w:val="TableContents"/>
              <w:bidi w:val="0"/>
              <w:spacing w:before="0" w:after="1"/>
              <w:ind w:left="0" w:right="0" w:hanging="0"/>
              <w:jc w:val="left"/>
              <w:rPr/>
            </w:pPr>
            <w:r>
              <w:rPr/>
              <w:t>​</w:t>
            </w:r>
          </w:p>
        </w:tc>
        <w:tc>
          <w:tcPr>
            <w:tcW w:w="218"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12"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(6,599)</w:t>
            </w:r>
          </w:p>
        </w:tc>
        <w:tc>
          <w:tcPr>
            <w:tcW w:w="337" w:type="dxa"/>
            <w:tcBorders/>
            <w:vAlign w:val="center"/>
          </w:tcPr>
          <w:p>
            <w:pPr>
              <w:pStyle w:val="TableContents"/>
              <w:bidi w:val="0"/>
              <w:spacing w:before="0" w:after="1"/>
              <w:ind w:left="0" w:right="0" w:hanging="0"/>
              <w:jc w:val="left"/>
              <w:rPr/>
            </w:pPr>
            <w:r>
              <w:rPr/>
              <w:t>​</w:t>
            </w:r>
          </w:p>
        </w:tc>
        <w:tc>
          <w:tcPr>
            <w:tcW w:w="218"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63"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(6,653)</w:t>
            </w:r>
          </w:p>
        </w:tc>
      </w:tr>
      <w:tr>
        <w:trPr/>
        <w:tc>
          <w:tcPr>
            <w:tcW w:w="7631" w:type="dxa"/>
            <w:tcBorders/>
            <w:shd w:fill="CCEEFF" w:val="clear"/>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Adjustments to reconcile net loss to net cash used in operating activities:</w:t>
            </w:r>
          </w:p>
        </w:tc>
        <w:tc>
          <w:tcPr>
            <w:tcW w:w="326" w:type="dxa"/>
            <w:tcBorders/>
            <w:shd w:fill="CCEEFF" w:val="clear"/>
            <w:vAlign w:val="center"/>
          </w:tcPr>
          <w:p>
            <w:pPr>
              <w:pStyle w:val="TableContents"/>
              <w:bidi w:val="0"/>
              <w:spacing w:before="0" w:after="1"/>
              <w:ind w:left="0" w:right="0" w:hanging="0"/>
              <w:jc w:val="left"/>
              <w:rPr/>
            </w:pPr>
            <w:r>
              <w:rPr/>
              <w:t>​</w:t>
            </w:r>
          </w:p>
        </w:tc>
        <w:tc>
          <w:tcPr>
            <w:tcW w:w="218" w:type="dxa"/>
            <w:tcBorders/>
            <w:shd w:fill="CCEEFF" w:val="clear"/>
            <w:vAlign w:val="center"/>
          </w:tcPr>
          <w:p>
            <w:pPr>
              <w:pStyle w:val="TableContents"/>
              <w:bidi w:val="0"/>
              <w:spacing w:before="0" w:after="1"/>
              <w:ind w:left="0" w:right="0" w:hanging="0"/>
              <w:jc w:val="left"/>
              <w:rPr/>
            </w:pPr>
            <w:r>
              <w:rPr/>
              <w:t> </w:t>
            </w:r>
          </w:p>
        </w:tc>
        <w:tc>
          <w:tcPr>
            <w:tcW w:w="712" w:type="dxa"/>
            <w:tcBorders/>
            <w:shd w:fill="CCEEFF" w:val="clear"/>
            <w:vAlign w:val="center"/>
          </w:tcPr>
          <w:p>
            <w:pPr>
              <w:pStyle w:val="TableContents"/>
              <w:bidi w:val="0"/>
              <w:spacing w:before="0" w:after="1"/>
              <w:ind w:left="0" w:right="0" w:hanging="0"/>
              <w:jc w:val="right"/>
              <w:rPr/>
            </w:pPr>
            <w:r>
              <w:rPr/>
              <w:t>  </w:t>
            </w:r>
          </w:p>
        </w:tc>
        <w:tc>
          <w:tcPr>
            <w:tcW w:w="337" w:type="dxa"/>
            <w:tcBorders/>
            <w:shd w:fill="CCEEFF" w:val="clear"/>
            <w:vAlign w:val="center"/>
          </w:tcPr>
          <w:p>
            <w:pPr>
              <w:pStyle w:val="TableContents"/>
              <w:bidi w:val="0"/>
              <w:spacing w:before="0" w:after="1"/>
              <w:ind w:left="0" w:right="0" w:hanging="0"/>
              <w:jc w:val="left"/>
              <w:rPr/>
            </w:pPr>
            <w:r>
              <w:rPr/>
              <w:t>​</w:t>
            </w:r>
          </w:p>
        </w:tc>
        <w:tc>
          <w:tcPr>
            <w:tcW w:w="218" w:type="dxa"/>
            <w:tcBorders/>
            <w:shd w:fill="CCEEFF" w:val="clear"/>
            <w:vAlign w:val="center"/>
          </w:tcPr>
          <w:p>
            <w:pPr>
              <w:pStyle w:val="TableContents"/>
              <w:bidi w:val="0"/>
              <w:spacing w:before="0" w:after="1"/>
              <w:ind w:left="0" w:right="0" w:hanging="0"/>
              <w:jc w:val="left"/>
              <w:rPr/>
            </w:pPr>
            <w:r>
              <w:rPr/>
              <w:t> </w:t>
            </w:r>
          </w:p>
        </w:tc>
        <w:tc>
          <w:tcPr>
            <w:tcW w:w="763" w:type="dxa"/>
            <w:tcBorders/>
            <w:shd w:fill="CCEEFF" w:val="clear"/>
            <w:vAlign w:val="center"/>
          </w:tcPr>
          <w:p>
            <w:pPr>
              <w:pStyle w:val="TableContents"/>
              <w:bidi w:val="0"/>
              <w:spacing w:before="0" w:after="1"/>
              <w:ind w:left="0" w:right="0" w:hanging="0"/>
              <w:jc w:val="right"/>
              <w:rPr/>
            </w:pPr>
            <w:r>
              <w:rPr/>
              <w:t>  </w:t>
            </w:r>
          </w:p>
        </w:tc>
      </w:tr>
      <w:tr>
        <w:trPr/>
        <w:tc>
          <w:tcPr>
            <w:tcW w:w="7631" w:type="dxa"/>
            <w:tcBorders/>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Depreciation and amortization</w:t>
            </w:r>
          </w:p>
        </w:tc>
        <w:tc>
          <w:tcPr>
            <w:tcW w:w="326" w:type="dxa"/>
            <w:tcBorders/>
            <w:vAlign w:val="center"/>
          </w:tcPr>
          <w:p>
            <w:pPr>
              <w:pStyle w:val="TableContents"/>
              <w:bidi w:val="0"/>
              <w:spacing w:before="0" w:after="1"/>
              <w:ind w:left="0" w:right="0" w:hanging="0"/>
              <w:jc w:val="left"/>
              <w:rPr/>
            </w:pPr>
            <w:r>
              <w:rPr/>
              <w:t>​</w:t>
            </w:r>
          </w:p>
        </w:tc>
        <w:tc>
          <w:tcPr>
            <w:tcW w:w="218" w:type="dxa"/>
            <w:tcBorders/>
            <w:vAlign w:val="center"/>
          </w:tcPr>
          <w:p>
            <w:pPr>
              <w:pStyle w:val="TableContents"/>
              <w:bidi w:val="0"/>
              <w:spacing w:before="0" w:after="1"/>
              <w:ind w:left="0" w:right="0" w:hanging="0"/>
              <w:jc w:val="left"/>
              <w:rPr/>
            </w:pPr>
            <w:r>
              <w:rPr/>
              <w:t> </w:t>
            </w:r>
          </w:p>
        </w:tc>
        <w:tc>
          <w:tcPr>
            <w:tcW w:w="712"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48</w:t>
            </w:r>
          </w:p>
        </w:tc>
        <w:tc>
          <w:tcPr>
            <w:tcW w:w="337" w:type="dxa"/>
            <w:tcBorders/>
            <w:vAlign w:val="center"/>
          </w:tcPr>
          <w:p>
            <w:pPr>
              <w:pStyle w:val="TableContents"/>
              <w:bidi w:val="0"/>
              <w:spacing w:before="0" w:after="1"/>
              <w:ind w:left="0" w:right="0" w:hanging="0"/>
              <w:jc w:val="left"/>
              <w:rPr/>
            </w:pPr>
            <w:r>
              <w:rPr/>
              <w:t>​</w:t>
            </w:r>
          </w:p>
        </w:tc>
        <w:tc>
          <w:tcPr>
            <w:tcW w:w="218" w:type="dxa"/>
            <w:tcBorders/>
            <w:vAlign w:val="center"/>
          </w:tcPr>
          <w:p>
            <w:pPr>
              <w:pStyle w:val="TableContents"/>
              <w:bidi w:val="0"/>
              <w:spacing w:before="0" w:after="1"/>
              <w:ind w:left="0" w:right="0" w:hanging="0"/>
              <w:jc w:val="left"/>
              <w:rPr/>
            </w:pPr>
            <w:r>
              <w:rPr/>
              <w:t> </w:t>
            </w:r>
          </w:p>
        </w:tc>
        <w:tc>
          <w:tcPr>
            <w:tcW w:w="763"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46</w:t>
            </w:r>
          </w:p>
        </w:tc>
      </w:tr>
      <w:tr>
        <w:trPr/>
        <w:tc>
          <w:tcPr>
            <w:tcW w:w="7631" w:type="dxa"/>
            <w:tcBorders/>
            <w:shd w:fill="CCEEFF" w:val="clear"/>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Stock based compensation</w:t>
            </w:r>
          </w:p>
        </w:tc>
        <w:tc>
          <w:tcPr>
            <w:tcW w:w="326" w:type="dxa"/>
            <w:tcBorders/>
            <w:shd w:fill="CCEEFF" w:val="clear"/>
            <w:vAlign w:val="center"/>
          </w:tcPr>
          <w:p>
            <w:pPr>
              <w:pStyle w:val="TableContents"/>
              <w:bidi w:val="0"/>
              <w:spacing w:before="0" w:after="1"/>
              <w:ind w:left="0" w:right="0" w:hanging="0"/>
              <w:jc w:val="left"/>
              <w:rPr/>
            </w:pPr>
            <w:r>
              <w:rPr/>
              <w:t>​</w:t>
            </w:r>
          </w:p>
        </w:tc>
        <w:tc>
          <w:tcPr>
            <w:tcW w:w="218" w:type="dxa"/>
            <w:tcBorders/>
            <w:shd w:fill="CCEEFF" w:val="clear"/>
            <w:vAlign w:val="center"/>
          </w:tcPr>
          <w:p>
            <w:pPr>
              <w:pStyle w:val="TableContents"/>
              <w:bidi w:val="0"/>
              <w:spacing w:before="0" w:after="1"/>
              <w:ind w:left="0" w:right="0" w:hanging="0"/>
              <w:jc w:val="left"/>
              <w:rPr/>
            </w:pPr>
            <w:r>
              <w:rPr/>
              <w:t> </w:t>
            </w:r>
          </w:p>
        </w:tc>
        <w:tc>
          <w:tcPr>
            <w:tcW w:w="71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404</w:t>
            </w:r>
          </w:p>
        </w:tc>
        <w:tc>
          <w:tcPr>
            <w:tcW w:w="337" w:type="dxa"/>
            <w:tcBorders/>
            <w:shd w:fill="CCEEFF" w:val="clear"/>
            <w:vAlign w:val="center"/>
          </w:tcPr>
          <w:p>
            <w:pPr>
              <w:pStyle w:val="TableContents"/>
              <w:bidi w:val="0"/>
              <w:spacing w:before="0" w:after="1"/>
              <w:ind w:left="0" w:right="0" w:hanging="0"/>
              <w:jc w:val="left"/>
              <w:rPr/>
            </w:pPr>
            <w:r>
              <w:rPr/>
              <w:t>​</w:t>
            </w:r>
          </w:p>
        </w:tc>
        <w:tc>
          <w:tcPr>
            <w:tcW w:w="218" w:type="dxa"/>
            <w:tcBorders/>
            <w:shd w:fill="CCEEFF" w:val="clear"/>
            <w:vAlign w:val="center"/>
          </w:tcPr>
          <w:p>
            <w:pPr>
              <w:pStyle w:val="TableContents"/>
              <w:bidi w:val="0"/>
              <w:spacing w:before="0" w:after="1"/>
              <w:ind w:left="0" w:right="0" w:hanging="0"/>
              <w:jc w:val="left"/>
              <w:rPr/>
            </w:pPr>
            <w:r>
              <w:rPr/>
              <w:t> </w:t>
            </w:r>
          </w:p>
        </w:tc>
        <w:tc>
          <w:tcPr>
            <w:tcW w:w="76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522</w:t>
            </w:r>
          </w:p>
        </w:tc>
      </w:tr>
      <w:tr>
        <w:trPr/>
        <w:tc>
          <w:tcPr>
            <w:tcW w:w="7631" w:type="dxa"/>
            <w:tcBorders/>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Inventory net realizable value adjustment</w:t>
            </w:r>
          </w:p>
        </w:tc>
        <w:tc>
          <w:tcPr>
            <w:tcW w:w="326" w:type="dxa"/>
            <w:tcBorders/>
            <w:vAlign w:val="center"/>
          </w:tcPr>
          <w:p>
            <w:pPr>
              <w:pStyle w:val="TableContents"/>
              <w:bidi w:val="0"/>
              <w:spacing w:before="0" w:after="1"/>
              <w:ind w:left="0" w:right="0" w:hanging="0"/>
              <w:jc w:val="left"/>
              <w:rPr/>
            </w:pPr>
            <w:r>
              <w:rPr/>
              <w:t>​</w:t>
            </w:r>
          </w:p>
        </w:tc>
        <w:tc>
          <w:tcPr>
            <w:tcW w:w="218" w:type="dxa"/>
            <w:tcBorders/>
            <w:vAlign w:val="center"/>
          </w:tcPr>
          <w:p>
            <w:pPr>
              <w:pStyle w:val="TableContents"/>
              <w:bidi w:val="0"/>
              <w:spacing w:before="0" w:after="1"/>
              <w:ind w:left="0" w:right="0" w:hanging="0"/>
              <w:jc w:val="left"/>
              <w:rPr/>
            </w:pPr>
            <w:r>
              <w:rPr/>
              <w:t> </w:t>
            </w:r>
          </w:p>
        </w:tc>
        <w:tc>
          <w:tcPr>
            <w:tcW w:w="712" w:type="dxa"/>
            <w:tcBorders/>
            <w:vAlign w:val="center"/>
          </w:tcPr>
          <w:p>
            <w:pPr>
              <w:pStyle w:val="TableContents"/>
              <w:bidi w:val="0"/>
              <w:spacing w:before="0" w:after="1"/>
              <w:ind w:left="0" w:right="0" w:hanging="0"/>
              <w:jc w:val="right"/>
              <w:rPr/>
            </w:pPr>
            <w:r>
              <w:rPr/>
              <w:t>—</w:t>
            </w:r>
          </w:p>
        </w:tc>
        <w:tc>
          <w:tcPr>
            <w:tcW w:w="337" w:type="dxa"/>
            <w:tcBorders/>
            <w:vAlign w:val="center"/>
          </w:tcPr>
          <w:p>
            <w:pPr>
              <w:pStyle w:val="TableContents"/>
              <w:bidi w:val="0"/>
              <w:spacing w:before="0" w:after="1"/>
              <w:ind w:left="0" w:right="0" w:hanging="0"/>
              <w:jc w:val="left"/>
              <w:rPr/>
            </w:pPr>
            <w:r>
              <w:rPr/>
              <w:t>​</w:t>
            </w:r>
          </w:p>
        </w:tc>
        <w:tc>
          <w:tcPr>
            <w:tcW w:w="218" w:type="dxa"/>
            <w:tcBorders/>
            <w:vAlign w:val="center"/>
          </w:tcPr>
          <w:p>
            <w:pPr>
              <w:pStyle w:val="TableContents"/>
              <w:bidi w:val="0"/>
              <w:spacing w:before="0" w:after="1"/>
              <w:ind w:left="0" w:right="0" w:hanging="0"/>
              <w:jc w:val="left"/>
              <w:rPr/>
            </w:pPr>
            <w:r>
              <w:rPr/>
              <w:t> </w:t>
            </w:r>
          </w:p>
        </w:tc>
        <w:tc>
          <w:tcPr>
            <w:tcW w:w="763"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111</w:t>
            </w:r>
          </w:p>
        </w:tc>
      </w:tr>
      <w:tr>
        <w:trPr/>
        <w:tc>
          <w:tcPr>
            <w:tcW w:w="7631" w:type="dxa"/>
            <w:tcBorders/>
            <w:shd w:fill="CCEEFF" w:val="clear"/>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Allowance for credit losses</w:t>
            </w:r>
          </w:p>
        </w:tc>
        <w:tc>
          <w:tcPr>
            <w:tcW w:w="326" w:type="dxa"/>
            <w:tcBorders/>
            <w:shd w:fill="CCEEFF" w:val="clear"/>
            <w:vAlign w:val="center"/>
          </w:tcPr>
          <w:p>
            <w:pPr>
              <w:pStyle w:val="TableContents"/>
              <w:bidi w:val="0"/>
              <w:spacing w:before="0" w:after="1"/>
              <w:ind w:left="0" w:right="0" w:hanging="0"/>
              <w:jc w:val="left"/>
              <w:rPr/>
            </w:pPr>
            <w:r>
              <w:rPr/>
              <w:t>​</w:t>
            </w:r>
          </w:p>
        </w:tc>
        <w:tc>
          <w:tcPr>
            <w:tcW w:w="218" w:type="dxa"/>
            <w:tcBorders/>
            <w:shd w:fill="CCEEFF" w:val="clear"/>
            <w:vAlign w:val="center"/>
          </w:tcPr>
          <w:p>
            <w:pPr>
              <w:pStyle w:val="TableContents"/>
              <w:bidi w:val="0"/>
              <w:spacing w:before="0" w:after="1"/>
              <w:ind w:left="0" w:right="0" w:hanging="0"/>
              <w:jc w:val="left"/>
              <w:rPr/>
            </w:pPr>
            <w:r>
              <w:rPr/>
              <w:t> </w:t>
            </w:r>
          </w:p>
        </w:tc>
        <w:tc>
          <w:tcPr>
            <w:tcW w:w="712" w:type="dxa"/>
            <w:tcBorders/>
            <w:shd w:fill="CCEEFF" w:val="clear"/>
            <w:vAlign w:val="center"/>
          </w:tcPr>
          <w:p>
            <w:pPr>
              <w:pStyle w:val="TableContents"/>
              <w:bidi w:val="0"/>
              <w:spacing w:before="0" w:after="1"/>
              <w:ind w:left="0" w:right="0" w:hanging="0"/>
              <w:jc w:val="right"/>
              <w:rPr/>
            </w:pPr>
            <w:r>
              <w:rPr/>
              <w:t>—</w:t>
            </w:r>
          </w:p>
        </w:tc>
        <w:tc>
          <w:tcPr>
            <w:tcW w:w="337" w:type="dxa"/>
            <w:tcBorders/>
            <w:shd w:fill="CCEEFF" w:val="clear"/>
            <w:vAlign w:val="center"/>
          </w:tcPr>
          <w:p>
            <w:pPr>
              <w:pStyle w:val="TableContents"/>
              <w:bidi w:val="0"/>
              <w:spacing w:before="0" w:after="1"/>
              <w:ind w:left="0" w:right="0" w:hanging="0"/>
              <w:jc w:val="left"/>
              <w:rPr/>
            </w:pPr>
            <w:r>
              <w:rPr/>
              <w:t>​</w:t>
            </w:r>
          </w:p>
        </w:tc>
        <w:tc>
          <w:tcPr>
            <w:tcW w:w="218" w:type="dxa"/>
            <w:tcBorders/>
            <w:shd w:fill="CCEEFF" w:val="clear"/>
            <w:vAlign w:val="center"/>
          </w:tcPr>
          <w:p>
            <w:pPr>
              <w:pStyle w:val="TableContents"/>
              <w:bidi w:val="0"/>
              <w:spacing w:before="0" w:after="1"/>
              <w:ind w:left="0" w:right="0" w:hanging="0"/>
              <w:jc w:val="left"/>
              <w:rPr/>
            </w:pPr>
            <w:r>
              <w:rPr/>
              <w:t> </w:t>
            </w:r>
          </w:p>
        </w:tc>
        <w:tc>
          <w:tcPr>
            <w:tcW w:w="76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w:t>
            </w:r>
          </w:p>
        </w:tc>
      </w:tr>
      <w:tr>
        <w:trPr/>
        <w:tc>
          <w:tcPr>
            <w:tcW w:w="7631" w:type="dxa"/>
            <w:tcBorders/>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Change in fair value of warrant liability</w:t>
            </w:r>
          </w:p>
        </w:tc>
        <w:tc>
          <w:tcPr>
            <w:tcW w:w="326" w:type="dxa"/>
            <w:tcBorders/>
            <w:vAlign w:val="center"/>
          </w:tcPr>
          <w:p>
            <w:pPr>
              <w:pStyle w:val="TableContents"/>
              <w:bidi w:val="0"/>
              <w:spacing w:before="0" w:after="1"/>
              <w:ind w:left="0" w:right="0" w:hanging="0"/>
              <w:jc w:val="left"/>
              <w:rPr/>
            </w:pPr>
            <w:r>
              <w:rPr/>
              <w:t>​</w:t>
            </w:r>
          </w:p>
        </w:tc>
        <w:tc>
          <w:tcPr>
            <w:tcW w:w="218" w:type="dxa"/>
            <w:tcBorders/>
            <w:vAlign w:val="center"/>
          </w:tcPr>
          <w:p>
            <w:pPr>
              <w:pStyle w:val="TableContents"/>
              <w:bidi w:val="0"/>
              <w:spacing w:before="0" w:after="1"/>
              <w:ind w:left="0" w:right="0" w:hanging="0"/>
              <w:jc w:val="left"/>
              <w:rPr/>
            </w:pPr>
            <w:r>
              <w:rPr/>
              <w:t> </w:t>
            </w:r>
          </w:p>
        </w:tc>
        <w:tc>
          <w:tcPr>
            <w:tcW w:w="712"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82</w:t>
            </w:r>
          </w:p>
        </w:tc>
        <w:tc>
          <w:tcPr>
            <w:tcW w:w="337" w:type="dxa"/>
            <w:tcBorders/>
            <w:vAlign w:val="center"/>
          </w:tcPr>
          <w:p>
            <w:pPr>
              <w:pStyle w:val="TableContents"/>
              <w:bidi w:val="0"/>
              <w:spacing w:before="0" w:after="1"/>
              <w:ind w:left="0" w:right="0" w:hanging="0"/>
              <w:jc w:val="left"/>
              <w:rPr/>
            </w:pPr>
            <w:r>
              <w:rPr/>
              <w:t>​</w:t>
            </w:r>
          </w:p>
        </w:tc>
        <w:tc>
          <w:tcPr>
            <w:tcW w:w="218" w:type="dxa"/>
            <w:tcBorders/>
            <w:vAlign w:val="center"/>
          </w:tcPr>
          <w:p>
            <w:pPr>
              <w:pStyle w:val="TableContents"/>
              <w:bidi w:val="0"/>
              <w:spacing w:before="0" w:after="1"/>
              <w:ind w:left="0" w:right="0" w:hanging="0"/>
              <w:jc w:val="left"/>
              <w:rPr/>
            </w:pPr>
            <w:r>
              <w:rPr/>
              <w:t> </w:t>
            </w:r>
          </w:p>
        </w:tc>
        <w:tc>
          <w:tcPr>
            <w:tcW w:w="763" w:type="dxa"/>
            <w:tcBorders/>
            <w:vAlign w:val="center"/>
          </w:tcPr>
          <w:p>
            <w:pPr>
              <w:pStyle w:val="TableContents"/>
              <w:bidi w:val="0"/>
              <w:spacing w:before="0" w:after="1"/>
              <w:ind w:left="0" w:right="0" w:hanging="0"/>
              <w:jc w:val="right"/>
              <w:rPr/>
            </w:pPr>
            <w:r>
              <w:rPr/>
              <w:t>—</w:t>
            </w:r>
          </w:p>
        </w:tc>
      </w:tr>
      <w:tr>
        <w:trPr/>
        <w:tc>
          <w:tcPr>
            <w:tcW w:w="7631" w:type="dxa"/>
            <w:tcBorders/>
            <w:shd w:fill="CCEEFF" w:val="clear"/>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Offering costs allocated to warrants</w:t>
            </w:r>
          </w:p>
        </w:tc>
        <w:tc>
          <w:tcPr>
            <w:tcW w:w="326" w:type="dxa"/>
            <w:tcBorders/>
            <w:shd w:fill="CCEEFF" w:val="clear"/>
            <w:vAlign w:val="center"/>
          </w:tcPr>
          <w:p>
            <w:pPr>
              <w:pStyle w:val="TableContents"/>
              <w:bidi w:val="0"/>
              <w:spacing w:before="0" w:after="1"/>
              <w:ind w:left="0" w:right="0" w:hanging="0"/>
              <w:jc w:val="left"/>
              <w:rPr/>
            </w:pPr>
            <w:r>
              <w:rPr/>
              <w:t>​</w:t>
            </w:r>
          </w:p>
        </w:tc>
        <w:tc>
          <w:tcPr>
            <w:tcW w:w="218" w:type="dxa"/>
            <w:tcBorders/>
            <w:shd w:fill="CCEEFF" w:val="clear"/>
            <w:vAlign w:val="center"/>
          </w:tcPr>
          <w:p>
            <w:pPr>
              <w:pStyle w:val="TableContents"/>
              <w:bidi w:val="0"/>
              <w:spacing w:before="0" w:after="1"/>
              <w:ind w:left="0" w:right="0" w:hanging="0"/>
              <w:jc w:val="left"/>
              <w:rPr/>
            </w:pPr>
            <w:r>
              <w:rPr/>
              <w:t> </w:t>
            </w:r>
          </w:p>
        </w:tc>
        <w:tc>
          <w:tcPr>
            <w:tcW w:w="712" w:type="dxa"/>
            <w:tcBorders/>
            <w:shd w:fill="CCEEFF" w:val="clear"/>
            <w:vAlign w:val="center"/>
          </w:tcPr>
          <w:p>
            <w:pPr>
              <w:pStyle w:val="TableContents"/>
              <w:bidi w:val="0"/>
              <w:spacing w:before="0" w:after="1"/>
              <w:ind w:left="0" w:right="0" w:hanging="0"/>
              <w:jc w:val="right"/>
              <w:rPr/>
            </w:pPr>
            <w:r>
              <w:rPr/>
              <w:t>—</w:t>
            </w:r>
          </w:p>
        </w:tc>
        <w:tc>
          <w:tcPr>
            <w:tcW w:w="337" w:type="dxa"/>
            <w:tcBorders/>
            <w:shd w:fill="CCEEFF" w:val="clear"/>
            <w:vAlign w:val="center"/>
          </w:tcPr>
          <w:p>
            <w:pPr>
              <w:pStyle w:val="TableContents"/>
              <w:bidi w:val="0"/>
              <w:spacing w:before="0" w:after="1"/>
              <w:ind w:left="0" w:right="0" w:hanging="0"/>
              <w:jc w:val="left"/>
              <w:rPr/>
            </w:pPr>
            <w:r>
              <w:rPr/>
              <w:t>​</w:t>
            </w:r>
          </w:p>
        </w:tc>
        <w:tc>
          <w:tcPr>
            <w:tcW w:w="218" w:type="dxa"/>
            <w:tcBorders/>
            <w:shd w:fill="CCEEFF" w:val="clear"/>
            <w:vAlign w:val="center"/>
          </w:tcPr>
          <w:p>
            <w:pPr>
              <w:pStyle w:val="TableContents"/>
              <w:bidi w:val="0"/>
              <w:spacing w:before="0" w:after="1"/>
              <w:ind w:left="0" w:right="0" w:hanging="0"/>
              <w:jc w:val="left"/>
              <w:rPr/>
            </w:pPr>
            <w:r>
              <w:rPr/>
              <w:t> </w:t>
            </w:r>
          </w:p>
        </w:tc>
        <w:tc>
          <w:tcPr>
            <w:tcW w:w="76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592</w:t>
            </w:r>
          </w:p>
        </w:tc>
      </w:tr>
      <w:tr>
        <w:trPr/>
        <w:tc>
          <w:tcPr>
            <w:tcW w:w="7631" w:type="dxa"/>
            <w:tcBorders/>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Changes in operating assets and liabilities:</w:t>
            </w:r>
          </w:p>
        </w:tc>
        <w:tc>
          <w:tcPr>
            <w:tcW w:w="326" w:type="dxa"/>
            <w:tcBorders/>
            <w:vAlign w:val="center"/>
          </w:tcPr>
          <w:p>
            <w:pPr>
              <w:pStyle w:val="TableContents"/>
              <w:bidi w:val="0"/>
              <w:spacing w:before="0" w:after="1"/>
              <w:ind w:left="0" w:right="0" w:hanging="0"/>
              <w:jc w:val="left"/>
              <w:rPr/>
            </w:pPr>
            <w:r>
              <w:rPr/>
              <w:t>​</w:t>
            </w:r>
          </w:p>
        </w:tc>
        <w:tc>
          <w:tcPr>
            <w:tcW w:w="218" w:type="dxa"/>
            <w:tcBorders/>
            <w:vAlign w:val="center"/>
          </w:tcPr>
          <w:p>
            <w:pPr>
              <w:pStyle w:val="TableContents"/>
              <w:bidi w:val="0"/>
              <w:spacing w:before="0" w:after="1"/>
              <w:ind w:left="0" w:right="0" w:hanging="0"/>
              <w:jc w:val="left"/>
              <w:rPr/>
            </w:pPr>
            <w:r>
              <w:rPr/>
              <w:t> </w:t>
            </w:r>
          </w:p>
        </w:tc>
        <w:tc>
          <w:tcPr>
            <w:tcW w:w="712" w:type="dxa"/>
            <w:tcBorders/>
            <w:vAlign w:val="center"/>
          </w:tcPr>
          <w:p>
            <w:pPr>
              <w:pStyle w:val="TableContents"/>
              <w:bidi w:val="0"/>
              <w:spacing w:before="0" w:after="1"/>
              <w:ind w:left="0" w:right="0" w:hanging="0"/>
              <w:jc w:val="right"/>
              <w:rPr/>
            </w:pPr>
            <w:r>
              <w:rPr/>
              <w:t>  </w:t>
            </w:r>
          </w:p>
        </w:tc>
        <w:tc>
          <w:tcPr>
            <w:tcW w:w="337" w:type="dxa"/>
            <w:tcBorders/>
            <w:vAlign w:val="center"/>
          </w:tcPr>
          <w:p>
            <w:pPr>
              <w:pStyle w:val="TableContents"/>
              <w:bidi w:val="0"/>
              <w:spacing w:before="0" w:after="1"/>
              <w:ind w:left="0" w:right="0" w:hanging="0"/>
              <w:jc w:val="left"/>
              <w:rPr/>
            </w:pPr>
            <w:r>
              <w:rPr/>
              <w:t>​</w:t>
            </w:r>
          </w:p>
        </w:tc>
        <w:tc>
          <w:tcPr>
            <w:tcW w:w="218" w:type="dxa"/>
            <w:tcBorders/>
            <w:vAlign w:val="center"/>
          </w:tcPr>
          <w:p>
            <w:pPr>
              <w:pStyle w:val="TableContents"/>
              <w:bidi w:val="0"/>
              <w:spacing w:before="0" w:after="1"/>
              <w:ind w:left="0" w:right="0" w:hanging="0"/>
              <w:jc w:val="left"/>
              <w:rPr/>
            </w:pPr>
            <w:r>
              <w:rPr/>
              <w:t> </w:t>
            </w:r>
          </w:p>
        </w:tc>
        <w:tc>
          <w:tcPr>
            <w:tcW w:w="763" w:type="dxa"/>
            <w:tcBorders/>
            <w:vAlign w:val="center"/>
          </w:tcPr>
          <w:p>
            <w:pPr>
              <w:pStyle w:val="TableContents"/>
              <w:bidi w:val="0"/>
              <w:spacing w:before="0" w:after="1"/>
              <w:ind w:left="0" w:right="0" w:hanging="0"/>
              <w:jc w:val="right"/>
              <w:rPr/>
            </w:pPr>
            <w:r>
              <w:rPr/>
              <w:t>  </w:t>
            </w:r>
          </w:p>
        </w:tc>
      </w:tr>
      <w:tr>
        <w:trPr/>
        <w:tc>
          <w:tcPr>
            <w:tcW w:w="7631" w:type="dxa"/>
            <w:tcBorders/>
            <w:shd w:fill="CCEEFF" w:val="clear"/>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Accounts receivable, net</w:t>
            </w:r>
          </w:p>
        </w:tc>
        <w:tc>
          <w:tcPr>
            <w:tcW w:w="326" w:type="dxa"/>
            <w:tcBorders/>
            <w:shd w:fill="CCEEFF" w:val="clear"/>
            <w:vAlign w:val="center"/>
          </w:tcPr>
          <w:p>
            <w:pPr>
              <w:pStyle w:val="TableContents"/>
              <w:bidi w:val="0"/>
              <w:spacing w:before="0" w:after="1"/>
              <w:ind w:left="0" w:right="0" w:hanging="0"/>
              <w:jc w:val="left"/>
              <w:rPr/>
            </w:pPr>
            <w:r>
              <w:rPr/>
              <w:t>​</w:t>
            </w:r>
          </w:p>
        </w:tc>
        <w:tc>
          <w:tcPr>
            <w:tcW w:w="218" w:type="dxa"/>
            <w:tcBorders/>
            <w:shd w:fill="CCEEFF" w:val="clear"/>
            <w:vAlign w:val="center"/>
          </w:tcPr>
          <w:p>
            <w:pPr>
              <w:pStyle w:val="TableContents"/>
              <w:bidi w:val="0"/>
              <w:spacing w:before="0" w:after="1"/>
              <w:ind w:left="0" w:right="0" w:hanging="0"/>
              <w:jc w:val="left"/>
              <w:rPr/>
            </w:pPr>
            <w:r>
              <w:rPr/>
              <w:t> </w:t>
            </w:r>
          </w:p>
        </w:tc>
        <w:tc>
          <w:tcPr>
            <w:tcW w:w="71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75</w:t>
            </w:r>
          </w:p>
        </w:tc>
        <w:tc>
          <w:tcPr>
            <w:tcW w:w="337" w:type="dxa"/>
            <w:tcBorders/>
            <w:shd w:fill="CCEEFF" w:val="clear"/>
            <w:vAlign w:val="center"/>
          </w:tcPr>
          <w:p>
            <w:pPr>
              <w:pStyle w:val="TableContents"/>
              <w:bidi w:val="0"/>
              <w:spacing w:before="0" w:after="1"/>
              <w:ind w:left="0" w:right="0" w:hanging="0"/>
              <w:jc w:val="left"/>
              <w:rPr/>
            </w:pPr>
            <w:r>
              <w:rPr/>
              <w:t>​</w:t>
            </w:r>
          </w:p>
        </w:tc>
        <w:tc>
          <w:tcPr>
            <w:tcW w:w="218" w:type="dxa"/>
            <w:tcBorders/>
            <w:shd w:fill="CCEEFF" w:val="clear"/>
            <w:vAlign w:val="center"/>
          </w:tcPr>
          <w:p>
            <w:pPr>
              <w:pStyle w:val="TableContents"/>
              <w:bidi w:val="0"/>
              <w:spacing w:before="0" w:after="1"/>
              <w:ind w:left="0" w:right="0" w:hanging="0"/>
              <w:jc w:val="left"/>
              <w:rPr/>
            </w:pPr>
            <w:r>
              <w:rPr/>
              <w:t> </w:t>
            </w:r>
          </w:p>
        </w:tc>
        <w:tc>
          <w:tcPr>
            <w:tcW w:w="76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56</w:t>
            </w:r>
          </w:p>
        </w:tc>
      </w:tr>
      <w:tr>
        <w:trPr/>
        <w:tc>
          <w:tcPr>
            <w:tcW w:w="7631" w:type="dxa"/>
            <w:tcBorders/>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Inventory</w:t>
            </w:r>
          </w:p>
        </w:tc>
        <w:tc>
          <w:tcPr>
            <w:tcW w:w="326" w:type="dxa"/>
            <w:tcBorders/>
            <w:vAlign w:val="center"/>
          </w:tcPr>
          <w:p>
            <w:pPr>
              <w:pStyle w:val="TableContents"/>
              <w:bidi w:val="0"/>
              <w:spacing w:before="0" w:after="1"/>
              <w:ind w:left="0" w:right="0" w:hanging="0"/>
              <w:jc w:val="left"/>
              <w:rPr/>
            </w:pPr>
            <w:r>
              <w:rPr/>
              <w:t>​</w:t>
            </w:r>
          </w:p>
        </w:tc>
        <w:tc>
          <w:tcPr>
            <w:tcW w:w="218" w:type="dxa"/>
            <w:tcBorders/>
            <w:vAlign w:val="center"/>
          </w:tcPr>
          <w:p>
            <w:pPr>
              <w:pStyle w:val="TableContents"/>
              <w:bidi w:val="0"/>
              <w:spacing w:before="0" w:after="1"/>
              <w:ind w:left="0" w:right="0" w:hanging="0"/>
              <w:jc w:val="left"/>
              <w:rPr/>
            </w:pPr>
            <w:r>
              <w:rPr/>
              <w:t> </w:t>
            </w:r>
          </w:p>
        </w:tc>
        <w:tc>
          <w:tcPr>
            <w:tcW w:w="712"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(193)</w:t>
            </w:r>
          </w:p>
        </w:tc>
        <w:tc>
          <w:tcPr>
            <w:tcW w:w="337" w:type="dxa"/>
            <w:tcBorders/>
            <w:vAlign w:val="center"/>
          </w:tcPr>
          <w:p>
            <w:pPr>
              <w:pStyle w:val="TableContents"/>
              <w:bidi w:val="0"/>
              <w:spacing w:before="0" w:after="1"/>
              <w:ind w:left="0" w:right="0" w:hanging="0"/>
              <w:jc w:val="left"/>
              <w:rPr/>
            </w:pPr>
            <w:r>
              <w:rPr/>
              <w:t>​</w:t>
            </w:r>
          </w:p>
        </w:tc>
        <w:tc>
          <w:tcPr>
            <w:tcW w:w="218" w:type="dxa"/>
            <w:tcBorders/>
            <w:vAlign w:val="center"/>
          </w:tcPr>
          <w:p>
            <w:pPr>
              <w:pStyle w:val="TableContents"/>
              <w:bidi w:val="0"/>
              <w:spacing w:before="0" w:after="1"/>
              <w:ind w:left="0" w:right="0" w:hanging="0"/>
              <w:jc w:val="left"/>
              <w:rPr/>
            </w:pPr>
            <w:r>
              <w:rPr/>
              <w:t> </w:t>
            </w:r>
          </w:p>
        </w:tc>
        <w:tc>
          <w:tcPr>
            <w:tcW w:w="763"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(77)</w:t>
            </w:r>
          </w:p>
        </w:tc>
      </w:tr>
      <w:tr>
        <w:trPr/>
        <w:tc>
          <w:tcPr>
            <w:tcW w:w="7631" w:type="dxa"/>
            <w:tcBorders/>
            <w:shd w:fill="CCEEFF" w:val="clear"/>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Prepaid expenses and other current assets</w:t>
            </w:r>
          </w:p>
        </w:tc>
        <w:tc>
          <w:tcPr>
            <w:tcW w:w="326" w:type="dxa"/>
            <w:tcBorders/>
            <w:shd w:fill="CCEEFF" w:val="clear"/>
            <w:vAlign w:val="center"/>
          </w:tcPr>
          <w:p>
            <w:pPr>
              <w:pStyle w:val="TableContents"/>
              <w:bidi w:val="0"/>
              <w:spacing w:before="0" w:after="1"/>
              <w:ind w:left="0" w:right="0" w:hanging="0"/>
              <w:jc w:val="left"/>
              <w:rPr/>
            </w:pPr>
            <w:r>
              <w:rPr/>
              <w:t>​</w:t>
            </w:r>
          </w:p>
        </w:tc>
        <w:tc>
          <w:tcPr>
            <w:tcW w:w="218" w:type="dxa"/>
            <w:tcBorders/>
            <w:shd w:fill="CCEEFF" w:val="clear"/>
            <w:vAlign w:val="center"/>
          </w:tcPr>
          <w:p>
            <w:pPr>
              <w:pStyle w:val="TableContents"/>
              <w:bidi w:val="0"/>
              <w:spacing w:before="0" w:after="1"/>
              <w:ind w:left="0" w:right="0" w:hanging="0"/>
              <w:jc w:val="left"/>
              <w:rPr/>
            </w:pPr>
            <w:r>
              <w:rPr/>
              <w:t> </w:t>
            </w:r>
          </w:p>
        </w:tc>
        <w:tc>
          <w:tcPr>
            <w:tcW w:w="71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223</w:t>
            </w:r>
          </w:p>
        </w:tc>
        <w:tc>
          <w:tcPr>
            <w:tcW w:w="337" w:type="dxa"/>
            <w:tcBorders/>
            <w:shd w:fill="CCEEFF" w:val="clear"/>
            <w:vAlign w:val="center"/>
          </w:tcPr>
          <w:p>
            <w:pPr>
              <w:pStyle w:val="TableContents"/>
              <w:bidi w:val="0"/>
              <w:spacing w:before="0" w:after="1"/>
              <w:ind w:left="0" w:right="0" w:hanging="0"/>
              <w:jc w:val="left"/>
              <w:rPr/>
            </w:pPr>
            <w:r>
              <w:rPr/>
              <w:t>​</w:t>
            </w:r>
          </w:p>
        </w:tc>
        <w:tc>
          <w:tcPr>
            <w:tcW w:w="218" w:type="dxa"/>
            <w:tcBorders/>
            <w:shd w:fill="CCEEFF" w:val="clear"/>
            <w:vAlign w:val="center"/>
          </w:tcPr>
          <w:p>
            <w:pPr>
              <w:pStyle w:val="TableContents"/>
              <w:bidi w:val="0"/>
              <w:spacing w:before="0" w:after="1"/>
              <w:ind w:left="0" w:right="0" w:hanging="0"/>
              <w:jc w:val="left"/>
              <w:rPr/>
            </w:pPr>
            <w:r>
              <w:rPr/>
              <w:t> </w:t>
            </w:r>
          </w:p>
        </w:tc>
        <w:tc>
          <w:tcPr>
            <w:tcW w:w="76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178</w:t>
            </w:r>
          </w:p>
        </w:tc>
      </w:tr>
      <w:tr>
        <w:trPr/>
        <w:tc>
          <w:tcPr>
            <w:tcW w:w="7631" w:type="dxa"/>
            <w:tcBorders/>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Operating lease right-of-use assets</w:t>
            </w:r>
          </w:p>
        </w:tc>
        <w:tc>
          <w:tcPr>
            <w:tcW w:w="326" w:type="dxa"/>
            <w:tcBorders/>
            <w:vAlign w:val="center"/>
          </w:tcPr>
          <w:p>
            <w:pPr>
              <w:pStyle w:val="TableContents"/>
              <w:bidi w:val="0"/>
              <w:spacing w:before="0" w:after="1"/>
              <w:ind w:left="0" w:right="0" w:hanging="0"/>
              <w:jc w:val="left"/>
              <w:rPr/>
            </w:pPr>
            <w:r>
              <w:rPr/>
              <w:t>​</w:t>
            </w:r>
          </w:p>
        </w:tc>
        <w:tc>
          <w:tcPr>
            <w:tcW w:w="218" w:type="dxa"/>
            <w:tcBorders/>
            <w:vAlign w:val="center"/>
          </w:tcPr>
          <w:p>
            <w:pPr>
              <w:pStyle w:val="TableContents"/>
              <w:bidi w:val="0"/>
              <w:spacing w:before="0" w:after="1"/>
              <w:ind w:left="0" w:right="0" w:hanging="0"/>
              <w:jc w:val="left"/>
              <w:rPr/>
            </w:pPr>
            <w:r>
              <w:rPr/>
              <w:t>​</w:t>
            </w:r>
          </w:p>
        </w:tc>
        <w:tc>
          <w:tcPr>
            <w:tcW w:w="712"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160</w:t>
            </w:r>
          </w:p>
        </w:tc>
        <w:tc>
          <w:tcPr>
            <w:tcW w:w="337" w:type="dxa"/>
            <w:tcBorders/>
            <w:vAlign w:val="center"/>
          </w:tcPr>
          <w:p>
            <w:pPr>
              <w:pStyle w:val="TableContents"/>
              <w:bidi w:val="0"/>
              <w:spacing w:before="0" w:after="1"/>
              <w:ind w:left="0" w:right="0" w:hanging="0"/>
              <w:jc w:val="left"/>
              <w:rPr/>
            </w:pPr>
            <w:r>
              <w:rPr/>
              <w:t>​</w:t>
            </w:r>
          </w:p>
        </w:tc>
        <w:tc>
          <w:tcPr>
            <w:tcW w:w="218" w:type="dxa"/>
            <w:tcBorders/>
            <w:vAlign w:val="center"/>
          </w:tcPr>
          <w:p>
            <w:pPr>
              <w:pStyle w:val="TableContents"/>
              <w:bidi w:val="0"/>
              <w:spacing w:before="0" w:after="1"/>
              <w:ind w:left="0" w:right="0" w:hanging="0"/>
              <w:jc w:val="left"/>
              <w:rPr/>
            </w:pPr>
            <w:r>
              <w:rPr/>
              <w:t>​</w:t>
            </w:r>
          </w:p>
        </w:tc>
        <w:tc>
          <w:tcPr>
            <w:tcW w:w="763"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181</w:t>
            </w:r>
          </w:p>
        </w:tc>
      </w:tr>
      <w:tr>
        <w:trPr/>
        <w:tc>
          <w:tcPr>
            <w:tcW w:w="7631" w:type="dxa"/>
            <w:tcBorders/>
            <w:shd w:fill="CCEEFF" w:val="clear"/>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Accounts payable</w:t>
            </w:r>
          </w:p>
        </w:tc>
        <w:tc>
          <w:tcPr>
            <w:tcW w:w="326" w:type="dxa"/>
            <w:tcBorders/>
            <w:shd w:fill="CCEEFF" w:val="clear"/>
            <w:vAlign w:val="center"/>
          </w:tcPr>
          <w:p>
            <w:pPr>
              <w:pStyle w:val="TableContents"/>
              <w:bidi w:val="0"/>
              <w:spacing w:before="0" w:after="1"/>
              <w:ind w:left="0" w:right="0" w:hanging="0"/>
              <w:jc w:val="left"/>
              <w:rPr/>
            </w:pPr>
            <w:r>
              <w:rPr/>
              <w:t>​</w:t>
            </w:r>
          </w:p>
        </w:tc>
        <w:tc>
          <w:tcPr>
            <w:tcW w:w="218" w:type="dxa"/>
            <w:tcBorders/>
            <w:shd w:fill="CCEEFF" w:val="clear"/>
            <w:vAlign w:val="center"/>
          </w:tcPr>
          <w:p>
            <w:pPr>
              <w:pStyle w:val="TableContents"/>
              <w:bidi w:val="0"/>
              <w:spacing w:before="0" w:after="1"/>
              <w:ind w:left="0" w:right="0" w:hanging="0"/>
              <w:jc w:val="left"/>
              <w:rPr/>
            </w:pPr>
            <w:r>
              <w:rPr/>
              <w:t> </w:t>
            </w:r>
          </w:p>
        </w:tc>
        <w:tc>
          <w:tcPr>
            <w:tcW w:w="71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(347)</w:t>
            </w:r>
          </w:p>
        </w:tc>
        <w:tc>
          <w:tcPr>
            <w:tcW w:w="337" w:type="dxa"/>
            <w:tcBorders/>
            <w:shd w:fill="CCEEFF" w:val="clear"/>
            <w:vAlign w:val="center"/>
          </w:tcPr>
          <w:p>
            <w:pPr>
              <w:pStyle w:val="TableContents"/>
              <w:bidi w:val="0"/>
              <w:spacing w:before="0" w:after="1"/>
              <w:ind w:left="0" w:right="0" w:hanging="0"/>
              <w:jc w:val="left"/>
              <w:rPr/>
            </w:pPr>
            <w:r>
              <w:rPr/>
              <w:t>​</w:t>
            </w:r>
          </w:p>
        </w:tc>
        <w:tc>
          <w:tcPr>
            <w:tcW w:w="218" w:type="dxa"/>
            <w:tcBorders/>
            <w:shd w:fill="CCEEFF" w:val="clear"/>
            <w:vAlign w:val="center"/>
          </w:tcPr>
          <w:p>
            <w:pPr>
              <w:pStyle w:val="TableContents"/>
              <w:bidi w:val="0"/>
              <w:spacing w:before="0" w:after="1"/>
              <w:ind w:left="0" w:right="0" w:hanging="0"/>
              <w:jc w:val="left"/>
              <w:rPr/>
            </w:pPr>
            <w:r>
              <w:rPr/>
              <w:t> </w:t>
            </w:r>
          </w:p>
        </w:tc>
        <w:tc>
          <w:tcPr>
            <w:tcW w:w="76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450</w:t>
            </w:r>
          </w:p>
        </w:tc>
      </w:tr>
      <w:tr>
        <w:trPr/>
        <w:tc>
          <w:tcPr>
            <w:tcW w:w="7631" w:type="dxa"/>
            <w:tcBorders/>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Accrued expenses</w:t>
            </w:r>
          </w:p>
        </w:tc>
        <w:tc>
          <w:tcPr>
            <w:tcW w:w="326" w:type="dxa"/>
            <w:tcBorders/>
            <w:vAlign w:val="center"/>
          </w:tcPr>
          <w:p>
            <w:pPr>
              <w:pStyle w:val="TableContents"/>
              <w:bidi w:val="0"/>
              <w:spacing w:before="0" w:after="1"/>
              <w:ind w:left="0" w:right="0" w:hanging="0"/>
              <w:jc w:val="left"/>
              <w:rPr/>
            </w:pPr>
            <w:r>
              <w:rPr/>
              <w:t>​</w:t>
            </w:r>
          </w:p>
        </w:tc>
        <w:tc>
          <w:tcPr>
            <w:tcW w:w="218" w:type="dxa"/>
            <w:tcBorders/>
            <w:vAlign w:val="center"/>
          </w:tcPr>
          <w:p>
            <w:pPr>
              <w:pStyle w:val="TableContents"/>
              <w:bidi w:val="0"/>
              <w:spacing w:before="0" w:after="1"/>
              <w:ind w:left="0" w:right="0" w:hanging="0"/>
              <w:jc w:val="left"/>
              <w:rPr/>
            </w:pPr>
            <w:r>
              <w:rPr/>
              <w:t> </w:t>
            </w:r>
          </w:p>
        </w:tc>
        <w:tc>
          <w:tcPr>
            <w:tcW w:w="712"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(84)</w:t>
            </w:r>
          </w:p>
        </w:tc>
        <w:tc>
          <w:tcPr>
            <w:tcW w:w="337" w:type="dxa"/>
            <w:tcBorders/>
            <w:vAlign w:val="center"/>
          </w:tcPr>
          <w:p>
            <w:pPr>
              <w:pStyle w:val="TableContents"/>
              <w:bidi w:val="0"/>
              <w:spacing w:before="0" w:after="1"/>
              <w:ind w:left="0" w:right="0" w:hanging="0"/>
              <w:jc w:val="left"/>
              <w:rPr/>
            </w:pPr>
            <w:r>
              <w:rPr/>
              <w:t>​</w:t>
            </w:r>
          </w:p>
        </w:tc>
        <w:tc>
          <w:tcPr>
            <w:tcW w:w="218" w:type="dxa"/>
            <w:tcBorders/>
            <w:vAlign w:val="center"/>
          </w:tcPr>
          <w:p>
            <w:pPr>
              <w:pStyle w:val="TableContents"/>
              <w:bidi w:val="0"/>
              <w:spacing w:before="0" w:after="1"/>
              <w:ind w:left="0" w:right="0" w:hanging="0"/>
              <w:jc w:val="left"/>
              <w:rPr/>
            </w:pPr>
            <w:r>
              <w:rPr/>
              <w:t> </w:t>
            </w:r>
          </w:p>
        </w:tc>
        <w:tc>
          <w:tcPr>
            <w:tcW w:w="763"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(420)</w:t>
            </w:r>
          </w:p>
        </w:tc>
      </w:tr>
      <w:tr>
        <w:trPr/>
        <w:tc>
          <w:tcPr>
            <w:tcW w:w="7631" w:type="dxa"/>
            <w:tcBorders/>
            <w:shd w:fill="CCEEFF" w:val="clear"/>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Accrued severance expense</w:t>
            </w:r>
          </w:p>
        </w:tc>
        <w:tc>
          <w:tcPr>
            <w:tcW w:w="326" w:type="dxa"/>
            <w:tcBorders/>
            <w:shd w:fill="CCEEFF" w:val="clear"/>
            <w:vAlign w:val="center"/>
          </w:tcPr>
          <w:p>
            <w:pPr>
              <w:pStyle w:val="TableContents"/>
              <w:bidi w:val="0"/>
              <w:spacing w:before="0" w:after="1"/>
              <w:ind w:left="0" w:right="0" w:hanging="0"/>
              <w:jc w:val="left"/>
              <w:rPr/>
            </w:pPr>
            <w:r>
              <w:rPr/>
              <w:t>​</w:t>
            </w:r>
          </w:p>
        </w:tc>
        <w:tc>
          <w:tcPr>
            <w:tcW w:w="218" w:type="dxa"/>
            <w:tcBorders/>
            <w:shd w:fill="CCEEFF" w:val="clear"/>
            <w:vAlign w:val="center"/>
          </w:tcPr>
          <w:p>
            <w:pPr>
              <w:pStyle w:val="TableContents"/>
              <w:bidi w:val="0"/>
              <w:spacing w:before="0" w:after="1"/>
              <w:ind w:left="0" w:right="0" w:hanging="0"/>
              <w:jc w:val="left"/>
              <w:rPr/>
            </w:pPr>
            <w:r>
              <w:rPr/>
              <w:t> </w:t>
            </w:r>
          </w:p>
        </w:tc>
        <w:tc>
          <w:tcPr>
            <w:tcW w:w="71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1,335</w:t>
            </w:r>
          </w:p>
        </w:tc>
        <w:tc>
          <w:tcPr>
            <w:tcW w:w="337" w:type="dxa"/>
            <w:tcBorders/>
            <w:shd w:fill="CCEEFF" w:val="clear"/>
            <w:vAlign w:val="center"/>
          </w:tcPr>
          <w:p>
            <w:pPr>
              <w:pStyle w:val="TableContents"/>
              <w:bidi w:val="0"/>
              <w:spacing w:before="0" w:after="1"/>
              <w:ind w:left="0" w:right="0" w:hanging="0"/>
              <w:jc w:val="left"/>
              <w:rPr/>
            </w:pPr>
            <w:r>
              <w:rPr/>
              <w:t>​</w:t>
            </w:r>
          </w:p>
        </w:tc>
        <w:tc>
          <w:tcPr>
            <w:tcW w:w="218" w:type="dxa"/>
            <w:tcBorders/>
            <w:shd w:fill="CCEEFF" w:val="clear"/>
            <w:vAlign w:val="center"/>
          </w:tcPr>
          <w:p>
            <w:pPr>
              <w:pStyle w:val="TableContents"/>
              <w:bidi w:val="0"/>
              <w:spacing w:before="0" w:after="1"/>
              <w:ind w:left="0" w:right="0" w:hanging="0"/>
              <w:jc w:val="left"/>
              <w:rPr/>
            </w:pPr>
            <w:r>
              <w:rPr/>
              <w:t> </w:t>
            </w:r>
          </w:p>
        </w:tc>
        <w:tc>
          <w:tcPr>
            <w:tcW w:w="76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(167)</w:t>
            </w:r>
          </w:p>
        </w:tc>
      </w:tr>
      <w:tr>
        <w:trPr/>
        <w:tc>
          <w:tcPr>
            <w:tcW w:w="7631" w:type="dxa"/>
            <w:tcBorders/>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Operating lease liabilities</w:t>
            </w:r>
          </w:p>
        </w:tc>
        <w:tc>
          <w:tcPr>
            <w:tcW w:w="326" w:type="dxa"/>
            <w:tcBorders/>
            <w:vAlign w:val="center"/>
          </w:tcPr>
          <w:p>
            <w:pPr>
              <w:pStyle w:val="TableContents"/>
              <w:bidi w:val="0"/>
              <w:spacing w:before="0" w:after="1"/>
              <w:ind w:left="0" w:right="0" w:hanging="0"/>
              <w:jc w:val="left"/>
              <w:rPr/>
            </w:pPr>
            <w:r>
              <w:rPr/>
              <w:t>​</w:t>
            </w:r>
          </w:p>
        </w:tc>
        <w:tc>
          <w:tcPr>
            <w:tcW w:w="218" w:type="dxa"/>
            <w:tcBorders/>
            <w:vAlign w:val="center"/>
          </w:tcPr>
          <w:p>
            <w:pPr>
              <w:pStyle w:val="TableContents"/>
              <w:bidi w:val="0"/>
              <w:spacing w:before="0" w:after="1"/>
              <w:ind w:left="0" w:right="0" w:hanging="0"/>
              <w:jc w:val="left"/>
              <w:rPr/>
            </w:pPr>
            <w:r>
              <w:rPr/>
              <w:t> </w:t>
            </w:r>
          </w:p>
        </w:tc>
        <w:tc>
          <w:tcPr>
            <w:tcW w:w="712"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(160)</w:t>
            </w:r>
          </w:p>
        </w:tc>
        <w:tc>
          <w:tcPr>
            <w:tcW w:w="337" w:type="dxa"/>
            <w:tcBorders/>
            <w:vAlign w:val="center"/>
          </w:tcPr>
          <w:p>
            <w:pPr>
              <w:pStyle w:val="TableContents"/>
              <w:bidi w:val="0"/>
              <w:spacing w:before="0" w:after="1"/>
              <w:ind w:left="0" w:right="0" w:hanging="0"/>
              <w:jc w:val="left"/>
              <w:rPr/>
            </w:pPr>
            <w:r>
              <w:rPr/>
              <w:t>​</w:t>
            </w:r>
          </w:p>
        </w:tc>
        <w:tc>
          <w:tcPr>
            <w:tcW w:w="218" w:type="dxa"/>
            <w:tcBorders/>
            <w:vAlign w:val="center"/>
          </w:tcPr>
          <w:p>
            <w:pPr>
              <w:pStyle w:val="TableContents"/>
              <w:bidi w:val="0"/>
              <w:spacing w:before="0" w:after="1"/>
              <w:ind w:left="0" w:right="0" w:hanging="0"/>
              <w:jc w:val="left"/>
              <w:rPr/>
            </w:pPr>
            <w:r>
              <w:rPr/>
              <w:t> </w:t>
            </w:r>
          </w:p>
        </w:tc>
        <w:tc>
          <w:tcPr>
            <w:tcW w:w="763"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(176)</w:t>
            </w:r>
          </w:p>
        </w:tc>
      </w:tr>
      <w:tr>
        <w:trPr/>
        <w:tc>
          <w:tcPr>
            <w:tcW w:w="7631" w:type="dxa"/>
            <w:tcBorders/>
            <w:shd w:fill="CCEEFF" w:val="clear"/>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Deferred revenue</w:t>
            </w:r>
          </w:p>
        </w:tc>
        <w:tc>
          <w:tcPr>
            <w:tcW w:w="326" w:type="dxa"/>
            <w:tcBorders/>
            <w:shd w:fill="CCEEFF" w:val="clear"/>
            <w:vAlign w:val="center"/>
          </w:tcPr>
          <w:p>
            <w:pPr>
              <w:pStyle w:val="TableContents"/>
              <w:bidi w:val="0"/>
              <w:spacing w:before="0" w:after="1"/>
              <w:ind w:left="0" w:right="0" w:hanging="0"/>
              <w:jc w:val="left"/>
              <w:rPr/>
            </w:pPr>
            <w:r>
              <w:rPr/>
              <w:t>​</w:t>
            </w:r>
          </w:p>
        </w:tc>
        <w:tc>
          <w:tcPr>
            <w:tcW w:w="218"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12"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w:t>
            </w:r>
          </w:p>
        </w:tc>
        <w:tc>
          <w:tcPr>
            <w:tcW w:w="337" w:type="dxa"/>
            <w:tcBorders/>
            <w:shd w:fill="CCEEFF" w:val="clear"/>
            <w:vAlign w:val="center"/>
          </w:tcPr>
          <w:p>
            <w:pPr>
              <w:pStyle w:val="TableContents"/>
              <w:bidi w:val="0"/>
              <w:spacing w:before="0" w:after="1"/>
              <w:ind w:left="0" w:right="0" w:hanging="0"/>
              <w:jc w:val="left"/>
              <w:rPr/>
            </w:pPr>
            <w:r>
              <w:rPr/>
              <w:t>​</w:t>
            </w:r>
          </w:p>
        </w:tc>
        <w:tc>
          <w:tcPr>
            <w:tcW w:w="218"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63"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w:t>
            </w:r>
          </w:p>
        </w:tc>
      </w:tr>
      <w:tr>
        <w:trPr/>
        <w:tc>
          <w:tcPr>
            <w:tcW w:w="7631" w:type="dxa"/>
            <w:tcBorders/>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cash used in operating activities</w:t>
            </w:r>
          </w:p>
        </w:tc>
        <w:tc>
          <w:tcPr>
            <w:tcW w:w="326" w:type="dxa"/>
            <w:tcBorders/>
            <w:vAlign w:val="center"/>
          </w:tcPr>
          <w:p>
            <w:pPr>
              <w:pStyle w:val="TableContents"/>
              <w:bidi w:val="0"/>
              <w:spacing w:before="0" w:after="1"/>
              <w:ind w:left="0" w:right="0" w:hanging="0"/>
              <w:jc w:val="left"/>
              <w:rPr/>
            </w:pPr>
            <w:r>
              <w:rPr/>
              <w:t>​</w:t>
            </w:r>
          </w:p>
        </w:tc>
        <w:tc>
          <w:tcPr>
            <w:tcW w:w="218"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12"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(5,073)</w:t>
            </w:r>
          </w:p>
        </w:tc>
        <w:tc>
          <w:tcPr>
            <w:tcW w:w="337" w:type="dxa"/>
            <w:tcBorders/>
            <w:vAlign w:val="center"/>
          </w:tcPr>
          <w:p>
            <w:pPr>
              <w:pStyle w:val="TableContents"/>
              <w:bidi w:val="0"/>
              <w:spacing w:before="0" w:after="1"/>
              <w:ind w:left="0" w:right="0" w:hanging="0"/>
              <w:jc w:val="left"/>
              <w:rPr/>
            </w:pPr>
            <w:r>
              <w:rPr/>
              <w:t>​</w:t>
            </w:r>
          </w:p>
        </w:tc>
        <w:tc>
          <w:tcPr>
            <w:tcW w:w="218"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63"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(5,364)</w:t>
            </w:r>
          </w:p>
        </w:tc>
      </w:tr>
      <w:tr>
        <w:trPr/>
        <w:tc>
          <w:tcPr>
            <w:tcW w:w="7631" w:type="dxa"/>
            <w:tcBorders/>
            <w:shd w:fill="CCEEFF" w:val="clear"/>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Cash flows from investing activities:</w:t>
            </w:r>
          </w:p>
        </w:tc>
        <w:tc>
          <w:tcPr>
            <w:tcW w:w="326" w:type="dxa"/>
            <w:tcBorders/>
            <w:shd w:fill="CCEEFF" w:val="clear"/>
            <w:vAlign w:val="center"/>
          </w:tcPr>
          <w:p>
            <w:pPr>
              <w:pStyle w:val="TableContents"/>
              <w:bidi w:val="0"/>
              <w:spacing w:before="0" w:after="1"/>
              <w:ind w:left="0" w:right="0" w:hanging="0"/>
              <w:jc w:val="left"/>
              <w:rPr/>
            </w:pPr>
            <w:r>
              <w:rPr/>
              <w:t>​</w:t>
            </w:r>
          </w:p>
        </w:tc>
        <w:tc>
          <w:tcPr>
            <w:tcW w:w="218" w:type="dxa"/>
            <w:tcBorders/>
            <w:shd w:fill="CCEEFF" w:val="clear"/>
            <w:vAlign w:val="center"/>
          </w:tcPr>
          <w:p>
            <w:pPr>
              <w:pStyle w:val="TableContents"/>
              <w:bidi w:val="0"/>
              <w:spacing w:before="0" w:after="1"/>
              <w:ind w:left="0" w:right="0" w:hanging="0"/>
              <w:jc w:val="left"/>
              <w:rPr/>
            </w:pPr>
            <w:r>
              <w:rPr/>
              <w:t> </w:t>
            </w:r>
          </w:p>
        </w:tc>
        <w:tc>
          <w:tcPr>
            <w:tcW w:w="712" w:type="dxa"/>
            <w:tcBorders/>
            <w:shd w:fill="CCEEFF" w:val="clear"/>
            <w:vAlign w:val="center"/>
          </w:tcPr>
          <w:p>
            <w:pPr>
              <w:pStyle w:val="TableContents"/>
              <w:bidi w:val="0"/>
              <w:spacing w:before="0" w:after="1"/>
              <w:ind w:left="0" w:right="0" w:hanging="0"/>
              <w:jc w:val="right"/>
              <w:rPr/>
            </w:pPr>
            <w:r>
              <w:rPr/>
              <w:t>  </w:t>
            </w:r>
          </w:p>
        </w:tc>
        <w:tc>
          <w:tcPr>
            <w:tcW w:w="337" w:type="dxa"/>
            <w:tcBorders/>
            <w:shd w:fill="CCEEFF" w:val="clear"/>
            <w:vAlign w:val="center"/>
          </w:tcPr>
          <w:p>
            <w:pPr>
              <w:pStyle w:val="TableContents"/>
              <w:bidi w:val="0"/>
              <w:spacing w:before="0" w:after="1"/>
              <w:ind w:left="0" w:right="0" w:hanging="0"/>
              <w:jc w:val="left"/>
              <w:rPr/>
            </w:pPr>
            <w:r>
              <w:rPr/>
              <w:t>​</w:t>
            </w:r>
          </w:p>
        </w:tc>
        <w:tc>
          <w:tcPr>
            <w:tcW w:w="218" w:type="dxa"/>
            <w:tcBorders/>
            <w:shd w:fill="CCEEFF" w:val="clear"/>
            <w:vAlign w:val="center"/>
          </w:tcPr>
          <w:p>
            <w:pPr>
              <w:pStyle w:val="TableContents"/>
              <w:bidi w:val="0"/>
              <w:spacing w:before="0" w:after="1"/>
              <w:ind w:left="0" w:right="0" w:hanging="0"/>
              <w:jc w:val="left"/>
              <w:rPr/>
            </w:pPr>
            <w:r>
              <w:rPr/>
              <w:t> </w:t>
            </w:r>
          </w:p>
        </w:tc>
        <w:tc>
          <w:tcPr>
            <w:tcW w:w="763" w:type="dxa"/>
            <w:tcBorders/>
            <w:shd w:fill="CCEEFF" w:val="clear"/>
            <w:vAlign w:val="center"/>
          </w:tcPr>
          <w:p>
            <w:pPr>
              <w:pStyle w:val="TableContents"/>
              <w:bidi w:val="0"/>
              <w:spacing w:before="0" w:after="1"/>
              <w:ind w:left="0" w:right="0" w:hanging="0"/>
              <w:jc w:val="right"/>
              <w:rPr/>
            </w:pPr>
            <w:r>
              <w:rPr/>
              <w:t>  </w:t>
            </w:r>
          </w:p>
        </w:tc>
      </w:tr>
      <w:tr>
        <w:trPr/>
        <w:tc>
          <w:tcPr>
            <w:tcW w:w="7631" w:type="dxa"/>
            <w:tcBorders/>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Purchases of property and equipment</w:t>
            </w:r>
          </w:p>
        </w:tc>
        <w:tc>
          <w:tcPr>
            <w:tcW w:w="326" w:type="dxa"/>
            <w:tcBorders/>
            <w:vAlign w:val="center"/>
          </w:tcPr>
          <w:p>
            <w:pPr>
              <w:pStyle w:val="TableContents"/>
              <w:bidi w:val="0"/>
              <w:spacing w:before="0" w:after="1"/>
              <w:ind w:left="0" w:right="0" w:hanging="0"/>
              <w:jc w:val="left"/>
              <w:rPr/>
            </w:pPr>
            <w:r>
              <w:rPr/>
              <w:t>​</w:t>
            </w:r>
          </w:p>
        </w:tc>
        <w:tc>
          <w:tcPr>
            <w:tcW w:w="218"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12"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w:t>
            </w:r>
          </w:p>
        </w:tc>
        <w:tc>
          <w:tcPr>
            <w:tcW w:w="337" w:type="dxa"/>
            <w:tcBorders/>
            <w:vAlign w:val="center"/>
          </w:tcPr>
          <w:p>
            <w:pPr>
              <w:pStyle w:val="TableContents"/>
              <w:bidi w:val="0"/>
              <w:spacing w:before="0" w:after="1"/>
              <w:ind w:left="0" w:right="0" w:hanging="0"/>
              <w:jc w:val="left"/>
              <w:rPr/>
            </w:pPr>
            <w:r>
              <w:rPr/>
              <w:t>​</w:t>
            </w:r>
          </w:p>
        </w:tc>
        <w:tc>
          <w:tcPr>
            <w:tcW w:w="218"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63"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r>
      <w:tr>
        <w:trPr/>
        <w:tc>
          <w:tcPr>
            <w:tcW w:w="7631" w:type="dxa"/>
            <w:tcBorders/>
            <w:shd w:fill="CCEEFF" w:val="clear"/>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cash used in investing activities</w:t>
            </w:r>
          </w:p>
        </w:tc>
        <w:tc>
          <w:tcPr>
            <w:tcW w:w="326" w:type="dxa"/>
            <w:tcBorders/>
            <w:shd w:fill="CCEEFF" w:val="clear"/>
            <w:vAlign w:val="center"/>
          </w:tcPr>
          <w:p>
            <w:pPr>
              <w:pStyle w:val="TableContents"/>
              <w:bidi w:val="0"/>
              <w:spacing w:before="0" w:after="1"/>
              <w:ind w:left="0" w:right="0" w:hanging="0"/>
              <w:jc w:val="left"/>
              <w:rPr/>
            </w:pPr>
            <w:r>
              <w:rPr/>
              <w:t>​</w:t>
            </w:r>
          </w:p>
        </w:tc>
        <w:tc>
          <w:tcPr>
            <w:tcW w:w="218"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12"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w:t>
            </w:r>
          </w:p>
        </w:tc>
        <w:tc>
          <w:tcPr>
            <w:tcW w:w="337" w:type="dxa"/>
            <w:tcBorders/>
            <w:shd w:fill="CCEEFF" w:val="clear"/>
            <w:vAlign w:val="center"/>
          </w:tcPr>
          <w:p>
            <w:pPr>
              <w:pStyle w:val="TableContents"/>
              <w:bidi w:val="0"/>
              <w:spacing w:before="0" w:after="1"/>
              <w:ind w:left="0" w:right="0" w:hanging="0"/>
              <w:jc w:val="left"/>
              <w:rPr/>
            </w:pPr>
            <w:r>
              <w:rPr/>
              <w:t>​</w:t>
            </w:r>
          </w:p>
        </w:tc>
        <w:tc>
          <w:tcPr>
            <w:tcW w:w="218"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63"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r>
      <w:tr>
        <w:trPr/>
        <w:tc>
          <w:tcPr>
            <w:tcW w:w="7631" w:type="dxa"/>
            <w:tcBorders/>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Cash flows from financing activities:</w:t>
            </w:r>
          </w:p>
        </w:tc>
        <w:tc>
          <w:tcPr>
            <w:tcW w:w="326" w:type="dxa"/>
            <w:tcBorders/>
            <w:vAlign w:val="center"/>
          </w:tcPr>
          <w:p>
            <w:pPr>
              <w:pStyle w:val="TableContents"/>
              <w:bidi w:val="0"/>
              <w:spacing w:before="0" w:after="1"/>
              <w:ind w:left="0" w:right="0" w:hanging="0"/>
              <w:jc w:val="left"/>
              <w:rPr/>
            </w:pPr>
            <w:r>
              <w:rPr/>
              <w:t>​</w:t>
            </w:r>
          </w:p>
        </w:tc>
        <w:tc>
          <w:tcPr>
            <w:tcW w:w="218" w:type="dxa"/>
            <w:tcBorders/>
            <w:vAlign w:val="center"/>
          </w:tcPr>
          <w:p>
            <w:pPr>
              <w:pStyle w:val="TableContents"/>
              <w:bidi w:val="0"/>
              <w:spacing w:before="0" w:after="1"/>
              <w:ind w:left="0" w:right="0" w:hanging="0"/>
              <w:jc w:val="left"/>
              <w:rPr/>
            </w:pPr>
            <w:r>
              <w:rPr/>
              <w:t> </w:t>
            </w:r>
          </w:p>
        </w:tc>
        <w:tc>
          <w:tcPr>
            <w:tcW w:w="712" w:type="dxa"/>
            <w:tcBorders/>
            <w:vAlign w:val="center"/>
          </w:tcPr>
          <w:p>
            <w:pPr>
              <w:pStyle w:val="TableContents"/>
              <w:bidi w:val="0"/>
              <w:spacing w:before="0" w:after="1"/>
              <w:ind w:left="0" w:right="0" w:hanging="0"/>
              <w:jc w:val="right"/>
              <w:rPr/>
            </w:pPr>
            <w:r>
              <w:rPr/>
              <w:t>  </w:t>
            </w:r>
          </w:p>
        </w:tc>
        <w:tc>
          <w:tcPr>
            <w:tcW w:w="337" w:type="dxa"/>
            <w:tcBorders/>
            <w:vAlign w:val="center"/>
          </w:tcPr>
          <w:p>
            <w:pPr>
              <w:pStyle w:val="TableContents"/>
              <w:bidi w:val="0"/>
              <w:spacing w:before="0" w:after="1"/>
              <w:ind w:left="0" w:right="0" w:hanging="0"/>
              <w:jc w:val="left"/>
              <w:rPr/>
            </w:pPr>
            <w:r>
              <w:rPr/>
              <w:t>​</w:t>
            </w:r>
          </w:p>
        </w:tc>
        <w:tc>
          <w:tcPr>
            <w:tcW w:w="218" w:type="dxa"/>
            <w:tcBorders/>
            <w:vAlign w:val="center"/>
          </w:tcPr>
          <w:p>
            <w:pPr>
              <w:pStyle w:val="TableContents"/>
              <w:bidi w:val="0"/>
              <w:spacing w:before="0" w:after="1"/>
              <w:ind w:left="0" w:right="0" w:hanging="0"/>
              <w:jc w:val="left"/>
              <w:rPr/>
            </w:pPr>
            <w:r>
              <w:rPr/>
              <w:t> </w:t>
            </w:r>
          </w:p>
        </w:tc>
        <w:tc>
          <w:tcPr>
            <w:tcW w:w="763" w:type="dxa"/>
            <w:tcBorders/>
            <w:vAlign w:val="center"/>
          </w:tcPr>
          <w:p>
            <w:pPr>
              <w:pStyle w:val="TableContents"/>
              <w:bidi w:val="0"/>
              <w:spacing w:before="0" w:after="1"/>
              <w:ind w:left="0" w:right="0" w:hanging="0"/>
              <w:jc w:val="right"/>
              <w:rPr/>
            </w:pPr>
            <w:r>
              <w:rPr/>
              <w:t>  </w:t>
            </w:r>
          </w:p>
        </w:tc>
      </w:tr>
      <w:tr>
        <w:trPr/>
        <w:tc>
          <w:tcPr>
            <w:tcW w:w="7631" w:type="dxa"/>
            <w:tcBorders/>
            <w:shd w:fill="CCEEFF" w:val="clear"/>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proceeds from an ATM offering</w:t>
            </w:r>
          </w:p>
        </w:tc>
        <w:tc>
          <w:tcPr>
            <w:tcW w:w="326" w:type="dxa"/>
            <w:tcBorders/>
            <w:shd w:fill="CCEEFF" w:val="clear"/>
            <w:vAlign w:val="center"/>
          </w:tcPr>
          <w:p>
            <w:pPr>
              <w:pStyle w:val="TableContents"/>
              <w:bidi w:val="0"/>
              <w:spacing w:before="0" w:after="1"/>
              <w:ind w:left="0" w:right="0" w:hanging="0"/>
              <w:jc w:val="left"/>
              <w:rPr/>
            </w:pPr>
            <w:r>
              <w:rPr/>
              <w:t>​</w:t>
            </w:r>
          </w:p>
        </w:tc>
        <w:tc>
          <w:tcPr>
            <w:tcW w:w="218" w:type="dxa"/>
            <w:tcBorders/>
            <w:shd w:fill="CCEEFF" w:val="clear"/>
            <w:vAlign w:val="center"/>
          </w:tcPr>
          <w:p>
            <w:pPr>
              <w:pStyle w:val="TableContents"/>
              <w:bidi w:val="0"/>
              <w:spacing w:before="0" w:after="1"/>
              <w:ind w:left="0" w:right="0" w:hanging="0"/>
              <w:jc w:val="left"/>
              <w:rPr/>
            </w:pPr>
            <w:r>
              <w:rPr/>
              <w:t> </w:t>
            </w:r>
          </w:p>
        </w:tc>
        <w:tc>
          <w:tcPr>
            <w:tcW w:w="71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47</w:t>
            </w:r>
          </w:p>
        </w:tc>
        <w:tc>
          <w:tcPr>
            <w:tcW w:w="337" w:type="dxa"/>
            <w:tcBorders/>
            <w:shd w:fill="CCEEFF" w:val="clear"/>
            <w:vAlign w:val="center"/>
          </w:tcPr>
          <w:p>
            <w:pPr>
              <w:pStyle w:val="TableContents"/>
              <w:bidi w:val="0"/>
              <w:spacing w:before="0" w:after="1"/>
              <w:ind w:left="0" w:right="0" w:hanging="0"/>
              <w:jc w:val="left"/>
              <w:rPr/>
            </w:pPr>
            <w:r>
              <w:rPr/>
              <w:t>​</w:t>
            </w:r>
          </w:p>
        </w:tc>
        <w:tc>
          <w:tcPr>
            <w:tcW w:w="218" w:type="dxa"/>
            <w:tcBorders/>
            <w:shd w:fill="CCEEFF" w:val="clear"/>
            <w:vAlign w:val="center"/>
          </w:tcPr>
          <w:p>
            <w:pPr>
              <w:pStyle w:val="TableContents"/>
              <w:bidi w:val="0"/>
              <w:spacing w:before="0" w:after="1"/>
              <w:ind w:left="0" w:right="0" w:hanging="0"/>
              <w:jc w:val="left"/>
              <w:rPr/>
            </w:pPr>
            <w:r>
              <w:rPr/>
              <w:t> </w:t>
            </w:r>
          </w:p>
        </w:tc>
        <w:tc>
          <w:tcPr>
            <w:tcW w:w="76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2,675</w:t>
            </w:r>
          </w:p>
        </w:tc>
      </w:tr>
      <w:tr>
        <w:trPr/>
        <w:tc>
          <w:tcPr>
            <w:tcW w:w="7631" w:type="dxa"/>
            <w:tcBorders/>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proceeds from a sale of common stock and warrant issuance</w:t>
            </w:r>
          </w:p>
        </w:tc>
        <w:tc>
          <w:tcPr>
            <w:tcW w:w="326" w:type="dxa"/>
            <w:tcBorders/>
            <w:vAlign w:val="center"/>
          </w:tcPr>
          <w:p>
            <w:pPr>
              <w:pStyle w:val="TableContents"/>
              <w:bidi w:val="0"/>
              <w:spacing w:before="0" w:after="1"/>
              <w:ind w:left="0" w:right="0" w:hanging="0"/>
              <w:jc w:val="left"/>
              <w:rPr/>
            </w:pPr>
            <w:r>
              <w:rPr/>
              <w:t>​</w:t>
            </w:r>
          </w:p>
        </w:tc>
        <w:tc>
          <w:tcPr>
            <w:tcW w:w="218" w:type="dxa"/>
            <w:tcBorders/>
            <w:vAlign w:val="center"/>
          </w:tcPr>
          <w:p>
            <w:pPr>
              <w:pStyle w:val="TableContents"/>
              <w:bidi w:val="0"/>
              <w:spacing w:before="0" w:after="1"/>
              <w:ind w:left="0" w:right="0" w:hanging="0"/>
              <w:jc w:val="left"/>
              <w:rPr/>
            </w:pPr>
            <w:r>
              <w:rPr/>
              <w:t> </w:t>
            </w:r>
          </w:p>
        </w:tc>
        <w:tc>
          <w:tcPr>
            <w:tcW w:w="712"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1,770</w:t>
            </w:r>
          </w:p>
        </w:tc>
        <w:tc>
          <w:tcPr>
            <w:tcW w:w="337" w:type="dxa"/>
            <w:tcBorders/>
            <w:vAlign w:val="center"/>
          </w:tcPr>
          <w:p>
            <w:pPr>
              <w:pStyle w:val="TableContents"/>
              <w:bidi w:val="0"/>
              <w:spacing w:before="0" w:after="1"/>
              <w:ind w:left="0" w:right="0" w:hanging="0"/>
              <w:jc w:val="left"/>
              <w:rPr/>
            </w:pPr>
            <w:r>
              <w:rPr/>
              <w:t>​</w:t>
            </w:r>
          </w:p>
        </w:tc>
        <w:tc>
          <w:tcPr>
            <w:tcW w:w="218" w:type="dxa"/>
            <w:tcBorders/>
            <w:vAlign w:val="center"/>
          </w:tcPr>
          <w:p>
            <w:pPr>
              <w:pStyle w:val="TableContents"/>
              <w:bidi w:val="0"/>
              <w:spacing w:before="0" w:after="1"/>
              <w:ind w:left="0" w:right="0" w:hanging="0"/>
              <w:jc w:val="left"/>
              <w:rPr/>
            </w:pPr>
            <w:r>
              <w:rPr/>
              <w:t> </w:t>
            </w:r>
          </w:p>
        </w:tc>
        <w:tc>
          <w:tcPr>
            <w:tcW w:w="763"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2,677</w:t>
            </w:r>
          </w:p>
        </w:tc>
      </w:tr>
      <w:tr>
        <w:trPr/>
        <w:tc>
          <w:tcPr>
            <w:tcW w:w="7631" w:type="dxa"/>
            <w:tcBorders/>
            <w:shd w:fill="CCEEFF" w:val="clear"/>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Proceeds from contributions to the ESPP</w:t>
            </w:r>
          </w:p>
        </w:tc>
        <w:tc>
          <w:tcPr>
            <w:tcW w:w="326" w:type="dxa"/>
            <w:tcBorders/>
            <w:shd w:fill="CCEEFF" w:val="clear"/>
            <w:vAlign w:val="center"/>
          </w:tcPr>
          <w:p>
            <w:pPr>
              <w:pStyle w:val="TableContents"/>
              <w:bidi w:val="0"/>
              <w:spacing w:before="0" w:after="1"/>
              <w:ind w:left="0" w:right="0" w:hanging="0"/>
              <w:jc w:val="left"/>
              <w:rPr/>
            </w:pPr>
            <w:r>
              <w:rPr/>
              <w:t>​</w:t>
            </w:r>
          </w:p>
        </w:tc>
        <w:tc>
          <w:tcPr>
            <w:tcW w:w="218"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12"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36</w:t>
            </w:r>
          </w:p>
        </w:tc>
        <w:tc>
          <w:tcPr>
            <w:tcW w:w="337" w:type="dxa"/>
            <w:tcBorders/>
            <w:shd w:fill="CCEEFF" w:val="clear"/>
            <w:vAlign w:val="center"/>
          </w:tcPr>
          <w:p>
            <w:pPr>
              <w:pStyle w:val="TableContents"/>
              <w:bidi w:val="0"/>
              <w:spacing w:before="0" w:after="1"/>
              <w:ind w:left="0" w:right="0" w:hanging="0"/>
              <w:jc w:val="left"/>
              <w:rPr/>
            </w:pPr>
            <w:r>
              <w:rPr/>
              <w:t>​</w:t>
            </w:r>
          </w:p>
        </w:tc>
        <w:tc>
          <w:tcPr>
            <w:tcW w:w="218"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63"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65</w:t>
            </w:r>
          </w:p>
        </w:tc>
      </w:tr>
      <w:tr>
        <w:trPr/>
        <w:tc>
          <w:tcPr>
            <w:tcW w:w="7631" w:type="dxa"/>
            <w:tcBorders/>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cash provided by financing activities</w:t>
            </w:r>
          </w:p>
        </w:tc>
        <w:tc>
          <w:tcPr>
            <w:tcW w:w="326" w:type="dxa"/>
            <w:tcBorders/>
            <w:vAlign w:val="center"/>
          </w:tcPr>
          <w:p>
            <w:pPr>
              <w:pStyle w:val="TableContents"/>
              <w:bidi w:val="0"/>
              <w:spacing w:before="0" w:after="1"/>
              <w:ind w:left="0" w:right="0" w:hanging="0"/>
              <w:jc w:val="left"/>
              <w:rPr/>
            </w:pPr>
            <w:r>
              <w:rPr/>
              <w:t>​</w:t>
            </w:r>
          </w:p>
        </w:tc>
        <w:tc>
          <w:tcPr>
            <w:tcW w:w="218"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12"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1,853</w:t>
            </w:r>
          </w:p>
        </w:tc>
        <w:tc>
          <w:tcPr>
            <w:tcW w:w="337" w:type="dxa"/>
            <w:tcBorders/>
            <w:vAlign w:val="center"/>
          </w:tcPr>
          <w:p>
            <w:pPr>
              <w:pStyle w:val="TableContents"/>
              <w:bidi w:val="0"/>
              <w:spacing w:before="0" w:after="1"/>
              <w:ind w:left="0" w:right="0" w:hanging="0"/>
              <w:jc w:val="left"/>
              <w:rPr/>
            </w:pPr>
            <w:r>
              <w:rPr/>
              <w:t>​</w:t>
            </w:r>
          </w:p>
        </w:tc>
        <w:tc>
          <w:tcPr>
            <w:tcW w:w="218"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63"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5,417</w:t>
            </w:r>
          </w:p>
        </w:tc>
      </w:tr>
      <w:tr>
        <w:trPr/>
        <w:tc>
          <w:tcPr>
            <w:tcW w:w="7631" w:type="dxa"/>
            <w:tcBorders/>
            <w:shd w:fill="CCEEFF" w:val="clear"/>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decrease in cash, cash equivalents and restricted cash</w:t>
            </w:r>
          </w:p>
        </w:tc>
        <w:tc>
          <w:tcPr>
            <w:tcW w:w="326" w:type="dxa"/>
            <w:tcBorders/>
            <w:shd w:fill="CCEEFF" w:val="clear"/>
            <w:vAlign w:val="center"/>
          </w:tcPr>
          <w:p>
            <w:pPr>
              <w:pStyle w:val="TableContents"/>
              <w:bidi w:val="0"/>
              <w:spacing w:before="0" w:after="1"/>
              <w:ind w:left="0" w:right="0" w:hanging="0"/>
              <w:jc w:val="left"/>
              <w:rPr/>
            </w:pPr>
            <w:r>
              <w:rPr/>
              <w:t>​</w:t>
            </w:r>
          </w:p>
        </w:tc>
        <w:tc>
          <w:tcPr>
            <w:tcW w:w="218" w:type="dxa"/>
            <w:tcBorders/>
            <w:shd w:fill="CCEEFF" w:val="clear"/>
            <w:vAlign w:val="center"/>
          </w:tcPr>
          <w:p>
            <w:pPr>
              <w:pStyle w:val="TableContents"/>
              <w:bidi w:val="0"/>
              <w:spacing w:before="0" w:after="1"/>
              <w:ind w:left="0" w:right="0" w:hanging="0"/>
              <w:jc w:val="left"/>
              <w:rPr/>
            </w:pPr>
            <w:r>
              <w:rPr/>
              <w:t> </w:t>
            </w:r>
          </w:p>
        </w:tc>
        <w:tc>
          <w:tcPr>
            <w:tcW w:w="71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(3,221)</w:t>
            </w:r>
          </w:p>
        </w:tc>
        <w:tc>
          <w:tcPr>
            <w:tcW w:w="337" w:type="dxa"/>
            <w:tcBorders/>
            <w:shd w:fill="CCEEFF" w:val="clear"/>
            <w:vAlign w:val="center"/>
          </w:tcPr>
          <w:p>
            <w:pPr>
              <w:pStyle w:val="TableContents"/>
              <w:bidi w:val="0"/>
              <w:spacing w:before="0" w:after="1"/>
              <w:ind w:left="0" w:right="0" w:hanging="0"/>
              <w:jc w:val="left"/>
              <w:rPr/>
            </w:pPr>
            <w:r>
              <w:rPr/>
              <w:t>​</w:t>
            </w:r>
          </w:p>
        </w:tc>
        <w:tc>
          <w:tcPr>
            <w:tcW w:w="218" w:type="dxa"/>
            <w:tcBorders/>
            <w:shd w:fill="CCEEFF" w:val="clear"/>
            <w:vAlign w:val="center"/>
          </w:tcPr>
          <w:p>
            <w:pPr>
              <w:pStyle w:val="TableContents"/>
              <w:bidi w:val="0"/>
              <w:spacing w:before="0" w:after="1"/>
              <w:ind w:left="0" w:right="0" w:hanging="0"/>
              <w:jc w:val="left"/>
              <w:rPr/>
            </w:pPr>
            <w:r>
              <w:rPr/>
              <w:t> </w:t>
            </w:r>
          </w:p>
        </w:tc>
        <w:tc>
          <w:tcPr>
            <w:tcW w:w="76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53</w:t>
            </w:r>
          </w:p>
        </w:tc>
      </w:tr>
      <w:tr>
        <w:trPr/>
        <w:tc>
          <w:tcPr>
            <w:tcW w:w="7631" w:type="dxa"/>
            <w:tcBorders/>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Cash, cash equivalents and restricted cash - beginning</w:t>
            </w:r>
          </w:p>
        </w:tc>
        <w:tc>
          <w:tcPr>
            <w:tcW w:w="326" w:type="dxa"/>
            <w:tcBorders/>
            <w:vAlign w:val="center"/>
          </w:tcPr>
          <w:p>
            <w:pPr>
              <w:pStyle w:val="TableContents"/>
              <w:bidi w:val="0"/>
              <w:spacing w:before="0" w:after="1"/>
              <w:ind w:left="0" w:right="0" w:hanging="0"/>
              <w:jc w:val="left"/>
              <w:rPr/>
            </w:pPr>
            <w:r>
              <w:rPr/>
              <w:t>​</w:t>
            </w:r>
          </w:p>
        </w:tc>
        <w:tc>
          <w:tcPr>
            <w:tcW w:w="218"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12"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13,936</w:t>
            </w:r>
          </w:p>
        </w:tc>
        <w:tc>
          <w:tcPr>
            <w:tcW w:w="337" w:type="dxa"/>
            <w:tcBorders/>
            <w:vAlign w:val="center"/>
          </w:tcPr>
          <w:p>
            <w:pPr>
              <w:pStyle w:val="TableContents"/>
              <w:bidi w:val="0"/>
              <w:spacing w:before="0" w:after="1"/>
              <w:ind w:left="0" w:right="0" w:hanging="0"/>
              <w:jc w:val="left"/>
              <w:rPr/>
            </w:pPr>
            <w:r>
              <w:rPr/>
              <w:t>​</w:t>
            </w:r>
          </w:p>
        </w:tc>
        <w:tc>
          <w:tcPr>
            <w:tcW w:w="218"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63"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26,287</w:t>
            </w:r>
          </w:p>
        </w:tc>
      </w:tr>
      <w:tr>
        <w:trPr/>
        <w:tc>
          <w:tcPr>
            <w:tcW w:w="7631" w:type="dxa"/>
            <w:tcBorders/>
            <w:shd w:fill="CCEEFF" w:val="clear"/>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Cash, cash equivalents and restricted cash - ending</w:t>
            </w:r>
          </w:p>
        </w:tc>
        <w:tc>
          <w:tcPr>
            <w:tcW w:w="326" w:type="dxa"/>
            <w:tcBorders/>
            <w:shd w:fill="CCEEFF" w:val="clear"/>
            <w:vAlign w:val="center"/>
          </w:tcPr>
          <w:p>
            <w:pPr>
              <w:pStyle w:val="TableContents"/>
              <w:bidi w:val="0"/>
              <w:spacing w:before="0" w:after="1"/>
              <w:ind w:left="0" w:right="0" w:hanging="0"/>
              <w:jc w:val="left"/>
              <w:rPr/>
            </w:pPr>
            <w:r>
              <w:rPr/>
              <w:t>​</w:t>
            </w:r>
          </w:p>
        </w:tc>
        <w:tc>
          <w:tcPr>
            <w:tcW w:w="218"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12"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10,715</w:t>
            </w:r>
          </w:p>
        </w:tc>
        <w:tc>
          <w:tcPr>
            <w:tcW w:w="337" w:type="dxa"/>
            <w:tcBorders/>
            <w:shd w:fill="CCEEFF" w:val="clear"/>
            <w:vAlign w:val="center"/>
          </w:tcPr>
          <w:p>
            <w:pPr>
              <w:pStyle w:val="TableContents"/>
              <w:bidi w:val="0"/>
              <w:spacing w:before="0" w:after="1"/>
              <w:ind w:left="0" w:right="0" w:hanging="0"/>
              <w:jc w:val="left"/>
              <w:rPr/>
            </w:pPr>
            <w:r>
              <w:rPr/>
              <w:t>​</w:t>
            </w:r>
          </w:p>
        </w:tc>
        <w:tc>
          <w:tcPr>
            <w:tcW w:w="218"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63"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26,340</w:t>
            </w:r>
          </w:p>
        </w:tc>
      </w:tr>
      <w:tr>
        <w:trPr/>
        <w:tc>
          <w:tcPr>
            <w:tcW w:w="7631" w:type="dxa"/>
            <w:tcBorders/>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Supplemental disclosure of non-cash investing and financing activities:</w:t>
            </w:r>
          </w:p>
        </w:tc>
        <w:tc>
          <w:tcPr>
            <w:tcW w:w="326" w:type="dxa"/>
            <w:tcBorders/>
            <w:vAlign w:val="center"/>
          </w:tcPr>
          <w:p>
            <w:pPr>
              <w:pStyle w:val="TableContents"/>
              <w:bidi w:val="0"/>
              <w:spacing w:before="0" w:after="1"/>
              <w:ind w:left="0" w:right="0" w:hanging="0"/>
              <w:jc w:val="left"/>
              <w:rPr/>
            </w:pPr>
            <w:r>
              <w:rPr/>
              <w:t>​</w:t>
            </w:r>
          </w:p>
        </w:tc>
        <w:tc>
          <w:tcPr>
            <w:tcW w:w="218" w:type="dxa"/>
            <w:tcBorders/>
            <w:vAlign w:val="center"/>
          </w:tcPr>
          <w:p>
            <w:pPr>
              <w:pStyle w:val="TableContents"/>
              <w:bidi w:val="0"/>
              <w:spacing w:before="0" w:after="1"/>
              <w:ind w:left="0" w:right="0" w:hanging="0"/>
              <w:jc w:val="left"/>
              <w:rPr/>
            </w:pPr>
            <w:r>
              <w:rPr/>
              <w:t> </w:t>
            </w:r>
          </w:p>
        </w:tc>
        <w:tc>
          <w:tcPr>
            <w:tcW w:w="712" w:type="dxa"/>
            <w:tcBorders/>
            <w:vAlign w:val="center"/>
          </w:tcPr>
          <w:p>
            <w:pPr>
              <w:pStyle w:val="TableContents"/>
              <w:bidi w:val="0"/>
              <w:spacing w:before="0" w:after="1"/>
              <w:ind w:left="0" w:right="0" w:hanging="0"/>
              <w:jc w:val="right"/>
              <w:rPr/>
            </w:pPr>
            <w:r>
              <w:rPr/>
              <w:t>  </w:t>
            </w:r>
          </w:p>
        </w:tc>
        <w:tc>
          <w:tcPr>
            <w:tcW w:w="337" w:type="dxa"/>
            <w:tcBorders/>
            <w:vAlign w:val="center"/>
          </w:tcPr>
          <w:p>
            <w:pPr>
              <w:pStyle w:val="TableContents"/>
              <w:bidi w:val="0"/>
              <w:spacing w:before="0" w:after="1"/>
              <w:ind w:left="0" w:right="0" w:hanging="0"/>
              <w:jc w:val="left"/>
              <w:rPr/>
            </w:pPr>
            <w:r>
              <w:rPr/>
              <w:t>​</w:t>
            </w:r>
          </w:p>
        </w:tc>
        <w:tc>
          <w:tcPr>
            <w:tcW w:w="218" w:type="dxa"/>
            <w:tcBorders/>
            <w:vAlign w:val="center"/>
          </w:tcPr>
          <w:p>
            <w:pPr>
              <w:pStyle w:val="TableContents"/>
              <w:bidi w:val="0"/>
              <w:spacing w:before="0" w:after="1"/>
              <w:ind w:left="0" w:right="0" w:hanging="0"/>
              <w:jc w:val="left"/>
              <w:rPr/>
            </w:pPr>
            <w:r>
              <w:rPr/>
              <w:t> </w:t>
            </w:r>
          </w:p>
        </w:tc>
        <w:tc>
          <w:tcPr>
            <w:tcW w:w="763" w:type="dxa"/>
            <w:tcBorders/>
            <w:vAlign w:val="center"/>
          </w:tcPr>
          <w:p>
            <w:pPr>
              <w:pStyle w:val="TableContents"/>
              <w:bidi w:val="0"/>
              <w:spacing w:before="0" w:after="1"/>
              <w:ind w:left="0" w:right="0" w:hanging="0"/>
              <w:jc w:val="right"/>
              <w:rPr/>
            </w:pPr>
            <w:r>
              <w:rPr/>
              <w:t>  </w:t>
            </w:r>
          </w:p>
        </w:tc>
      </w:tr>
      <w:tr>
        <w:trPr/>
        <w:tc>
          <w:tcPr>
            <w:tcW w:w="7631" w:type="dxa"/>
            <w:tcBorders/>
            <w:shd w:fill="CCEEFF" w:val="clear"/>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Decrease in operating lease right-of-use assets and operating lease liabilities from incremental borrowing rate change</w:t>
            </w:r>
          </w:p>
        </w:tc>
        <w:tc>
          <w:tcPr>
            <w:tcW w:w="326" w:type="dxa"/>
            <w:tcBorders/>
            <w:shd w:fill="CCEEFF" w:val="clear"/>
            <w:vAlign w:val="center"/>
          </w:tcPr>
          <w:p>
            <w:pPr>
              <w:pStyle w:val="TableContents"/>
              <w:bidi w:val="0"/>
              <w:spacing w:before="0" w:after="1"/>
              <w:ind w:left="0" w:right="0" w:hanging="0"/>
              <w:jc w:val="left"/>
              <w:rPr/>
            </w:pPr>
            <w:r>
              <w:rPr/>
              <w:t>​</w:t>
            </w:r>
          </w:p>
        </w:tc>
        <w:tc>
          <w:tcPr>
            <w:tcW w:w="218"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12"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51</w:t>
            </w:r>
          </w:p>
        </w:tc>
        <w:tc>
          <w:tcPr>
            <w:tcW w:w="337" w:type="dxa"/>
            <w:tcBorders/>
            <w:shd w:fill="CCEEFF" w:val="clear"/>
            <w:vAlign w:val="center"/>
          </w:tcPr>
          <w:p>
            <w:pPr>
              <w:pStyle w:val="TableContents"/>
              <w:bidi w:val="0"/>
              <w:spacing w:before="0" w:after="1"/>
              <w:ind w:left="0" w:right="0" w:hanging="0"/>
              <w:jc w:val="left"/>
              <w:rPr/>
            </w:pPr>
            <w:r>
              <w:rPr/>
              <w:t>​</w:t>
            </w:r>
          </w:p>
        </w:tc>
        <w:tc>
          <w:tcPr>
            <w:tcW w:w="218"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63" w:type="dxa"/>
            <w:tcBorders>
              <w:bottom w:val="double" w:sz="6" w:space="0" w:color="000000"/>
            </w:tcBorders>
            <w:shd w:fill="CCEEFF" w:val="clear"/>
            <w:tcMar>
              <w:bottom w:w="28" w:type="dxa"/>
            </w:tcMar>
            <w:vAlign w:val="center"/>
          </w:tcPr>
          <w:p>
            <w:pPr>
              <w:pStyle w:val="TableContents"/>
              <w:bidi w:val="0"/>
              <w:spacing w:before="0" w:after="1"/>
              <w:ind w:left="0" w:right="60" w:hanging="0"/>
              <w:jc w:val="right"/>
              <w:rPr/>
            </w:pPr>
            <w:r>
              <w:rPr/>
              <w:t>—</w:t>
            </w:r>
          </w:p>
        </w:tc>
      </w:tr>
    </w:tbl>
    <w:p>
      <w:pPr>
        <w:pStyle w:val="TextBody"/>
        <w:bidi w:val="0"/>
        <w:spacing w:before="0" w:after="240"/>
        <w:ind w:left="0" w:right="0" w:hanging="0"/>
        <w:jc w:val="center"/>
        <w:rPr/>
      </w:pPr>
      <w:r>
        <w:rPr/>
        <w:t>​</w:t>
      </w:r>
    </w:p>
    <w:p>
      <w:pPr>
        <w:pStyle w:val="TextBody"/>
        <w:bidi w:val="0"/>
        <w:spacing w:before="0" w:after="240"/>
        <w:ind w:left="0" w:right="0" w:hanging="0"/>
        <w:jc w:val="center"/>
        <w:rPr>
          <w:rFonts w:ascii="Times New Roman;Times;serif" w:hAnsi="Times New Roman;Times;serif"/>
          <w:sz w:val="20"/>
        </w:rPr>
      </w:pPr>
      <w:r>
        <w:rPr>
          <w:rFonts w:ascii="Times New Roman;Times;serif" w:hAnsi="Times New Roman;Times;serif"/>
          <w:sz w:val="20"/>
        </w:rPr>
        <w:t>The accompanying notes are an integral part of these condensed financial statements.</w:t>
      </w:r>
    </w:p>
    <w:p>
      <w:pPr>
        <w:pStyle w:val="TextBody"/>
        <w:bidi w:val="0"/>
        <w:spacing w:before="0" w:after="0"/>
        <w:ind w:left="0" w:right="0" w:hanging="0"/>
        <w:jc w:val="left"/>
        <w:rPr/>
      </w:pPr>
      <w:r>
        <w:rPr/>
        <w:t>​</w:t>
      </w:r>
    </w:p>
    <w:p>
      <w:pPr>
        <w:pStyle w:val="TextBody"/>
        <w:bidi w:val="0"/>
        <w:spacing w:before="480" w:after="0"/>
        <w:ind w:left="0" w:right="0" w:hanging="0"/>
        <w:jc w:val="right"/>
        <w:rPr>
          <w:rFonts w:ascii="Times New Roman;Times;serif" w:hAnsi="Times New Roman;Times;serif"/>
          <w:sz w:val="20"/>
        </w:rPr>
      </w:pPr>
      <w:r>
        <w:rPr>
          <w:rFonts w:ascii="Times New Roman;Times;serif" w:hAnsi="Times New Roman;Times;serif"/>
          <w:sz w:val="20"/>
        </w:rPr>
        <w:t>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Note 1 - Business Organization, Nature of Operations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Description of Business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Energous Corporation (the “Company”) has developed a wireless power networks technology (“WPNT”), consisting of semiconductor chipsets, software controls, hardware designs and antennas, that enable radio frequency (“RF”) based charging for Internet of Things (“IoT”) devices. The WPNT has a broad spectrum of capabilities to enable the next generation of wireless power networks, delivering power and data in a seamless device portfolio. This includes near field and at-a-distance wireless charging with multiple power levels at various distances.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Company believes its technology is innovative in its approach, in that the Company is developing solutions that charge IoT devices using RF technology. To date, the Company has developed and released to production multiple transmitters and receivers, including prototypes and partner production designs. The transmitters vary based on form factor and power specifications and frequencies, while the receivers are designed to support a myriad of wireless charging applications including:</w:t>
      </w:r>
    </w:p>
    <w:tbl>
      <w:tblPr>
        <w:tblW w:w="5552" w:type="dxa"/>
        <w:jc w:val="left"/>
        <w:tblInd w:w="0" w:type="dxa"/>
        <w:tblLayout w:type="fixed"/>
        <w:tblCellMar>
          <w:top w:w="0" w:type="dxa"/>
          <w:left w:w="0" w:type="dxa"/>
          <w:bottom w:w="0" w:type="dxa"/>
          <w:right w:w="0" w:type="dxa"/>
        </w:tblCellMar>
      </w:tblPr>
      <w:tblGrid>
        <w:gridCol w:w="2056"/>
        <w:gridCol w:w="3496"/>
      </w:tblGrid>
      <w:tr>
        <w:trPr/>
        <w:tc>
          <w:tcPr>
            <w:tcW w:w="2056" w:type="dxa"/>
            <w:tcBorders/>
            <w:vAlign w:val="center"/>
          </w:tcPr>
          <w:p>
            <w:pPr>
              <w:pStyle w:val="TableContents"/>
              <w:bidi w:val="0"/>
              <w:spacing w:before="0" w:after="0"/>
              <w:ind w:left="0" w:right="0" w:hanging="0"/>
              <w:jc w:val="left"/>
              <w:rPr/>
            </w:pPr>
            <w:r>
              <w:rPr/>
              <w:t>​</w:t>
            </w:r>
          </w:p>
        </w:tc>
        <w:tc>
          <w:tcPr>
            <w:tcW w:w="3496" w:type="dxa"/>
            <w:tcBorders/>
            <w:vAlign w:val="center"/>
          </w:tcPr>
          <w:p>
            <w:pPr>
              <w:pStyle w:val="TableContents"/>
              <w:bidi w:val="0"/>
              <w:spacing w:before="0" w:after="0"/>
              <w:ind w:left="0" w:right="0" w:hanging="0"/>
              <w:jc w:val="left"/>
              <w:rPr/>
            </w:pPr>
            <w:r>
              <w:rPr/>
              <w:t>​</w:t>
            </w:r>
          </w:p>
        </w:tc>
      </w:tr>
      <w:tr>
        <w:trPr/>
        <w:tc>
          <w:tcPr>
            <w:tcW w:w="2056" w:type="dxa"/>
            <w:tcBorders>
              <w:top w:val="single" w:sz="2" w:space="0" w:color="000000"/>
              <w:left w:val="single" w:sz="2" w:space="0" w:color="000000"/>
              <w:bottom w:val="single" w:sz="2" w:space="0" w:color="000000"/>
              <w:right w:val="single" w:sz="2" w:space="0" w:color="000000"/>
            </w:tcBorders>
            <w:tcMar>
              <w:top w:w="28" w:type="dxa"/>
              <w:left w:w="110" w:type="dxa"/>
              <w:bottom w:w="28" w:type="dxa"/>
              <w:right w:w="110"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Device Type</w:t>
            </w:r>
          </w:p>
        </w:tc>
        <w:tc>
          <w:tcPr>
            <w:tcW w:w="3496" w:type="dxa"/>
            <w:tcBorders>
              <w:top w:val="single" w:sz="2" w:space="0" w:color="000000"/>
              <w:left w:val="single" w:sz="2" w:space="0" w:color="000000"/>
              <w:bottom w:val="single" w:sz="2" w:space="0" w:color="000000"/>
              <w:right w:val="single" w:sz="2" w:space="0" w:color="000000"/>
            </w:tcBorders>
            <w:tcMar>
              <w:top w:w="28" w:type="dxa"/>
              <w:left w:w="110" w:type="dxa"/>
              <w:bottom w:w="28" w:type="dxa"/>
              <w:right w:w="110"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Application</w:t>
            </w:r>
          </w:p>
        </w:tc>
      </w:tr>
      <w:tr>
        <w:trPr/>
        <w:tc>
          <w:tcPr>
            <w:tcW w:w="2056" w:type="dxa"/>
            <w:tcBorders>
              <w:top w:val="single" w:sz="2" w:space="0" w:color="000000"/>
              <w:left w:val="single" w:sz="2" w:space="0" w:color="000000"/>
              <w:bottom w:val="single" w:sz="2" w:space="0" w:color="000000"/>
              <w:right w:val="single" w:sz="2" w:space="0" w:color="000000"/>
            </w:tcBorders>
            <w:tcMar>
              <w:top w:w="28" w:type="dxa"/>
              <w:left w:w="110" w:type="dxa"/>
              <w:bottom w:w="28" w:type="dxa"/>
              <w:right w:w="11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RF Tags </w:t>
            </w:r>
          </w:p>
        </w:tc>
        <w:tc>
          <w:tcPr>
            <w:tcW w:w="3496" w:type="dxa"/>
            <w:tcBorders>
              <w:top w:val="single" w:sz="2" w:space="0" w:color="000000"/>
              <w:left w:val="single" w:sz="2" w:space="0" w:color="000000"/>
              <w:bottom w:val="single" w:sz="2" w:space="0" w:color="000000"/>
              <w:right w:val="single" w:sz="2" w:space="0" w:color="000000"/>
            </w:tcBorders>
            <w:tcMar>
              <w:top w:w="28" w:type="dxa"/>
              <w:left w:w="110" w:type="dxa"/>
              <w:bottom w:w="28" w:type="dxa"/>
              <w:right w:w="11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Cold Chain, Asset Tracking, Medical IoT</w:t>
            </w:r>
          </w:p>
        </w:tc>
      </w:tr>
      <w:tr>
        <w:trPr/>
        <w:tc>
          <w:tcPr>
            <w:tcW w:w="2056" w:type="dxa"/>
            <w:tcBorders>
              <w:top w:val="single" w:sz="2" w:space="0" w:color="000000"/>
              <w:left w:val="single" w:sz="2" w:space="0" w:color="000000"/>
              <w:bottom w:val="single" w:sz="2" w:space="0" w:color="000000"/>
              <w:right w:val="single" w:sz="2" w:space="0" w:color="000000"/>
            </w:tcBorders>
            <w:tcMar>
              <w:top w:w="28" w:type="dxa"/>
              <w:left w:w="110" w:type="dxa"/>
              <w:bottom w:w="28" w:type="dxa"/>
              <w:right w:w="11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IoT Sensors </w:t>
            </w:r>
          </w:p>
        </w:tc>
        <w:tc>
          <w:tcPr>
            <w:tcW w:w="3496" w:type="dxa"/>
            <w:tcBorders>
              <w:top w:val="single" w:sz="2" w:space="0" w:color="000000"/>
              <w:left w:val="single" w:sz="2" w:space="0" w:color="000000"/>
              <w:bottom w:val="single" w:sz="2" w:space="0" w:color="000000"/>
              <w:right w:val="single" w:sz="2" w:space="0" w:color="000000"/>
            </w:tcBorders>
            <w:tcMar>
              <w:top w:w="28" w:type="dxa"/>
              <w:left w:w="110" w:type="dxa"/>
              <w:bottom w:w="28" w:type="dxa"/>
              <w:right w:w="11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Cold Chain, Logistics, Asset Tracking </w:t>
            </w:r>
          </w:p>
        </w:tc>
      </w:tr>
      <w:tr>
        <w:trPr/>
        <w:tc>
          <w:tcPr>
            <w:tcW w:w="2056" w:type="dxa"/>
            <w:tcBorders>
              <w:top w:val="single" w:sz="2" w:space="0" w:color="000000"/>
              <w:left w:val="single" w:sz="2" w:space="0" w:color="000000"/>
              <w:bottom w:val="single" w:sz="2" w:space="0" w:color="000000"/>
              <w:right w:val="single" w:sz="2" w:space="0" w:color="000000"/>
            </w:tcBorders>
            <w:tcMar>
              <w:top w:w="28" w:type="dxa"/>
              <w:left w:w="110" w:type="dxa"/>
              <w:bottom w:w="28" w:type="dxa"/>
              <w:right w:w="11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Electronic Shelf Labels </w:t>
            </w:r>
          </w:p>
        </w:tc>
        <w:tc>
          <w:tcPr>
            <w:tcW w:w="3496" w:type="dxa"/>
            <w:tcBorders>
              <w:top w:val="single" w:sz="2" w:space="0" w:color="000000"/>
              <w:left w:val="single" w:sz="2" w:space="0" w:color="000000"/>
              <w:bottom w:val="single" w:sz="2" w:space="0" w:color="000000"/>
              <w:right w:val="single" w:sz="2" w:space="0" w:color="000000"/>
            </w:tcBorders>
            <w:tcMar>
              <w:top w:w="28" w:type="dxa"/>
              <w:left w:w="110" w:type="dxa"/>
              <w:bottom w:w="28" w:type="dxa"/>
              <w:right w:w="11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Retail and Industrial IoT</w:t>
            </w:r>
          </w:p>
        </w:tc>
      </w:tr>
    </w:tbl>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first end product featuring the Company’s technology entered the market in 2019. The Company started shipping its first at-a-distance wireless PowerBridges for commercial IoT applications in the fourth quarter of 2021 and expects additional wireless power enabled products to be released as the Company’s business moves forward.</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Reverse Stock Split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On June 14, 2023, at the Company’s 2023 annual meeting of stockholders, the Company’s stockholders approved a proposal to effect a reverse stock split of the Company’s common stock by a ratio not to exceed 1-for-20.</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On August 15, 2023, the Company announced that its Board of Directors had determined to set the reverse stock split ratio at 1-for-20 and that the Company’s common stock would begin trading at the split-adjusted price beginning August 16, 2023. Upon effectiveness of the reverse stock split, every twenty shares of issued and outstanding common stock held were converted into one share of common stock. No fractional shares were distributed as a result of the reverse stock split and stockholders were entitled to a cash payment in lieu of fractional shares. Additionally, the par value of the Company’s common stock did not change.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All information presented herein, unless otherwise indicated herein, reflects the 1-for-20 reverse stock split of the Company’s outstanding shares of common stock, and unless otherwise indicated, all such amounts and corresponding conversion price or exercise price data set forth herein have been adjusted to give effect to such reverse stock split.</w:t>
      </w:r>
    </w:p>
    <w:p>
      <w:pPr>
        <w:pStyle w:val="TextBody"/>
        <w:bidi w:val="0"/>
        <w:spacing w:before="0" w:after="0"/>
        <w:ind w:left="0" w:right="0" w:hanging="0"/>
        <w:jc w:val="left"/>
        <w:rPr/>
      </w:pPr>
      <w:r>
        <w:rPr/>
        <w:t>​</w:t>
      </w:r>
    </w:p>
    <w:p>
      <w:pPr>
        <w:pStyle w:val="TextBody"/>
        <w:bidi w:val="0"/>
        <w:spacing w:before="480" w:after="0"/>
        <w:ind w:left="0" w:right="0" w:hanging="0"/>
        <w:jc w:val="right"/>
        <w:rPr>
          <w:rFonts w:ascii="Times New Roman;Times;serif" w:hAnsi="Times New Roman;Times;serif"/>
          <w:sz w:val="20"/>
        </w:rPr>
      </w:pPr>
      <w:r>
        <w:rPr>
          <w:rFonts w:ascii="Times New Roman;Times;serif" w:hAnsi="Times New Roman;Times;serif"/>
          <w:sz w:val="20"/>
        </w:rPr>
        <w:t>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Note 2 – Liquidity and Management Plans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During the three months ended March 31, 2024 and 2023, the Company recorded revenue of $0.1 million and $0.1 million, respectively. During the three months ended March 31, 2024 and 2023, the Company recorded net losses of $6.6 million and $6.7 million, respectively. Net cash used in operating activities was $5.1 million and $5.4 million for the three months ended March 31, 2024 and 2023, respectively. However, the Company is currently meeting its liquidity requirements through the proceeds of securities offerings that raised net proceeds of $27.0 million during 2021, $0.7 million during 2022, $6.9 million during 2023 and $1.8 million during the first quarter of 2024.</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As of March 31, 2024, the Company had cash and cash equivalents of $10.7 million. The Company expects that cash and cash equivalents as of March 31, 2024, together with additional anticipated proceeds from the ATM sales agreement during 2024, continued cost and expense reductions and collections generated by anticipated revenues, will be sufficient to fund the Company’s operations through May 2025.</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Research and development of new technologies is by its nature unpredictable. Although the Company intends to continue its research and development activities and transition to commercial production, there can be no assurance that its available resources and revenue generated from its business operations will be sufficient to sustain its operations. Accordingly, the Company expects to pursue additional financing, which could include offerings of equity or debt securities, bank financings, commercial agreements with customers or strategic partners, and other alternatives, depending upon market conditions. There is no assurance that such financing will be available on terms that the Company would find acceptable, or at all. If the Company is unsuccessful in implementing this plan, the Company will be required to make further cost and expense reductions or modifications to its on-going and strategic plans.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market for products using the Company’s technology is broad and evolving, but remains nascent and unproven, so the Company’s success is dependent upon many factors, including customer acceptance of its existing products, technical feasibility of future products, regulatory approvals, the development of complementary technologies, competition and global market fluctuations.</w:t>
      </w:r>
    </w:p>
    <w:p>
      <w:pPr>
        <w:pStyle w:val="TextBody"/>
        <w:bidi w:val="0"/>
        <w:spacing w:before="0" w:after="24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Note 3 – Summary of Significant Accounting Policies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Basis of Presentation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accompanying unaudited condensed financial statements have been prepared in accordance with accounting principles generally accepted in the United States of America (“US GAAP”), and pursuant to the accounting and disclosure rules and regulations of the U.S. Securities and Exchange Commission (the “SEC”). Certain information and note disclosures have been condensed or omitted pursuant to such rules and regulations. The unaudited condensed financial statements have been prepared on the same basis as the annual financial statements and, in the opinion of management, reflect all adjustments, which include only normal recurring adjustments, necessary for a fair presentation of the period presented. The results of operations for the three months ended March 31, 2024 are not necessarily indicative of the results to be expected for the year ending December 31, 2024 or for other future periods.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These unaudited condensed interim financial statements should be read in conjunction with the audited financial statements and notes thereto for the fiscal year ended December 31, 2023 included in the Company’s Annual Report on Form 10-K for the fiscal year ended December 31, 2023, filed with the SEC on March 28, 2024. The accounting policies used in preparing these unaudited condensed interim financial statements are consistent with those described in the Company’s December 31, 2023 audited financial statements</w:t>
      </w:r>
      <w:r>
        <w:rPr>
          <w:rFonts w:ascii="Times New Roman;Times;serif" w:hAnsi="Times New Roman;Times;serif"/>
          <w:i/>
          <w:sz w:val="20"/>
        </w:rPr>
        <w:t>.</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Reclassifications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Certain reclassifications have been made to the fiscal year 2023 condensed balance sheet to conform to the fiscal year 2024 presentation. The reclassifications had no impact on total assets, total liabilities, or stockholders’ equity.</w:t>
      </w:r>
    </w:p>
    <w:p>
      <w:pPr>
        <w:pStyle w:val="TextBody"/>
        <w:bidi w:val="0"/>
        <w:spacing w:before="480" w:after="0"/>
        <w:ind w:left="0" w:right="0" w:hanging="0"/>
        <w:jc w:val="right"/>
        <w:rPr>
          <w:rFonts w:ascii="Times New Roman;Times;serif" w:hAnsi="Times New Roman;Times;serif"/>
          <w:sz w:val="20"/>
        </w:rPr>
      </w:pPr>
      <w:r>
        <w:rPr>
          <w:rFonts w:ascii="Times New Roman;Times;serif" w:hAnsi="Times New Roman;Times;serif"/>
          <w:sz w:val="20"/>
        </w:rPr>
        <w:t>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Note 3 – Summary of Significant Accounting Policies, continued</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Use of Estimates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preparation of financial statements in conformity with US GAAP requires management to make estimates and assumptions that affect the reported amounts of assets and liabilities and the disclosure of contingent liabilities at the date of the financial statements as well as the reported expenses during the reporting periods.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Company’s significant estimates and assumptions include the valuation of stock-based compensation instruments, recognition of revenue, inventory valuation, fair value of warrant liabilities and the valuation allowance on deferred tax assets. Some of these judgments can be subjective and complex, and, consequently, actual results may differ from these estimates. Although the Company believes that its estimates and assumptions are reasonable, they are based upon information available at the time the estimates and assumptions were made. Actual results could differ from those estimates.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Cash, Cash Equivalents and Restricted Cash</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Company considers all short-term, highly liquid investments with an original maturity at the date of purchase of three months or less to be cash equivalents. The Company maintains cash balances that may be uninsured or in deposit accounts that exceed Federal Deposit Insurance Corporation limits. The Company maintains its cash deposits with major financial institutions. The Company reports restricted cash on its balance sheet to disclose the amount reserved for a specific purpose aside from ordinary business operations. The Company has restricted cash as collateral for the Company’s corporate credit card program. As of March 31, 2024 and December 31, 2023, the carrying value of restricted cash was $0.1 million and $0.1 million, respectively.</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Warrants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Company accounts for warrants as either equity-classified or liability-classified instruments based on an assessment of the warrant’s specific terms and applicable authoritative guidance in Financial Accounting Standards Board (“FASB”) Accounting Standards Codification (“ASC”) 480, “Distinguishing Liabilities from Equity” (“ASC 480”), and ASC 815, “Derivatives and Hedging” (“ASC 815”). The assessment considers whether the warrants are freestanding financial instruments pursuant to ASC 480, meet the definition of a liability pursuant to ASC 480, and whether the warrants meet all of the requirements for equity classification under ASC 815, including whether the warrants are indexed to the Company’s common stock, among other conditions for equity classification. This assessment, which requires the use of professional judgment, is conducted at the time of warrant issuance and as of each subsequent quarterly period end date while the warrants are outstanding.</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For issued or modified warrants that meet all of the criteria for equity classification, the warrants are required to be recorded as a component of additional paid-in capital at the time of issuance. For issued or modified warrants that do not meet all the criteria for equity classification, the warrants are required to be recorded as a liability at their initial fair value on the date of issuance, and each balance sheet date thereafter. Changes in the estimated fair value of the warrants are recognized as a non-cash gain or loss on the statements of operations. The fair value of the warrants is estimated using an appropriate valuation model. Such warrant classification is also subject to re-evaluation at each reporting period.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Offering costs associated with warrants classified as liabilities are expensed as incurred and are presented as offering cost related to warrant liability in the statement of operations. Offering costs associated with the sale of warrants classified as equity are charged against the proceeds received.</w:t>
      </w:r>
    </w:p>
    <w:p>
      <w:pPr>
        <w:pStyle w:val="TextBody"/>
        <w:bidi w:val="0"/>
        <w:spacing w:before="0" w:after="0"/>
        <w:ind w:left="0" w:right="0" w:hanging="0"/>
        <w:jc w:val="left"/>
        <w:rPr/>
      </w:pPr>
      <w:r>
        <w:rPr/>
        <w:t>​</w:t>
      </w:r>
    </w:p>
    <w:p>
      <w:pPr>
        <w:pStyle w:val="TextBody"/>
        <w:bidi w:val="0"/>
        <w:spacing w:before="480" w:after="0"/>
        <w:ind w:left="0" w:right="0" w:hanging="0"/>
        <w:jc w:val="right"/>
        <w:rPr>
          <w:rFonts w:ascii="Times New Roman;Times;serif" w:hAnsi="Times New Roman;Times;serif"/>
          <w:sz w:val="20"/>
        </w:rPr>
      </w:pPr>
      <w:r>
        <w:rPr>
          <w:rFonts w:ascii="Times New Roman;Times;serif" w:hAnsi="Times New Roman;Times;serif"/>
          <w:sz w:val="20"/>
        </w:rPr>
        <w:t>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Note 3 – Summary of Significant Accounting Policies, continued</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Fair Value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Company follows ASC 820, “Fair Value Measurements” (“ASC 820”), which establishes a common definition of fair value to be applied when US GAAP requires the use of fair value, establishes a framework for measuring fair value, and requires certain disclosure about such fair value measurements.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ASC 820 establishes a hierarchy for inputs used in measuring fair value that maximizes the use of observable inputs and minimizes the use of unobservable inputs by requiring that observable inputs be used when available. Observable inputs are inputs that market participants would use in pricing the asset or liability based on market data obtained from sources independent of the Company. Unobservable inputs are inputs that reflect the Company’s assumptions about what market participants would use in pricing the asset or liability based on the best information available in the circumstances. The hierarchy is broken down into three levels based on the reliability of inputs as follows:</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Level 1: Observable inputs such as quoted prices in active markets for identical assets or liabilities to which the Company has access at a measurement date.</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Level 2: Observable inputs other than Level 1 quoted prices that are observable for the asset or liability, either directly or indirectly; these include quoted prices for similar assets or liabilities in an active market, quoted prices for identical assets and liabilities in markets that are not active, or other inputs that are observable or can be corroborated by observable market data for substantially the full term of the assets or liabilities.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Level 3: Unobservable inputs for which little or no market data exists and for which the Company must develop its own assumptions regarding the assumptions that market participants would use in pricing the asset or liability, including assumptions regarding risk.</w:t>
            </w:r>
          </w:p>
        </w:tc>
      </w:tr>
    </w:tbl>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Because of the uncertainties inherent in the valuation of assets or liabilities for which there are no observable inputs, those estimated fair values may differ significantly from the values that may have been used had a ready market for the assets or liabilities existed.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carrying amounts of the Company’s financial assets and liabilities, such as cash, cash equivalents, prepaid expenses and other current assets, and accounts payable and accrued expenses, are an approximate of their fair values because of the short maturity of these instruments. The Company’s warrant liability recognized at fair value on a recurring basis is a level 3 measurement (see Note 8 – Fair Value Measurement).</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Revenue Recognition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Company follows Accounting Standards Codification (“ASC”) 606, “Revenue from Contracts with Customers” (“Topic 606”).</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In accordance with Topic 606, the Company recognizes revenue using the following five-step approach:</w:t>
      </w:r>
    </w:p>
    <w:tbl>
      <w:tblPr>
        <w:tblW w:w="3546" w:type="dxa"/>
        <w:jc w:val="left"/>
        <w:tblInd w:w="0" w:type="dxa"/>
        <w:tblLayout w:type="fixed"/>
        <w:tblCellMar>
          <w:top w:w="28" w:type="dxa"/>
          <w:left w:w="28" w:type="dxa"/>
          <w:bottom w:w="28" w:type="dxa"/>
          <w:right w:w="28" w:type="dxa"/>
        </w:tblCellMar>
      </w:tblPr>
      <w:tblGrid>
        <w:gridCol w:w="124"/>
        <w:gridCol w:w="256"/>
        <w:gridCol w:w="316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316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Identify the contract with a customer.</w:t>
            </w:r>
          </w:p>
        </w:tc>
      </w:tr>
    </w:tbl>
    <w:tbl>
      <w:tblPr>
        <w:tblW w:w="4761" w:type="dxa"/>
        <w:jc w:val="left"/>
        <w:tblInd w:w="0" w:type="dxa"/>
        <w:tblLayout w:type="fixed"/>
        <w:tblCellMar>
          <w:top w:w="28" w:type="dxa"/>
          <w:left w:w="28" w:type="dxa"/>
          <w:bottom w:w="28" w:type="dxa"/>
          <w:right w:w="28" w:type="dxa"/>
        </w:tblCellMar>
      </w:tblPr>
      <w:tblGrid>
        <w:gridCol w:w="124"/>
        <w:gridCol w:w="256"/>
        <w:gridCol w:w="438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438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Identify the performance obligations in the contract.</w:t>
            </w:r>
          </w:p>
        </w:tc>
      </w:tr>
    </w:tbl>
    <w:tbl>
      <w:tblPr>
        <w:tblW w:w="4326" w:type="dxa"/>
        <w:jc w:val="left"/>
        <w:tblInd w:w="0" w:type="dxa"/>
        <w:tblLayout w:type="fixed"/>
        <w:tblCellMar>
          <w:top w:w="28" w:type="dxa"/>
          <w:left w:w="28" w:type="dxa"/>
          <w:bottom w:w="28" w:type="dxa"/>
          <w:right w:w="28" w:type="dxa"/>
        </w:tblCellMar>
      </w:tblPr>
      <w:tblGrid>
        <w:gridCol w:w="124"/>
        <w:gridCol w:w="256"/>
        <w:gridCol w:w="394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w:t>
            </w:r>
          </w:p>
        </w:tc>
        <w:tc>
          <w:tcPr>
            <w:tcW w:w="394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Determine the transaction price of the contract.</w:t>
            </w:r>
          </w:p>
        </w:tc>
      </w:tr>
    </w:tbl>
    <w:tbl>
      <w:tblPr>
        <w:tblW w:w="6711" w:type="dxa"/>
        <w:jc w:val="left"/>
        <w:tblInd w:w="0" w:type="dxa"/>
        <w:tblLayout w:type="fixed"/>
        <w:tblCellMar>
          <w:top w:w="28" w:type="dxa"/>
          <w:left w:w="28" w:type="dxa"/>
          <w:bottom w:w="28" w:type="dxa"/>
          <w:right w:w="28" w:type="dxa"/>
        </w:tblCellMar>
      </w:tblPr>
      <w:tblGrid>
        <w:gridCol w:w="124"/>
        <w:gridCol w:w="256"/>
        <w:gridCol w:w="633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w:t>
            </w:r>
          </w:p>
        </w:tc>
        <w:tc>
          <w:tcPr>
            <w:tcW w:w="633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Allocate the transaction price to the performance obligations in the contract.</w:t>
            </w:r>
          </w:p>
        </w:tc>
      </w:tr>
    </w:tbl>
    <w:tbl>
      <w:tblPr>
        <w:tblW w:w="6366" w:type="dxa"/>
        <w:jc w:val="left"/>
        <w:tblInd w:w="0" w:type="dxa"/>
        <w:tblLayout w:type="fixed"/>
        <w:tblCellMar>
          <w:top w:w="28" w:type="dxa"/>
          <w:left w:w="28" w:type="dxa"/>
          <w:bottom w:w="28" w:type="dxa"/>
          <w:right w:w="28" w:type="dxa"/>
        </w:tblCellMar>
      </w:tblPr>
      <w:tblGrid>
        <w:gridCol w:w="124"/>
        <w:gridCol w:w="256"/>
        <w:gridCol w:w="598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w:t>
            </w:r>
          </w:p>
        </w:tc>
        <w:tc>
          <w:tcPr>
            <w:tcW w:w="598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Recognize revenue when or as the performance obligations are satisfied.</w:t>
            </w:r>
          </w:p>
        </w:tc>
      </w:tr>
    </w:tbl>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Company’s revenue consists of its single segment of wireless charging system solutions. The wireless charging system revenue consists of revenue from product development projects and production-level systems. During the three months ended March 31, 2024 and 2023, the Company recognized $0.1 million and $0.1 million, respectively, in revenue.</w:t>
      </w:r>
    </w:p>
    <w:p>
      <w:pPr>
        <w:pStyle w:val="TextBody"/>
        <w:bidi w:val="0"/>
        <w:spacing w:before="0" w:after="0"/>
        <w:ind w:left="0" w:right="0" w:hanging="0"/>
        <w:jc w:val="left"/>
        <w:rPr/>
      </w:pPr>
      <w:r>
        <w:rPr/>
        <w:t>​</w:t>
      </w:r>
    </w:p>
    <w:p>
      <w:pPr>
        <w:pStyle w:val="TextBody"/>
        <w:bidi w:val="0"/>
        <w:spacing w:before="480" w:after="0"/>
        <w:ind w:left="0" w:right="0" w:hanging="0"/>
        <w:jc w:val="right"/>
        <w:rPr>
          <w:rFonts w:ascii="Times New Roman;Times;serif" w:hAnsi="Times New Roman;Times;serif"/>
          <w:sz w:val="20"/>
        </w:rPr>
      </w:pPr>
      <w:r>
        <w:rPr>
          <w:rFonts w:ascii="Times New Roman;Times;serif" w:hAnsi="Times New Roman;Times;serif"/>
          <w:sz w:val="20"/>
        </w:rPr>
        <w:t>10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Note 3 – Summary of Significant Accounting Policies, continued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Company records revenue associated with product development projects that it enters into with certain customers. In general, these product development projects are complex, and the Company does not have certainty about its ability to achieve the project milestones. The achievement of a milestone is dependent on the Company’s performance obligation and requires acceptance by the customer. The Company recognizes this revenue at the point in time at which the performance obligation is met. The payment associated with achieving the performance obligation is generally commensurate with the Company’s effort or the value of the deliverable and is nonrefundable. Any deferred revenue is recognized upon achievement of the performance obligation or expiration of a support agreement.</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Inventory</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Company follows ASC 330, “Inventory” (“Topic 330”) to account for its inventory, which includes finished goods ready for sale, work in process and raw materials, at the lower of cost or net realizable value. Net realizable value is calculated at the end of each reporting period and adjustment, if needed, is made. At the point of loss recognition, a new lower cost basis for that inventory is established and subsequent changes in facts and circumstances do not result in the restoration or increase in the new cost basis.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Research and Development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Research and development expenses are charged to operations as incurred. For internally developed patents, all patent costs are expensed as incurred as research and development expense. Patent application costs, which are generally legal costs, are expensed as research and development costs until such time as the future economic benefits of such patents become more certain. The Company incurred research and development costs of $2.3 million and $3.1 million for the three months ended March 31, 2024 and 2023, respectively.</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Stock-Based Compensation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Company accounts for equity instruments issued to employees, board members and contractors in accordance with accounting guidance that requires awards to be recorded at their fair value on the date of grant and amortized over the vesting period of the award. The Company amortizes compensation costs on a straight-line basis over the requisite service period of the award, which is typically the vesting term of the equity instrument issued.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Under the ESPP, employees may purchase a limited number of shares of the Company’s common stock at a 15% discount from the lower of the closing market prices measured on the first and last days of each half-year period. The Company recognizes stock-based compensation expense for the fair value of the purchase options, as measured on the grant date.</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Income Taxes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Tax benefits are recognized only for tax positions that are more likely than not to be sustained upon examination by tax authorities. The amount recognized is measured as the largest amount of benefit that is greater than 50 percent likely to be realized upon settlement. A liability for “unrecognized tax benefits” is recorded for any tax benefits claimed in the Company’s tax returns that do not meet these recognition and measurement standards. As of March 31, 2024, no liability for unrecognized tax benefits was required to be reported. The guidance from ASC 740, “Income Taxes” also discusses the classification of related interest and penalties on income taxes. The Company’s policy is to record interest and penalties on uncertain tax positions as a component of income tax expense. No interest or penalties were recorded during the three months ended March 31, 2024 and 2023. The Company files income tax returns with the United States, California, Texas and Arizona governments.</w:t>
      </w:r>
    </w:p>
    <w:p>
      <w:pPr>
        <w:pStyle w:val="TextBody"/>
        <w:bidi w:val="0"/>
        <w:spacing w:before="0" w:after="0"/>
        <w:ind w:left="0" w:right="0" w:hanging="0"/>
        <w:jc w:val="left"/>
        <w:rPr/>
      </w:pPr>
      <w:r>
        <w:rPr/>
        <w:t>​</w:t>
      </w:r>
    </w:p>
    <w:p>
      <w:pPr>
        <w:pStyle w:val="TextBody"/>
        <w:bidi w:val="0"/>
        <w:spacing w:before="480" w:after="0"/>
        <w:ind w:left="0" w:right="0" w:hanging="0"/>
        <w:jc w:val="right"/>
        <w:rPr>
          <w:rFonts w:ascii="Times New Roman;Times;serif" w:hAnsi="Times New Roman;Times;serif"/>
          <w:sz w:val="20"/>
        </w:rPr>
      </w:pPr>
      <w:r>
        <w:rPr>
          <w:rFonts w:ascii="Times New Roman;Times;serif" w:hAnsi="Times New Roman;Times;serif"/>
          <w:sz w:val="20"/>
        </w:rPr>
        <w:t>11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bookmarkStart w:id="525" w:name="Tc_q1BDTUMUYEG6zgokI6kI-A_7_0"/>
      <w:bookmarkStart w:id="526" w:name="Tc_P7ZCi5O83UORh2Lf8FxfxA_6_0"/>
      <w:bookmarkStart w:id="527" w:name="Tc_G_R2ILRD-UWq2oUKrBnsog_5_0"/>
      <w:bookmarkStart w:id="528" w:name="Tc_cvka0cqrRUya-baIZqkG1Q_4_0"/>
      <w:bookmarkStart w:id="529" w:name="Tc_-z2dY0dTRkSNHcD0fu9CJw_3_4"/>
      <w:bookmarkStart w:id="530" w:name="Tc_DuREUEKiJUeVlmtXlFCx4A_3_2"/>
      <w:bookmarkStart w:id="531" w:name="Tc_wB4IJZI6xU2f3WOqFz9kQg_2_2"/>
      <w:bookmarkStart w:id="532" w:name="Tc_xbmfuuGqikCwQJ0FI7cT4g_1_2"/>
      <w:bookmarkEnd w:id="525"/>
      <w:bookmarkEnd w:id="526"/>
      <w:bookmarkEnd w:id="527"/>
      <w:bookmarkEnd w:id="528"/>
      <w:bookmarkEnd w:id="529"/>
      <w:bookmarkEnd w:id="530"/>
      <w:bookmarkEnd w:id="531"/>
      <w:bookmarkEnd w:id="532"/>
      <w:r>
        <w:rPr>
          <w:rFonts w:ascii="Times New Roman;Times;serif" w:hAnsi="Times New Roman;Times;serif"/>
          <w:b/>
          <w:sz w:val="20"/>
        </w:rPr>
        <w:t>Note 3 – Summary of Significant Accounting Policies, continued</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Net Loss Per Common Share</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Basic net loss per share is computed by dividing net loss available to common stockholders by the weighted average number of shares of common stock outstanding during the period. Diluted earnings per share is computed using the weighted average number of common shares and, if dilutive, potential common shares outstanding during the period. Potential common shares consist of the incremental common shares issuable upon the exercise of stock options and warrants (using the treasury stock method), the vesting of restricted stock units (“RSUs”) and performance stock units (“PSUs”) and the enrollment of employees in the ESPP. The computation of diluted loss per share excludes potentially dilutive securities of 1,546,213 and 644,530, as outlined in the table below, for the three months ended March 31, 2024 and 2023, respectively, because their inclusion would be anti-dilutive.</w:t>
      </w:r>
    </w:p>
    <w:p>
      <w:pPr>
        <w:pStyle w:val="TextBody"/>
        <w:bidi w:val="0"/>
        <w:spacing w:before="0" w:after="0"/>
        <w:ind w:left="0" w:right="0" w:hanging="0"/>
        <w:jc w:val="left"/>
        <w:rPr/>
      </w:pPr>
      <w:r>
        <w:rPr/>
        <w:t>​</w:t>
      </w:r>
    </w:p>
    <w:tbl>
      <w:tblPr>
        <w:tblW w:w="5606" w:type="dxa"/>
        <w:jc w:val="left"/>
        <w:tblInd w:w="0" w:type="dxa"/>
        <w:tblLayout w:type="fixed"/>
        <w:tblCellMar>
          <w:top w:w="0" w:type="dxa"/>
          <w:left w:w="0" w:type="dxa"/>
          <w:bottom w:w="0" w:type="dxa"/>
          <w:right w:w="0" w:type="dxa"/>
        </w:tblCellMar>
      </w:tblPr>
      <w:tblGrid>
        <w:gridCol w:w="3001"/>
        <w:gridCol w:w="326"/>
        <w:gridCol w:w="990"/>
        <w:gridCol w:w="346"/>
        <w:gridCol w:w="943"/>
      </w:tblGrid>
      <w:tr>
        <w:trPr/>
        <w:tc>
          <w:tcPr>
            <w:tcW w:w="30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1905635" cy="175260"/>
                      <wp:effectExtent l="0" t="0" r="0" b="0"/>
                      <wp:wrapNone/>
                      <wp:docPr id="65" name="Frame65"/>
                      <a:graphic xmlns:a="http://schemas.openxmlformats.org/drawingml/2006/main">
                        <a:graphicData uri="http://schemas.microsoft.com/office/word/2010/wordprocessingShape">
                          <wps:wsp>
                            <wps:cNvSpPr txBox="1"/>
                            <wps:spPr>
                              <a:xfrm>
                                <a:off x="0" y="0"/>
                                <a:ext cx="19056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207010" cy="175260"/>
                      <wp:effectExtent l="0" t="0" r="0" b="0"/>
                      <wp:wrapNone/>
                      <wp:docPr id="66" name="Frame6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9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28650" cy="175260"/>
                      <wp:effectExtent l="0" t="0" r="0" b="0"/>
                      <wp:wrapNone/>
                      <wp:docPr id="67" name="Frame67"/>
                      <a:graphic xmlns:a="http://schemas.openxmlformats.org/drawingml/2006/main">
                        <a:graphicData uri="http://schemas.microsoft.com/office/word/2010/wordprocessingShape">
                          <wps:wsp>
                            <wps:cNvSpPr txBox="1"/>
                            <wps:spPr>
                              <a:xfrm>
                                <a:off x="0" y="0"/>
                                <a:ext cx="6286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219710" cy="175260"/>
                      <wp:effectExtent l="0" t="0" r="0" b="0"/>
                      <wp:wrapNone/>
                      <wp:docPr id="68" name="Frame6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4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598805" cy="175260"/>
                      <wp:effectExtent l="0" t="0" r="0" b="0"/>
                      <wp:wrapNone/>
                      <wp:docPr id="69" name="Frame69"/>
                      <a:graphic xmlns:a="http://schemas.openxmlformats.org/drawingml/2006/main">
                        <a:graphicData uri="http://schemas.microsoft.com/office/word/2010/wordprocessingShape">
                          <wps:wsp>
                            <wps:cNvSpPr txBox="1"/>
                            <wps:spPr>
                              <a:xfrm>
                                <a:off x="0" y="0"/>
                                <a:ext cx="5988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00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2279" w:type="dxa"/>
            <w:gridSpan w:val="3"/>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For the Three Months Ended </w:t>
            </w:r>
          </w:p>
        </w:tc>
      </w:tr>
      <w:tr>
        <w:trPr/>
        <w:tc>
          <w:tcPr>
            <w:tcW w:w="300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2279" w:type="dxa"/>
            <w:gridSpan w:val="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March 31,</w:t>
            </w:r>
          </w:p>
        </w:tc>
      </w:tr>
      <w:tr>
        <w:trPr/>
        <w:tc>
          <w:tcPr>
            <w:tcW w:w="300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990"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46" w:type="dxa"/>
            <w:tcBorders/>
            <w:vAlign w:val="center"/>
          </w:tcPr>
          <w:p>
            <w:pPr>
              <w:pStyle w:val="TableContents"/>
              <w:bidi w:val="0"/>
              <w:spacing w:before="0" w:after="0"/>
              <w:ind w:left="0" w:right="0" w:hanging="0"/>
              <w:jc w:val="center"/>
              <w:rPr/>
            </w:pPr>
            <w:r>
              <w:rPr/>
              <w:t>    </w:t>
            </w:r>
          </w:p>
        </w:tc>
        <w:tc>
          <w:tcPr>
            <w:tcW w:w="943"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r>
      <w:tr>
        <w:trPr/>
        <w:tc>
          <w:tcPr>
            <w:tcW w:w="3001"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 xml:space="preserve">Warrants issued to investors </w:t>
            </w:r>
            <w:r>
              <w:rPr>
                <w:rFonts w:ascii="Times New Roman;Times;serif" w:hAnsi="Times New Roman;Times;serif"/>
                <w:sz w:val="15"/>
              </w:rPr>
              <w:t>1</w:t>
            </w:r>
          </w:p>
        </w:tc>
        <w:tc>
          <w:tcPr>
            <w:tcW w:w="326" w:type="dxa"/>
            <w:tcBorders/>
            <w:shd w:fill="CCEEFF" w:val="clear"/>
            <w:vAlign w:val="center"/>
          </w:tcPr>
          <w:p>
            <w:pPr>
              <w:pStyle w:val="TableContents"/>
              <w:bidi w:val="0"/>
              <w:spacing w:before="0" w:after="0"/>
              <w:ind w:left="0" w:right="0" w:hanging="0"/>
              <w:jc w:val="center"/>
              <w:rPr/>
            </w:pPr>
            <w:r>
              <w:rPr/>
              <w:t>​</w:t>
            </w:r>
          </w:p>
        </w:tc>
        <w:tc>
          <w:tcPr>
            <w:tcW w:w="99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1,432,909</w:t>
            </w:r>
          </w:p>
        </w:tc>
        <w:tc>
          <w:tcPr>
            <w:tcW w:w="346" w:type="dxa"/>
            <w:tcBorders/>
            <w:shd w:fill="CCEEFF" w:val="clear"/>
            <w:vAlign w:val="center"/>
          </w:tcPr>
          <w:p>
            <w:pPr>
              <w:pStyle w:val="TableContents"/>
              <w:bidi w:val="0"/>
              <w:spacing w:before="0" w:after="0"/>
              <w:ind w:left="0" w:right="0" w:hanging="0"/>
              <w:jc w:val="center"/>
              <w:rPr/>
            </w:pPr>
            <w:r>
              <w:rPr/>
              <w:t>​</w:t>
            </w:r>
          </w:p>
        </w:tc>
        <w:tc>
          <w:tcPr>
            <w:tcW w:w="94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495,833</w:t>
            </w:r>
          </w:p>
        </w:tc>
      </w:tr>
      <w:tr>
        <w:trPr/>
        <w:tc>
          <w:tcPr>
            <w:tcW w:w="30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Options to purchase common stock</w:t>
            </w:r>
          </w:p>
        </w:tc>
        <w:tc>
          <w:tcPr>
            <w:tcW w:w="326" w:type="dxa"/>
            <w:tcBorders/>
            <w:vAlign w:val="center"/>
          </w:tcPr>
          <w:p>
            <w:pPr>
              <w:pStyle w:val="TableContents"/>
              <w:bidi w:val="0"/>
              <w:spacing w:before="0" w:after="0"/>
              <w:ind w:left="0" w:right="0" w:hanging="0"/>
              <w:jc w:val="left"/>
              <w:rPr/>
            </w:pPr>
            <w:r>
              <w:rPr/>
              <w:t>​</w:t>
            </w:r>
          </w:p>
        </w:tc>
        <w:tc>
          <w:tcPr>
            <w:tcW w:w="99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11,250</w:t>
            </w:r>
          </w:p>
        </w:tc>
        <w:tc>
          <w:tcPr>
            <w:tcW w:w="346" w:type="dxa"/>
            <w:tcBorders/>
            <w:vAlign w:val="center"/>
          </w:tcPr>
          <w:p>
            <w:pPr>
              <w:pStyle w:val="TableContents"/>
              <w:bidi w:val="0"/>
              <w:spacing w:before="0" w:after="0"/>
              <w:ind w:left="0" w:right="0" w:hanging="0"/>
              <w:jc w:val="left"/>
              <w:rPr/>
            </w:pPr>
            <w:r>
              <w:rPr/>
              <w:t>​</w:t>
            </w:r>
          </w:p>
        </w:tc>
        <w:tc>
          <w:tcPr>
            <w:tcW w:w="94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15,000</w:t>
            </w:r>
          </w:p>
        </w:tc>
      </w:tr>
      <w:tr>
        <w:trPr/>
        <w:tc>
          <w:tcPr>
            <w:tcW w:w="30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RSUs</w:t>
            </w:r>
          </w:p>
        </w:tc>
        <w:tc>
          <w:tcPr>
            <w:tcW w:w="326" w:type="dxa"/>
            <w:tcBorders/>
            <w:shd w:fill="CCEEFF" w:val="clear"/>
            <w:vAlign w:val="center"/>
          </w:tcPr>
          <w:p>
            <w:pPr>
              <w:pStyle w:val="TableContents"/>
              <w:bidi w:val="0"/>
              <w:spacing w:before="0" w:after="0"/>
              <w:ind w:left="0" w:right="0" w:hanging="0"/>
              <w:jc w:val="left"/>
              <w:rPr/>
            </w:pPr>
            <w:r>
              <w:rPr/>
              <w:t>​</w:t>
            </w:r>
          </w:p>
        </w:tc>
        <w:tc>
          <w:tcPr>
            <w:tcW w:w="99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102,054</w:t>
            </w:r>
          </w:p>
        </w:tc>
        <w:tc>
          <w:tcPr>
            <w:tcW w:w="346" w:type="dxa"/>
            <w:tcBorders/>
            <w:shd w:fill="CCEEFF" w:val="clear"/>
            <w:vAlign w:val="center"/>
          </w:tcPr>
          <w:p>
            <w:pPr>
              <w:pStyle w:val="TableContents"/>
              <w:bidi w:val="0"/>
              <w:spacing w:before="0" w:after="0"/>
              <w:ind w:left="0" w:right="0" w:hanging="0"/>
              <w:jc w:val="left"/>
              <w:rPr/>
            </w:pPr>
            <w:r>
              <w:rPr/>
              <w:t>​</w:t>
            </w:r>
          </w:p>
        </w:tc>
        <w:tc>
          <w:tcPr>
            <w:tcW w:w="94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133,697</w:t>
            </w:r>
          </w:p>
        </w:tc>
      </w:tr>
      <w:tr>
        <w:trPr/>
        <w:tc>
          <w:tcPr>
            <w:tcW w:w="30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potentially dilutive securities</w:t>
            </w:r>
          </w:p>
        </w:tc>
        <w:tc>
          <w:tcPr>
            <w:tcW w:w="326" w:type="dxa"/>
            <w:tcBorders/>
            <w:vAlign w:val="center"/>
          </w:tcPr>
          <w:p>
            <w:pPr>
              <w:pStyle w:val="TableContents"/>
              <w:bidi w:val="0"/>
              <w:spacing w:before="0" w:after="0"/>
              <w:ind w:left="0" w:right="0" w:hanging="0"/>
              <w:jc w:val="left"/>
              <w:rPr/>
            </w:pPr>
            <w:r>
              <w:rPr/>
              <w:t>​</w:t>
            </w:r>
          </w:p>
        </w:tc>
        <w:tc>
          <w:tcPr>
            <w:tcW w:w="990"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1,546,213</w:t>
            </w:r>
          </w:p>
        </w:tc>
        <w:tc>
          <w:tcPr>
            <w:tcW w:w="346" w:type="dxa"/>
            <w:tcBorders/>
            <w:vAlign w:val="center"/>
          </w:tcPr>
          <w:p>
            <w:pPr>
              <w:pStyle w:val="TableContents"/>
              <w:bidi w:val="0"/>
              <w:spacing w:before="0" w:after="0"/>
              <w:ind w:left="0" w:right="0" w:hanging="0"/>
              <w:jc w:val="left"/>
              <w:rPr/>
            </w:pPr>
            <w:r>
              <w:rPr/>
              <w:t>​</w:t>
            </w:r>
          </w:p>
        </w:tc>
        <w:tc>
          <w:tcPr>
            <w:tcW w:w="943"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644,530</w:t>
            </w:r>
          </w:p>
        </w:tc>
      </w:tr>
    </w:tbl>
    <w:p>
      <w:pPr>
        <w:pStyle w:val="TextBody"/>
        <w:bidi w:val="0"/>
        <w:spacing w:before="0" w:after="0"/>
        <w:ind w:left="0" w:right="0" w:hanging="0"/>
        <w:jc w:val="center"/>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For the three months ended March 31, 2024, the table above includes 1,020,409 warrants expiring on February 20, 2029, which have an exercise price of $1.84 and 412,500 warrants expiring on March 28, 2029, which have an exercise price of $1.66. For the three months ended March 31, 2023, the table above includes 83,333 warrants that expired on March 1, 2024, which had an exercise price of $200, and 412,500 warrants expiring on March 28, 2029, which have an exercise price of $1.66.</w:t>
      </w:r>
    </w:p>
    <w:p>
      <w:pPr>
        <w:pStyle w:val="TextBody"/>
        <w:bidi w:val="0"/>
        <w:spacing w:lineRule="auto" w:line="240" w:before="0" w:after="240"/>
        <w:ind w:left="0" w:right="0" w:hanging="0"/>
        <w:jc w:val="left"/>
        <w:rPr>
          <w:rFonts w:ascii="Times New Roman;Times;serif" w:hAnsi="Times New Roman;Times;serif"/>
          <w:sz w:val="20"/>
        </w:rPr>
      </w:pPr>
      <w:r>
        <w:rPr>
          <w:rFonts w:ascii="Times New Roman;Times;serif" w:hAnsi="Times New Roman;Times;serif"/>
          <w:sz w:val="15"/>
        </w:rPr>
        <w:t xml:space="preserve">1 </w:t>
      </w:r>
      <w:r>
        <w:rPr>
          <w:rFonts w:ascii="Times New Roman;Times;serif" w:hAnsi="Times New Roman;Times;serif"/>
          <w:sz w:val="20"/>
        </w:rPr>
        <w:t>The weighted average number of common shares outstanding as of March 31, 2024 includes the weighted average effect of the 450,409 pre-funded warrants issued in connection with a registered direct offering the Company entered into on February 15, 2024 (see Note 7 – Capital Stock and Warrants) because the exercise of such warrants requires nominal consideration ($0.001 per share exercise price for each pre-funded warrant). As of March 31, 2024, none of the pre-funded warrants have been exercised; therefore, all 450,409 outstanding pre-funded warrants as of that date are not included in the table above.</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Leases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Company determines if an arrangement is a lease at the inception of the arrangement. The Company applies the short-term lease recognition exemption and recognizes lease payments in profit or loss at lease commencement for facility or equipment leases that have a lease term of 12 months or less and do not include a purchase option whose exercise is reasonably certain. Operating leases are included in operating lease right-of-use (“ROU”) assets and operating lease liabilities.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ROU assets represent the right to use an underlying asset for the lease term, and lease liabilities represent the obligation to make lease payments arising from the lease. Operating lease ROU assets and liabilities are measured and recorded at the later of the adoption date, January 1, 2019, or the service commencement date based on the present value of lease payments over the lease term. The Company uses the implicit interest rate when readily determinable; however, most leases do not establish an implicit rate, so the Company uses an estimate of the incremental borrowing rate based on the information available at the time of measurement. Lease expense for lease payments is recognized on a straight-line basis over the lease term. See Note 6 – Commitments and Contingencies, </w:t>
      </w:r>
      <w:r>
        <w:rPr>
          <w:rFonts w:ascii="Times New Roman;Times;serif" w:hAnsi="Times New Roman;Times;serif"/>
          <w:i/>
          <w:sz w:val="20"/>
        </w:rPr>
        <w:t>Operating Leases</w:t>
      </w:r>
      <w:r>
        <w:rPr>
          <w:rFonts w:ascii="Times New Roman;Times;serif" w:hAnsi="Times New Roman;Times;serif"/>
          <w:sz w:val="20"/>
        </w:rPr>
        <w:t xml:space="preserve"> for further discussion of the Company’s operating leases.</w:t>
      </w:r>
    </w:p>
    <w:p>
      <w:pPr>
        <w:pStyle w:val="TextBody"/>
        <w:bidi w:val="0"/>
        <w:spacing w:before="0" w:after="0"/>
        <w:ind w:left="0" w:right="0" w:hanging="0"/>
        <w:jc w:val="left"/>
        <w:rPr/>
      </w:pPr>
      <w:r>
        <w:rPr/>
        <w:t>​</w:t>
      </w:r>
    </w:p>
    <w:p>
      <w:pPr>
        <w:pStyle w:val="TextBody"/>
        <w:bidi w:val="0"/>
        <w:spacing w:before="480" w:after="0"/>
        <w:ind w:left="0" w:right="0" w:hanging="0"/>
        <w:jc w:val="right"/>
        <w:rPr>
          <w:rFonts w:ascii="Times New Roman;Times;serif" w:hAnsi="Times New Roman;Times;serif"/>
          <w:sz w:val="20"/>
        </w:rPr>
      </w:pPr>
      <w:r>
        <w:rPr>
          <w:rFonts w:ascii="Times New Roman;Times;serif" w:hAnsi="Times New Roman;Times;serif"/>
          <w:sz w:val="20"/>
        </w:rPr>
        <w:t>12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Note 3 – Summary of Significant Accounting Policies, continued</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Recently Issued Pronouncements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In November 2023, the FASB issued Accounting Standards Update (“ASU”) No. 2023-07, “Segment Reporting” (“Topic 280”), Improvements to Reportable Segment Reporting. This standard is intended to improve reportable segment disclosure requirements, primarily through enhanced disclosures about significant segment expenses This standard is effective for the Company’s annual fiscal period beginning January 1, 2024 and for the Company’s interim periods beginning January 1, 2025. Adoption of this standard will not likely have a material impact on the Company’s financial statements.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In December 2023, the FASB issued ASU No. 2023-09, “Income Taxes” (“Topic 740”), Improvements to Income Tax Disclosures. This standard is intended to enhance the transparency and usefulness of income tax disclosures to better asses how an entity’s operations and related tax risks and tax planning and operational opportunities affect its tax rate and prospects for future cash flows. This standard is effective for the Company’s annual fiscal period beginning January 1, 2025. Adoption of this standard will not likely have a material impact on the Company’s financial statements.</w:t>
      </w:r>
    </w:p>
    <w:p>
      <w:pPr>
        <w:pStyle w:val="TextBody"/>
        <w:bidi w:val="0"/>
        <w:spacing w:before="0" w:after="240"/>
        <w:ind w:left="0" w:right="0" w:hanging="0"/>
        <w:jc w:val="left"/>
        <w:rPr>
          <w:rFonts w:ascii="Times New Roman;Times;serif" w:hAnsi="Times New Roman;Times;serif"/>
          <w:b/>
          <w:sz w:val="20"/>
        </w:rPr>
      </w:pPr>
      <w:bookmarkStart w:id="533" w:name="Tc_s-dS5cR2VkGLtCd7z0nVmw_6_5"/>
      <w:bookmarkStart w:id="534" w:name="Tc_jJNJWBXHq0mwSFAr2YiCJQ_6_2"/>
      <w:bookmarkStart w:id="535" w:name="Tc_kL5EJ6ZxEke1xts-K_s-JQ_6_0"/>
      <w:bookmarkStart w:id="536" w:name="Tc_zPscrLQma0C8lNP5AniEhw_5_0"/>
      <w:bookmarkStart w:id="537" w:name="Tc_AyXuMXZ5rUmqplf8udWZoQ_4_0"/>
      <w:bookmarkStart w:id="538" w:name="Tc_OxC4BMxg9UydWR6CL0RNxg_3_5"/>
      <w:bookmarkStart w:id="539" w:name="Tc_GJr4IrXxuEWBj6u9owE95g_3_2"/>
      <w:bookmarkStart w:id="540" w:name="Tc_44EQJCeOhk-AnW1dJ1BE2g_3_0"/>
      <w:bookmarkStart w:id="541" w:name="Tc_f9dChaSJsE2CSwZHOnFwAg_2_5"/>
      <w:bookmarkStart w:id="542" w:name="Tc_MvdH2A51XkqeNqVKnMwlrQ_2_2"/>
      <w:bookmarkStart w:id="543" w:name="Tc_W6g6zY_9Ukq3FngfRVDHMg_1_2"/>
      <w:bookmarkStart w:id="544" w:name="_7fa0163a_2e83_4fa4_a2b0_428ba749d6a7"/>
      <w:bookmarkEnd w:id="533"/>
      <w:bookmarkEnd w:id="534"/>
      <w:bookmarkEnd w:id="535"/>
      <w:bookmarkEnd w:id="536"/>
      <w:bookmarkEnd w:id="537"/>
      <w:bookmarkEnd w:id="538"/>
      <w:bookmarkEnd w:id="539"/>
      <w:bookmarkEnd w:id="540"/>
      <w:bookmarkEnd w:id="541"/>
      <w:bookmarkEnd w:id="542"/>
      <w:bookmarkEnd w:id="543"/>
      <w:bookmarkEnd w:id="544"/>
      <w:r>
        <w:rPr>
          <w:rFonts w:ascii="Times New Roman;Times;serif" w:hAnsi="Times New Roman;Times;serif"/>
          <w:b/>
          <w:sz w:val="20"/>
        </w:rPr>
        <w:t>Note 4 – Inventory</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Below is a summary of the Company’s inventory as of March 31, 2024 and December 31, 2023 (in thousands):</w:t>
      </w:r>
    </w:p>
    <w:p>
      <w:pPr>
        <w:pStyle w:val="TextBody"/>
        <w:bidi w:val="0"/>
        <w:spacing w:before="0" w:after="0"/>
        <w:ind w:left="0" w:right="0" w:hanging="0"/>
        <w:jc w:val="left"/>
        <w:rPr/>
      </w:pPr>
      <w:r>
        <w:rPr/>
        <w:t>​</w:t>
      </w:r>
    </w:p>
    <w:tbl>
      <w:tblPr>
        <w:tblW w:w="4913" w:type="dxa"/>
        <w:jc w:val="left"/>
        <w:tblInd w:w="0" w:type="dxa"/>
        <w:tblLayout w:type="fixed"/>
        <w:tblCellMar>
          <w:top w:w="0" w:type="dxa"/>
          <w:left w:w="0" w:type="dxa"/>
          <w:bottom w:w="0" w:type="dxa"/>
          <w:right w:w="0" w:type="dxa"/>
        </w:tblCellMar>
      </w:tblPr>
      <w:tblGrid>
        <w:gridCol w:w="1456"/>
        <w:gridCol w:w="326"/>
        <w:gridCol w:w="420"/>
        <w:gridCol w:w="840"/>
        <w:gridCol w:w="326"/>
        <w:gridCol w:w="441"/>
        <w:gridCol w:w="1104"/>
      </w:tblGrid>
      <w:tr>
        <w:trPr/>
        <w:tc>
          <w:tcPr>
            <w:tcW w:w="14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924560" cy="175260"/>
                      <wp:effectExtent l="0" t="0" r="0" b="0"/>
                      <wp:wrapNone/>
                      <wp:docPr id="70" name="Frame70"/>
                      <a:graphic xmlns:a="http://schemas.openxmlformats.org/drawingml/2006/main">
                        <a:graphicData uri="http://schemas.microsoft.com/office/word/2010/wordprocessingShape">
                          <wps:wsp>
                            <wps:cNvSpPr txBox="1"/>
                            <wps:spPr>
                              <a:xfrm>
                                <a:off x="0" y="0"/>
                                <a:ext cx="9245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207010" cy="175260"/>
                      <wp:effectExtent l="0" t="0" r="0" b="0"/>
                      <wp:wrapNone/>
                      <wp:docPr id="71" name="Frame7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2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266700" cy="175260"/>
                      <wp:effectExtent l="0" t="0" r="0" b="0"/>
                      <wp:wrapNone/>
                      <wp:docPr id="72" name="Frame72"/>
                      <a:graphic xmlns:a="http://schemas.openxmlformats.org/drawingml/2006/main">
                        <a:graphicData uri="http://schemas.microsoft.com/office/word/2010/wordprocessingShape">
                          <wps:wsp>
                            <wps:cNvSpPr txBox="1"/>
                            <wps:spPr>
                              <a:xfrm>
                                <a:off x="0" y="0"/>
                                <a:ext cx="2667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4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533400" cy="175260"/>
                      <wp:effectExtent l="0" t="0" r="0" b="0"/>
                      <wp:wrapNone/>
                      <wp:docPr id="73" name="Frame73"/>
                      <a:graphic xmlns:a="http://schemas.openxmlformats.org/drawingml/2006/main">
                        <a:graphicData uri="http://schemas.microsoft.com/office/word/2010/wordprocessingShape">
                          <wps:wsp>
                            <wps:cNvSpPr txBox="1"/>
                            <wps:spPr>
                              <a:xfrm>
                                <a:off x="0" y="0"/>
                                <a:ext cx="5334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207010" cy="175260"/>
                      <wp:effectExtent l="0" t="0" r="0" b="0"/>
                      <wp:wrapNone/>
                      <wp:docPr id="74" name="Frame7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280035" cy="175260"/>
                      <wp:effectExtent l="0" t="0" r="0" b="0"/>
                      <wp:wrapNone/>
                      <wp:docPr id="75" name="Frame75"/>
                      <a:graphic xmlns:a="http://schemas.openxmlformats.org/drawingml/2006/main">
                        <a:graphicData uri="http://schemas.microsoft.com/office/word/2010/wordprocessingShape">
                          <wps:wsp>
                            <wps:cNvSpPr txBox="1"/>
                            <wps:spPr>
                              <a:xfrm>
                                <a:off x="0" y="0"/>
                                <a:ext cx="2800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0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701040" cy="175260"/>
                      <wp:effectExtent l="0" t="0" r="0" b="0"/>
                      <wp:wrapNone/>
                      <wp:docPr id="76" name="Frame76"/>
                      <a:graphic xmlns:a="http://schemas.openxmlformats.org/drawingml/2006/main">
                        <a:graphicData uri="http://schemas.microsoft.com/office/word/2010/wordprocessingShape">
                          <wps:wsp>
                            <wps:cNvSpPr txBox="1"/>
                            <wps:spPr>
                              <a:xfrm>
                                <a:off x="0" y="0"/>
                                <a:ext cx="7010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5.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45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3131"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Balance as of</w:t>
            </w:r>
          </w:p>
        </w:tc>
      </w:tr>
      <w:tr>
        <w:trPr/>
        <w:tc>
          <w:tcPr>
            <w:tcW w:w="145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126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March 31, 2024</w:t>
            </w:r>
          </w:p>
        </w:tc>
        <w:tc>
          <w:tcPr>
            <w:tcW w:w="326" w:type="dxa"/>
            <w:tcBorders/>
            <w:vAlign w:val="center"/>
          </w:tcPr>
          <w:p>
            <w:pPr>
              <w:pStyle w:val="TableContents"/>
              <w:bidi w:val="0"/>
              <w:spacing w:before="0" w:after="0"/>
              <w:ind w:left="0" w:right="0" w:hanging="0"/>
              <w:jc w:val="center"/>
              <w:rPr/>
            </w:pPr>
            <w:r>
              <w:rPr/>
              <w:t>    </w:t>
            </w:r>
          </w:p>
        </w:tc>
        <w:tc>
          <w:tcPr>
            <w:tcW w:w="154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2023</w:t>
            </w:r>
          </w:p>
        </w:tc>
      </w:tr>
      <w:tr>
        <w:trPr/>
        <w:tc>
          <w:tcPr>
            <w:tcW w:w="14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Raw Materials</w:t>
            </w:r>
          </w:p>
        </w:tc>
        <w:tc>
          <w:tcPr>
            <w:tcW w:w="326" w:type="dxa"/>
            <w:tcBorders/>
            <w:shd w:fill="CCEEFF" w:val="clear"/>
            <w:vAlign w:val="center"/>
          </w:tcPr>
          <w:p>
            <w:pPr>
              <w:pStyle w:val="TableContents"/>
              <w:bidi w:val="0"/>
              <w:spacing w:before="0" w:after="0"/>
              <w:ind w:left="0" w:right="0" w:hanging="0"/>
              <w:jc w:val="left"/>
              <w:rPr/>
            </w:pPr>
            <w:r>
              <w:rPr/>
              <w:t>​</w:t>
            </w:r>
          </w:p>
        </w:tc>
        <w:tc>
          <w:tcPr>
            <w:tcW w:w="42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4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295</w:t>
            </w:r>
          </w:p>
        </w:tc>
        <w:tc>
          <w:tcPr>
            <w:tcW w:w="326" w:type="dxa"/>
            <w:tcBorders/>
            <w:shd w:fill="CCEEFF" w:val="clear"/>
            <w:vAlign w:val="center"/>
          </w:tcPr>
          <w:p>
            <w:pPr>
              <w:pStyle w:val="TableContents"/>
              <w:bidi w:val="0"/>
              <w:spacing w:before="0" w:after="0"/>
              <w:ind w:left="0" w:right="0" w:hanging="0"/>
              <w:jc w:val="left"/>
              <w:rPr/>
            </w:pPr>
            <w:r>
              <w:rPr/>
              <w:t>​</w:t>
            </w:r>
          </w:p>
        </w:tc>
        <w:tc>
          <w:tcPr>
            <w:tcW w:w="44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0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101</w:t>
            </w:r>
          </w:p>
        </w:tc>
      </w:tr>
      <w:tr>
        <w:trPr/>
        <w:tc>
          <w:tcPr>
            <w:tcW w:w="14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Work-in-process</w:t>
            </w:r>
          </w:p>
        </w:tc>
        <w:tc>
          <w:tcPr>
            <w:tcW w:w="326" w:type="dxa"/>
            <w:tcBorders/>
            <w:vAlign w:val="center"/>
          </w:tcPr>
          <w:p>
            <w:pPr>
              <w:pStyle w:val="TableContents"/>
              <w:bidi w:val="0"/>
              <w:spacing w:before="0" w:after="0"/>
              <w:ind w:left="0" w:right="0" w:hanging="0"/>
              <w:jc w:val="left"/>
              <w:rPr/>
            </w:pPr>
            <w:r>
              <w:rPr/>
              <w:t>​</w:t>
            </w:r>
          </w:p>
        </w:tc>
        <w:tc>
          <w:tcPr>
            <w:tcW w:w="420" w:type="dxa"/>
            <w:tcBorders/>
            <w:vAlign w:val="center"/>
          </w:tcPr>
          <w:p>
            <w:pPr>
              <w:pStyle w:val="TableContents"/>
              <w:bidi w:val="0"/>
              <w:spacing w:before="0" w:after="0"/>
              <w:ind w:left="0" w:right="0" w:hanging="0"/>
              <w:jc w:val="left"/>
              <w:rPr/>
            </w:pPr>
            <w:r>
              <w:rPr/>
              <w:t> </w:t>
            </w:r>
          </w:p>
        </w:tc>
        <w:tc>
          <w:tcPr>
            <w:tcW w:w="84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51</w:t>
            </w:r>
          </w:p>
        </w:tc>
        <w:tc>
          <w:tcPr>
            <w:tcW w:w="326" w:type="dxa"/>
            <w:tcBorders/>
            <w:vAlign w:val="center"/>
          </w:tcPr>
          <w:p>
            <w:pPr>
              <w:pStyle w:val="TableContents"/>
              <w:bidi w:val="0"/>
              <w:spacing w:before="0" w:after="0"/>
              <w:ind w:left="0" w:right="0" w:hanging="0"/>
              <w:jc w:val="left"/>
              <w:rPr/>
            </w:pPr>
            <w:r>
              <w:rPr/>
              <w:t>​</w:t>
            </w:r>
          </w:p>
        </w:tc>
        <w:tc>
          <w:tcPr>
            <w:tcW w:w="441" w:type="dxa"/>
            <w:tcBorders/>
            <w:vAlign w:val="center"/>
          </w:tcPr>
          <w:p>
            <w:pPr>
              <w:pStyle w:val="TableContents"/>
              <w:bidi w:val="0"/>
              <w:spacing w:before="0" w:after="0"/>
              <w:ind w:left="0" w:right="0" w:hanging="0"/>
              <w:jc w:val="left"/>
              <w:rPr/>
            </w:pPr>
            <w:r>
              <w:rPr/>
              <w:t> </w:t>
            </w:r>
          </w:p>
        </w:tc>
        <w:tc>
          <w:tcPr>
            <w:tcW w:w="110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w:t>
            </w:r>
          </w:p>
        </w:tc>
      </w:tr>
      <w:tr>
        <w:trPr/>
        <w:tc>
          <w:tcPr>
            <w:tcW w:w="14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Finished goods</w:t>
            </w:r>
          </w:p>
        </w:tc>
        <w:tc>
          <w:tcPr>
            <w:tcW w:w="326" w:type="dxa"/>
            <w:tcBorders/>
            <w:shd w:fill="CCEEFF" w:val="clear"/>
            <w:vAlign w:val="center"/>
          </w:tcPr>
          <w:p>
            <w:pPr>
              <w:pStyle w:val="TableContents"/>
              <w:bidi w:val="0"/>
              <w:spacing w:before="0" w:after="0"/>
              <w:ind w:left="0" w:right="0" w:hanging="0"/>
              <w:jc w:val="left"/>
              <w:rPr/>
            </w:pPr>
            <w:r>
              <w:rPr/>
              <w:t>​</w:t>
            </w:r>
          </w:p>
        </w:tc>
        <w:tc>
          <w:tcPr>
            <w:tcW w:w="42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4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277</w:t>
            </w:r>
          </w:p>
        </w:tc>
        <w:tc>
          <w:tcPr>
            <w:tcW w:w="326" w:type="dxa"/>
            <w:tcBorders/>
            <w:shd w:fill="CCEEFF" w:val="clear"/>
            <w:vAlign w:val="center"/>
          </w:tcPr>
          <w:p>
            <w:pPr>
              <w:pStyle w:val="TableContents"/>
              <w:bidi w:val="0"/>
              <w:spacing w:before="0" w:after="0"/>
              <w:ind w:left="0" w:right="0" w:hanging="0"/>
              <w:jc w:val="left"/>
              <w:rPr/>
            </w:pPr>
            <w:r>
              <w:rPr/>
              <w:t>​</w:t>
            </w:r>
          </w:p>
        </w:tc>
        <w:tc>
          <w:tcPr>
            <w:tcW w:w="44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10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277</w:t>
            </w:r>
          </w:p>
        </w:tc>
      </w:tr>
      <w:tr>
        <w:trPr/>
        <w:tc>
          <w:tcPr>
            <w:tcW w:w="14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Total </w:t>
            </w:r>
          </w:p>
        </w:tc>
        <w:tc>
          <w:tcPr>
            <w:tcW w:w="326" w:type="dxa"/>
            <w:tcBorders/>
            <w:vAlign w:val="center"/>
          </w:tcPr>
          <w:p>
            <w:pPr>
              <w:pStyle w:val="TableContents"/>
              <w:bidi w:val="0"/>
              <w:spacing w:before="0" w:after="0"/>
              <w:ind w:left="0" w:right="0" w:hanging="0"/>
              <w:jc w:val="left"/>
              <w:rPr/>
            </w:pPr>
            <w:r>
              <w:rPr/>
              <w:t>​</w:t>
            </w:r>
          </w:p>
        </w:tc>
        <w:tc>
          <w:tcPr>
            <w:tcW w:w="420"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40"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623</w:t>
            </w:r>
          </w:p>
        </w:tc>
        <w:tc>
          <w:tcPr>
            <w:tcW w:w="326" w:type="dxa"/>
            <w:tcBorders/>
            <w:vAlign w:val="center"/>
          </w:tcPr>
          <w:p>
            <w:pPr>
              <w:pStyle w:val="TableContents"/>
              <w:bidi w:val="0"/>
              <w:spacing w:before="0" w:after="0"/>
              <w:ind w:left="0" w:right="0" w:hanging="0"/>
              <w:jc w:val="left"/>
              <w:rPr/>
            </w:pPr>
            <w:r>
              <w:rPr/>
              <w:t>​</w:t>
            </w:r>
          </w:p>
        </w:tc>
        <w:tc>
          <w:tcPr>
            <w:tcW w:w="44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04"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430</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bookmarkStart w:id="545" w:name="Tc_69lhQEjg5EiRd7T4NJ768g_6_5"/>
      <w:bookmarkStart w:id="546" w:name="Tc_ZsNXeOCnCkiP4FIfjHjVbg_6_2"/>
      <w:bookmarkStart w:id="547" w:name="Tc_XD-LZKyemU6q9zQWJa9BvA_6_0"/>
      <w:bookmarkStart w:id="548" w:name="Tc_w24YJTOYgUuW20iqNVL34Q_5_0"/>
      <w:bookmarkStart w:id="549" w:name="Tc_2Arm1SDDHEa1tNZ1GC1QFQ_4_0"/>
      <w:bookmarkStart w:id="550" w:name="Tc_oNjaCfVNY0a6ncxwtA48tg_3_5"/>
      <w:bookmarkStart w:id="551" w:name="Tc_5iPder6Y9UO1JYfSq4GZmw_3_2"/>
      <w:bookmarkStart w:id="552" w:name="Tc_npSxfAhBcECUTxgUG_oVTA_3_0"/>
      <w:bookmarkStart w:id="553" w:name="Tc_vtWvUAJS4EyPZxtmfkIBKQ_2_5"/>
      <w:bookmarkStart w:id="554" w:name="Tc_ZjPEq5amx0yaryW-jAGlzA_2_2"/>
      <w:bookmarkStart w:id="555" w:name="Tc_yomSRQCu-EC0KfuWgPHQjw_1_2"/>
      <w:bookmarkStart w:id="556" w:name="_85d41a96_51b0_42c0_ab21_2a415919b4e1"/>
      <w:bookmarkEnd w:id="545"/>
      <w:bookmarkEnd w:id="546"/>
      <w:bookmarkEnd w:id="547"/>
      <w:bookmarkEnd w:id="548"/>
      <w:bookmarkEnd w:id="549"/>
      <w:bookmarkEnd w:id="550"/>
      <w:bookmarkEnd w:id="551"/>
      <w:bookmarkEnd w:id="552"/>
      <w:bookmarkEnd w:id="553"/>
      <w:bookmarkEnd w:id="554"/>
      <w:bookmarkEnd w:id="555"/>
      <w:bookmarkEnd w:id="556"/>
      <w:r>
        <w:rPr>
          <w:rFonts w:ascii="Times New Roman;Times;serif" w:hAnsi="Times New Roman;Times;serif"/>
          <w:b/>
          <w:sz w:val="20"/>
        </w:rPr>
        <w:t>Note 5 – Accrued Expenses</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Accrued expenses consist of the following (in thousands):</w:t>
      </w:r>
    </w:p>
    <w:p>
      <w:pPr>
        <w:pStyle w:val="TextBody"/>
        <w:bidi w:val="0"/>
        <w:spacing w:before="0" w:after="0"/>
        <w:ind w:left="0" w:right="0" w:hanging="0"/>
        <w:jc w:val="left"/>
        <w:rPr/>
      </w:pPr>
      <w:r>
        <w:rPr/>
        <w:t>​</w:t>
      </w:r>
    </w:p>
    <w:tbl>
      <w:tblPr>
        <w:tblW w:w="5483" w:type="dxa"/>
        <w:jc w:val="left"/>
        <w:tblInd w:w="0" w:type="dxa"/>
        <w:tblLayout w:type="fixed"/>
        <w:tblCellMar>
          <w:top w:w="0" w:type="dxa"/>
          <w:left w:w="0" w:type="dxa"/>
          <w:bottom w:w="0" w:type="dxa"/>
          <w:right w:w="0" w:type="dxa"/>
        </w:tblCellMar>
      </w:tblPr>
      <w:tblGrid>
        <w:gridCol w:w="2026"/>
        <w:gridCol w:w="326"/>
        <w:gridCol w:w="340"/>
        <w:gridCol w:w="920"/>
        <w:gridCol w:w="326"/>
        <w:gridCol w:w="367"/>
        <w:gridCol w:w="1178"/>
      </w:tblGrid>
      <w:tr>
        <w:trPr/>
        <w:tc>
          <w:tcPr>
            <w:tcW w:w="20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1286510" cy="175260"/>
                      <wp:effectExtent l="0" t="0" r="0" b="0"/>
                      <wp:wrapNone/>
                      <wp:docPr id="77" name="Frame77"/>
                      <a:graphic xmlns:a="http://schemas.openxmlformats.org/drawingml/2006/main">
                        <a:graphicData uri="http://schemas.microsoft.com/office/word/2010/wordprocessingShape">
                          <wps:wsp>
                            <wps:cNvSpPr txBox="1"/>
                            <wps:spPr>
                              <a:xfrm>
                                <a:off x="0" y="0"/>
                                <a:ext cx="1286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207010" cy="175260"/>
                      <wp:effectExtent l="0" t="0" r="0" b="0"/>
                      <wp:wrapNone/>
                      <wp:docPr id="78" name="Frame7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215900" cy="175260"/>
                      <wp:effectExtent l="0" t="0" r="0" b="0"/>
                      <wp:wrapNone/>
                      <wp:docPr id="79" name="Frame79"/>
                      <a:graphic xmlns:a="http://schemas.openxmlformats.org/drawingml/2006/main">
                        <a:graphicData uri="http://schemas.microsoft.com/office/word/2010/wordprocessingShape">
                          <wps:wsp>
                            <wps:cNvSpPr txBox="1"/>
                            <wps:spPr>
                              <a:xfrm>
                                <a:off x="0" y="0"/>
                                <a:ext cx="2159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2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584200" cy="175260"/>
                      <wp:effectExtent l="0" t="0" r="0" b="0"/>
                      <wp:wrapNone/>
                      <wp:docPr id="80" name="Frame80"/>
                      <a:graphic xmlns:a="http://schemas.openxmlformats.org/drawingml/2006/main">
                        <a:graphicData uri="http://schemas.microsoft.com/office/word/2010/wordprocessingShape">
                          <wps:wsp>
                            <wps:cNvSpPr txBox="1"/>
                            <wps:spPr>
                              <a:xfrm>
                                <a:off x="0" y="0"/>
                                <a:ext cx="5842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207010" cy="175260"/>
                      <wp:effectExtent l="0" t="0" r="0" b="0"/>
                      <wp:wrapNone/>
                      <wp:docPr id="81" name="Frame8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6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233045" cy="175260"/>
                      <wp:effectExtent l="0" t="0" r="0" b="0"/>
                      <wp:wrapNone/>
                      <wp:docPr id="82" name="Frame82"/>
                      <a:graphic xmlns:a="http://schemas.openxmlformats.org/drawingml/2006/main">
                        <a:graphicData uri="http://schemas.microsoft.com/office/word/2010/wordprocessingShape">
                          <wps:wsp>
                            <wps:cNvSpPr txBox="1"/>
                            <wps:spPr>
                              <a:xfrm>
                                <a:off x="0" y="0"/>
                                <a:ext cx="2330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7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748030" cy="175260"/>
                      <wp:effectExtent l="0" t="0" r="0" b="0"/>
                      <wp:wrapNone/>
                      <wp:docPr id="83" name="Frame83"/>
                      <a:graphic xmlns:a="http://schemas.openxmlformats.org/drawingml/2006/main">
                        <a:graphicData uri="http://schemas.microsoft.com/office/word/2010/wordprocessingShape">
                          <wps:wsp>
                            <wps:cNvSpPr txBox="1"/>
                            <wps:spPr>
                              <a:xfrm>
                                <a:off x="0" y="0"/>
                                <a:ext cx="7480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8.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02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3131"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Balance as of</w:t>
            </w:r>
          </w:p>
        </w:tc>
      </w:tr>
      <w:tr>
        <w:trPr/>
        <w:tc>
          <w:tcPr>
            <w:tcW w:w="202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126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March 31, 2024</w:t>
            </w:r>
          </w:p>
        </w:tc>
        <w:tc>
          <w:tcPr>
            <w:tcW w:w="326" w:type="dxa"/>
            <w:tcBorders/>
            <w:vAlign w:val="center"/>
          </w:tcPr>
          <w:p>
            <w:pPr>
              <w:pStyle w:val="TableContents"/>
              <w:bidi w:val="0"/>
              <w:spacing w:before="0" w:after="0"/>
              <w:ind w:left="0" w:right="0" w:hanging="0"/>
              <w:jc w:val="center"/>
              <w:rPr/>
            </w:pPr>
            <w:r>
              <w:rPr/>
              <w:t>    </w:t>
            </w:r>
          </w:p>
        </w:tc>
        <w:tc>
          <w:tcPr>
            <w:tcW w:w="154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2023</w:t>
            </w:r>
          </w:p>
        </w:tc>
      </w:tr>
      <w:tr>
        <w:trPr/>
        <w:tc>
          <w:tcPr>
            <w:tcW w:w="20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Accrued compensation</w:t>
            </w:r>
          </w:p>
        </w:tc>
        <w:tc>
          <w:tcPr>
            <w:tcW w:w="326" w:type="dxa"/>
            <w:tcBorders/>
            <w:shd w:fill="CCEEFF" w:val="clear"/>
            <w:vAlign w:val="center"/>
          </w:tcPr>
          <w:p>
            <w:pPr>
              <w:pStyle w:val="TableContents"/>
              <w:bidi w:val="0"/>
              <w:spacing w:before="0" w:after="0"/>
              <w:ind w:left="0" w:right="0" w:hanging="0"/>
              <w:jc w:val="left"/>
              <w:rPr/>
            </w:pPr>
            <w:r>
              <w:rPr/>
              <w:t>​</w:t>
            </w:r>
          </w:p>
        </w:tc>
        <w:tc>
          <w:tcPr>
            <w:tcW w:w="34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2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660</w:t>
            </w:r>
          </w:p>
        </w:tc>
        <w:tc>
          <w:tcPr>
            <w:tcW w:w="326" w:type="dxa"/>
            <w:tcBorders/>
            <w:shd w:fill="CCEEFF" w:val="clear"/>
            <w:vAlign w:val="center"/>
          </w:tcPr>
          <w:p>
            <w:pPr>
              <w:pStyle w:val="TableContents"/>
              <w:bidi w:val="0"/>
              <w:spacing w:before="0" w:after="0"/>
              <w:ind w:left="0" w:right="0" w:hanging="0"/>
              <w:jc w:val="left"/>
              <w:rPr/>
            </w:pPr>
            <w:r>
              <w:rPr/>
              <w:t>​</w:t>
            </w:r>
          </w:p>
        </w:tc>
        <w:tc>
          <w:tcPr>
            <w:tcW w:w="36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7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993</w:t>
            </w:r>
          </w:p>
        </w:tc>
      </w:tr>
      <w:tr>
        <w:trPr/>
        <w:tc>
          <w:tcPr>
            <w:tcW w:w="20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Accrued legal expenses</w:t>
            </w:r>
          </w:p>
        </w:tc>
        <w:tc>
          <w:tcPr>
            <w:tcW w:w="326" w:type="dxa"/>
            <w:tcBorders/>
            <w:vAlign w:val="center"/>
          </w:tcPr>
          <w:p>
            <w:pPr>
              <w:pStyle w:val="TableContents"/>
              <w:bidi w:val="0"/>
              <w:spacing w:before="0" w:after="0"/>
              <w:ind w:left="0" w:right="0" w:hanging="0"/>
              <w:jc w:val="left"/>
              <w:rPr/>
            </w:pPr>
            <w:r>
              <w:rPr/>
              <w:t>​</w:t>
            </w:r>
          </w:p>
        </w:tc>
        <w:tc>
          <w:tcPr>
            <w:tcW w:w="340" w:type="dxa"/>
            <w:tcBorders/>
            <w:vAlign w:val="center"/>
          </w:tcPr>
          <w:p>
            <w:pPr>
              <w:pStyle w:val="TableContents"/>
              <w:bidi w:val="0"/>
              <w:spacing w:before="0" w:after="0"/>
              <w:ind w:left="0" w:right="0" w:hanging="0"/>
              <w:jc w:val="left"/>
              <w:rPr/>
            </w:pPr>
            <w:r>
              <w:rPr/>
              <w:t> </w:t>
            </w:r>
          </w:p>
        </w:tc>
        <w:tc>
          <w:tcPr>
            <w:tcW w:w="92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303</w:t>
            </w:r>
          </w:p>
        </w:tc>
        <w:tc>
          <w:tcPr>
            <w:tcW w:w="326" w:type="dxa"/>
            <w:tcBorders/>
            <w:vAlign w:val="center"/>
          </w:tcPr>
          <w:p>
            <w:pPr>
              <w:pStyle w:val="TableContents"/>
              <w:bidi w:val="0"/>
              <w:spacing w:before="0" w:after="0"/>
              <w:ind w:left="0" w:right="0" w:hanging="0"/>
              <w:jc w:val="left"/>
              <w:rPr/>
            </w:pPr>
            <w:r>
              <w:rPr/>
              <w:t>​</w:t>
            </w:r>
          </w:p>
        </w:tc>
        <w:tc>
          <w:tcPr>
            <w:tcW w:w="367" w:type="dxa"/>
            <w:tcBorders/>
            <w:vAlign w:val="center"/>
          </w:tcPr>
          <w:p>
            <w:pPr>
              <w:pStyle w:val="TableContents"/>
              <w:bidi w:val="0"/>
              <w:spacing w:before="0" w:after="0"/>
              <w:ind w:left="0" w:right="0" w:hanging="0"/>
              <w:jc w:val="left"/>
              <w:rPr/>
            </w:pPr>
            <w:r>
              <w:rPr/>
              <w:t> </w:t>
            </w:r>
          </w:p>
        </w:tc>
        <w:tc>
          <w:tcPr>
            <w:tcW w:w="117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147</w:t>
            </w:r>
          </w:p>
        </w:tc>
      </w:tr>
      <w:tr>
        <w:trPr/>
        <w:tc>
          <w:tcPr>
            <w:tcW w:w="20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accrued expenses</w:t>
            </w:r>
          </w:p>
        </w:tc>
        <w:tc>
          <w:tcPr>
            <w:tcW w:w="326" w:type="dxa"/>
            <w:tcBorders/>
            <w:shd w:fill="CCEEFF" w:val="clear"/>
            <w:vAlign w:val="center"/>
          </w:tcPr>
          <w:p>
            <w:pPr>
              <w:pStyle w:val="TableContents"/>
              <w:bidi w:val="0"/>
              <w:spacing w:before="0" w:after="0"/>
              <w:ind w:left="0" w:right="0" w:hanging="0"/>
              <w:jc w:val="left"/>
              <w:rPr/>
            </w:pPr>
            <w:r>
              <w:rPr/>
              <w:t>​</w:t>
            </w:r>
          </w:p>
        </w:tc>
        <w:tc>
          <w:tcPr>
            <w:tcW w:w="34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2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207</w:t>
            </w:r>
          </w:p>
        </w:tc>
        <w:tc>
          <w:tcPr>
            <w:tcW w:w="326" w:type="dxa"/>
            <w:tcBorders/>
            <w:shd w:fill="CCEEFF" w:val="clear"/>
            <w:vAlign w:val="center"/>
          </w:tcPr>
          <w:p>
            <w:pPr>
              <w:pStyle w:val="TableContents"/>
              <w:bidi w:val="0"/>
              <w:spacing w:before="0" w:after="0"/>
              <w:ind w:left="0" w:right="0" w:hanging="0"/>
              <w:jc w:val="left"/>
              <w:rPr/>
            </w:pPr>
            <w:r>
              <w:rPr/>
              <w:t>​</w:t>
            </w:r>
          </w:p>
        </w:tc>
        <w:tc>
          <w:tcPr>
            <w:tcW w:w="36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17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114</w:t>
            </w:r>
          </w:p>
        </w:tc>
      </w:tr>
      <w:tr>
        <w:trPr/>
        <w:tc>
          <w:tcPr>
            <w:tcW w:w="20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w:t>
            </w:r>
          </w:p>
        </w:tc>
        <w:tc>
          <w:tcPr>
            <w:tcW w:w="326" w:type="dxa"/>
            <w:tcBorders/>
            <w:vAlign w:val="center"/>
          </w:tcPr>
          <w:p>
            <w:pPr>
              <w:pStyle w:val="TableContents"/>
              <w:bidi w:val="0"/>
              <w:spacing w:before="0" w:after="0"/>
              <w:ind w:left="0" w:right="0" w:hanging="0"/>
              <w:jc w:val="left"/>
              <w:rPr/>
            </w:pPr>
            <w:r>
              <w:rPr/>
              <w:t>​</w:t>
            </w:r>
          </w:p>
        </w:tc>
        <w:tc>
          <w:tcPr>
            <w:tcW w:w="340"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20"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1,170</w:t>
            </w:r>
          </w:p>
        </w:tc>
        <w:tc>
          <w:tcPr>
            <w:tcW w:w="326" w:type="dxa"/>
            <w:tcBorders/>
            <w:vAlign w:val="center"/>
          </w:tcPr>
          <w:p>
            <w:pPr>
              <w:pStyle w:val="TableContents"/>
              <w:bidi w:val="0"/>
              <w:spacing w:before="0" w:after="0"/>
              <w:ind w:left="0" w:right="0" w:hanging="0"/>
              <w:jc w:val="left"/>
              <w:rPr/>
            </w:pPr>
            <w:r>
              <w:rPr/>
              <w:t>​</w:t>
            </w:r>
          </w:p>
        </w:tc>
        <w:tc>
          <w:tcPr>
            <w:tcW w:w="367"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78"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1,254</w:t>
            </w:r>
          </w:p>
        </w:tc>
      </w:tr>
    </w:tbl>
    <w:p>
      <w:pPr>
        <w:pStyle w:val="TextBody"/>
        <w:bidi w:val="0"/>
        <w:spacing w:before="0" w:after="0"/>
        <w:ind w:left="0" w:right="0" w:hanging="0"/>
        <w:jc w:val="left"/>
        <w:rPr/>
      </w:pPr>
      <w:r>
        <w:rPr/>
        <w:t>​</w:t>
      </w:r>
    </w:p>
    <w:p>
      <w:pPr>
        <w:pStyle w:val="TextBody"/>
        <w:bidi w:val="0"/>
        <w:spacing w:before="0" w:after="24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Note 6 – Commitments and Contingencies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Operating Leases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San Jose Lease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On May 20, 2022, the Company signed a lease amendment to the existing lease for its office space at its corporate headquarters in San Jose, California, extending the term of the lease for an additional three years. Upon signing the lease amendment, the Company recorded a new ROU lease asset of $2.1 million and operating lease liability of $2.1 million, using a present value discount rate of 3.0%, which was used as an incremental borrowing rate for a hypothetical fully collateralized real estate transaction. As of January 1, 2024, the discount rate was adjusted to 8% in order to reflect a realistic incremental borrowing rate at lease commencement. The adjustment created a </w:t>
      </w:r>
      <w:r>
        <w:rPr>
          <w:rFonts w:ascii="Times New Roman;Times;serif" w:hAnsi="Times New Roman;Times;serif"/>
          <w:b w:val="false"/>
          <w:i w:val="false"/>
          <w:caps w:val="false"/>
          <w:smallCaps w:val="false"/>
          <w:sz w:val="20"/>
        </w:rPr>
        <w:t>one</w:t>
      </w:r>
      <w:r>
        <w:rPr>
          <w:rFonts w:ascii="Times New Roman;Times;serif" w:hAnsi="Times New Roman;Times;serif"/>
          <w:sz w:val="20"/>
        </w:rPr>
        <w:t>-time reduction to the ROU lease asset and operating lease liability of approximately $51,000. Upon expiration of the original lease on September 30, 2022, the new monthly lease payment starting October 1, 2022 is approximately $59,000, subject to annual escalations up to a maximum monthly lease payment of approximately $62,000. The Company recorded lease expense of $0.2 million for both the three months ended March 31, 2024 and 2023.</w:t>
      </w:r>
    </w:p>
    <w:p>
      <w:pPr>
        <w:pStyle w:val="TextBody"/>
        <w:bidi w:val="0"/>
        <w:spacing w:before="480" w:after="0"/>
        <w:ind w:left="0" w:right="0" w:hanging="0"/>
        <w:jc w:val="right"/>
        <w:rPr>
          <w:rFonts w:ascii="Times New Roman;Times;serif" w:hAnsi="Times New Roman;Times;serif"/>
          <w:sz w:val="20"/>
        </w:rPr>
      </w:pPr>
      <w:r>
        <w:rPr>
          <w:rFonts w:ascii="Times New Roman;Times;serif" w:hAnsi="Times New Roman;Times;serif"/>
          <w:sz w:val="20"/>
        </w:rPr>
        <w:t>13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bookmarkStart w:id="557" w:name="Tc_KyOZyOJWyECG0pT-HZ8BoA_6_2"/>
      <w:bookmarkStart w:id="558" w:name="Tc_-mA41581eU2flYcfxIOHWw_6_0"/>
      <w:bookmarkStart w:id="559" w:name="Tc_BiMhY5d5jEOdGB2Jj_nxjg_5_0"/>
      <w:bookmarkStart w:id="560" w:name="Tc_18RNtG_35EW9gDAugzXilg_4_0"/>
      <w:bookmarkStart w:id="561" w:name="Tc_puGOzpUIAkqYxmgIOzKddQ_3_0"/>
      <w:bookmarkStart w:id="562" w:name="Tc__XyDkmb58kawC_ISqzO0Rw_2_2"/>
      <w:bookmarkStart w:id="563" w:name="Tc_7ksBKX8uCUObxH7eHqm23w_2_0"/>
      <w:bookmarkStart w:id="564" w:name="Tc_l1at0ZBm1ECiHp2PaicrLg_1_2"/>
      <w:bookmarkStart w:id="565" w:name="Tc_ZD18znKBd06r5wN9hxPCxw_1_0"/>
      <w:bookmarkStart w:id="566" w:name="_843a28d6_24bb_4b8d_a93d_bfa003dcb94d"/>
      <w:bookmarkEnd w:id="557"/>
      <w:bookmarkEnd w:id="558"/>
      <w:bookmarkEnd w:id="559"/>
      <w:bookmarkEnd w:id="560"/>
      <w:bookmarkEnd w:id="561"/>
      <w:bookmarkEnd w:id="562"/>
      <w:bookmarkEnd w:id="563"/>
      <w:bookmarkEnd w:id="564"/>
      <w:bookmarkEnd w:id="565"/>
      <w:bookmarkEnd w:id="566"/>
      <w:r>
        <w:rPr>
          <w:rFonts w:ascii="Times New Roman;Times;serif" w:hAnsi="Times New Roman;Times;serif"/>
          <w:b/>
          <w:sz w:val="20"/>
        </w:rPr>
        <w:t>Note 6 – Commitments and Contingencies, continued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Operating Lease Commitments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The Company follows ASC 842, </w:t>
      </w:r>
      <w:r>
        <w:rPr>
          <w:rFonts w:ascii="Times New Roman;Times;serif" w:hAnsi="Times New Roman;Times;serif"/>
          <w:i/>
          <w:sz w:val="20"/>
        </w:rPr>
        <w:t>Leases,</w:t>
      </w:r>
      <w:r>
        <w:rPr>
          <w:rFonts w:ascii="Times New Roman;Times;serif" w:hAnsi="Times New Roman;Times;serif"/>
          <w:sz w:val="20"/>
        </w:rPr>
        <w:t xml:space="preserve"> (“Topic 842”) and recognizes the required ROU assets and operating lease liabilities on its balance sheet. The Company anticipates having future total lease payments of $1.1 million during the period from the second quarter of 2024 to the third quarter of 2025. As of March 31, 2024, the Company has total operating lease ROU assets of $1.0 million, current portion of operating lease liabilities of $0.7 million and long-term portion of operating lease liabilities of $0.4 million. The weighted average remaining lease term is 1.5 years as of March 31, 2024.</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A reconciliation of undiscounted cash flows to lease liabilities recognized as of March 31, 2024 is as follows (in thousands):</w:t>
      </w:r>
    </w:p>
    <w:p>
      <w:pPr>
        <w:pStyle w:val="TextBody"/>
        <w:bidi w:val="0"/>
        <w:spacing w:before="0" w:after="0"/>
        <w:ind w:left="0" w:right="0" w:hanging="0"/>
        <w:jc w:val="left"/>
        <w:rPr/>
      </w:pPr>
      <w:r>
        <w:rPr/>
        <w:t>​</w:t>
      </w:r>
    </w:p>
    <w:tbl>
      <w:tblPr>
        <w:tblW w:w="5219" w:type="dxa"/>
        <w:jc w:val="left"/>
        <w:tblInd w:w="0" w:type="dxa"/>
        <w:tblLayout w:type="fixed"/>
        <w:tblCellMar>
          <w:top w:w="0" w:type="dxa"/>
          <w:left w:w="0" w:type="dxa"/>
          <w:bottom w:w="0" w:type="dxa"/>
          <w:right w:w="0" w:type="dxa"/>
        </w:tblCellMar>
      </w:tblPr>
      <w:tblGrid>
        <w:gridCol w:w="4006"/>
        <w:gridCol w:w="326"/>
        <w:gridCol w:w="211"/>
        <w:gridCol w:w="676"/>
      </w:tblGrid>
      <w:tr>
        <w:trPr/>
        <w:tc>
          <w:tcPr>
            <w:tcW w:w="40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2543810" cy="175260"/>
                      <wp:effectExtent l="0" t="0" r="0" b="0"/>
                      <wp:wrapNone/>
                      <wp:docPr id="84" name="Frame84"/>
                      <a:graphic xmlns:a="http://schemas.openxmlformats.org/drawingml/2006/main">
                        <a:graphicData uri="http://schemas.microsoft.com/office/word/2010/wordprocessingShape">
                          <wps:wsp>
                            <wps:cNvSpPr txBox="1"/>
                            <wps:spPr>
                              <a:xfrm>
                                <a:off x="0" y="0"/>
                                <a:ext cx="2543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207010" cy="175260"/>
                      <wp:effectExtent l="0" t="0" r="0" b="0"/>
                      <wp:wrapNone/>
                      <wp:docPr id="85" name="Frame8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133985" cy="175260"/>
                      <wp:effectExtent l="0" t="0" r="0" b="0"/>
                      <wp:wrapNone/>
                      <wp:docPr id="86" name="Frame8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429260" cy="175260"/>
                      <wp:effectExtent l="0" t="0" r="0" b="0"/>
                      <wp:wrapNone/>
                      <wp:docPr id="87" name="Frame87"/>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00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For the year ending December 31,</w:t>
            </w:r>
          </w:p>
        </w:tc>
        <w:tc>
          <w:tcPr>
            <w:tcW w:w="326" w:type="dxa"/>
            <w:tcBorders/>
            <w:vAlign w:val="center"/>
          </w:tcPr>
          <w:p>
            <w:pPr>
              <w:pStyle w:val="TableContents"/>
              <w:bidi w:val="0"/>
              <w:spacing w:before="0" w:after="0"/>
              <w:ind w:left="0" w:right="0" w:hanging="0"/>
              <w:jc w:val="center"/>
              <w:rPr/>
            </w:pPr>
            <w:r>
              <w:rPr/>
              <w:t>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Amount</w:t>
            </w:r>
          </w:p>
        </w:tc>
      </w:tr>
      <w:tr>
        <w:trPr/>
        <w:tc>
          <w:tcPr>
            <w:tcW w:w="40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2024 (remaining)</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552</w:t>
            </w:r>
          </w:p>
        </w:tc>
      </w:tr>
      <w:tr>
        <w:trPr/>
        <w:tc>
          <w:tcPr>
            <w:tcW w:w="40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2025</w:t>
            </w:r>
          </w:p>
        </w:tc>
        <w:tc>
          <w:tcPr>
            <w:tcW w:w="326" w:type="dxa"/>
            <w:tcBorders/>
            <w:vAlign w:val="center"/>
          </w:tcPr>
          <w:p>
            <w:pPr>
              <w:pStyle w:val="TableContents"/>
              <w:bidi w:val="0"/>
              <w:spacing w:before="0" w:after="0"/>
              <w:ind w:left="0" w:right="0" w:hanging="0"/>
              <w:jc w:val="left"/>
              <w:rPr/>
            </w:pPr>
            <w:r>
              <w:rPr/>
              <w:t> </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562</w:t>
            </w:r>
          </w:p>
        </w:tc>
      </w:tr>
      <w:tr>
        <w:trPr/>
        <w:tc>
          <w:tcPr>
            <w:tcW w:w="40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future lease payments</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right"/>
              <w:rPr/>
            </w:pPr>
            <w:r>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1,114</w:t>
            </w:r>
          </w:p>
        </w:tc>
      </w:tr>
      <w:tr>
        <w:trPr/>
        <w:tc>
          <w:tcPr>
            <w:tcW w:w="40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Present value discount (8.0% weighted average)</w:t>
            </w:r>
          </w:p>
        </w:tc>
        <w:tc>
          <w:tcPr>
            <w:tcW w:w="326" w:type="dxa"/>
            <w:tcBorders/>
            <w:vAlign w:val="center"/>
          </w:tcPr>
          <w:p>
            <w:pPr>
              <w:pStyle w:val="TableContents"/>
              <w:bidi w:val="0"/>
              <w:spacing w:before="0" w:after="0"/>
              <w:ind w:left="0" w:right="0" w:hanging="0"/>
              <w:jc w:val="left"/>
              <w:rPr/>
            </w:pPr>
            <w:r>
              <w:rPr/>
              <w:t> </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(61)</w:t>
            </w:r>
          </w:p>
        </w:tc>
      </w:tr>
      <w:tr>
        <w:trPr/>
        <w:tc>
          <w:tcPr>
            <w:tcW w:w="40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operating lease liabilities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1,053</w:t>
            </w:r>
          </w:p>
        </w:tc>
      </w:tr>
    </w:tbl>
    <w:p>
      <w:pPr>
        <w:pStyle w:val="TextBody"/>
        <w:bidi w:val="0"/>
        <w:spacing w:before="0" w:after="0"/>
        <w:ind w:left="0" w:right="0" w:hanging="0"/>
        <w:jc w:val="center"/>
        <w:rPr/>
      </w:pPr>
      <w:r>
        <w:rPr/>
        <w:t>​</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Hosted Design Software Agreement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In June 2021, the Company entered into an electronic design automation software in a hosted environment license agreement with a term of</w:t>
      </w:r>
      <w:r>
        <w:rPr>
          <w:rFonts w:ascii="Times New Roman;Times;serif" w:hAnsi="Times New Roman;Times;serif"/>
          <w:color w:val="222222"/>
          <w:sz w:val="20"/>
        </w:rPr>
        <w:t xml:space="preserve"> three-years </w:t>
      </w:r>
      <w:r>
        <w:rPr>
          <w:rFonts w:ascii="Times New Roman;Times;serif" w:hAnsi="Times New Roman;Times;serif"/>
          <w:sz w:val="20"/>
        </w:rPr>
        <w:t>under which the Company is required to remit quarterly payments of approximately</w:t>
      </w:r>
      <w:r>
        <w:rPr>
          <w:rFonts w:ascii="Times New Roman;Times;serif" w:hAnsi="Times New Roman;Times;serif"/>
          <w:color w:val="222222"/>
          <w:sz w:val="20"/>
        </w:rPr>
        <w:t xml:space="preserve"> $0.2 million through the second quarter of 2024.</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Litigations, Claims, and Assessments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Company is from time to time involved in various disputes, claims, liens and litigation matters arising in the normal course of business. While the outcome of these disputes, claims, liens and litigation matters cannot be predicted with certainty, after consulting with legal counsel, management does not believe that the outcome of these matters will have a material adverse effect on the Company’s combined financial position, results of operations or cash flows.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MBO Bonus Plan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On March 15, 2018, the Company’s Board of Directors (“Board”), on the recommendation of the Board’s Compensation Committee (“Compensation Committee”), approved the Energous Corporation MBO Bonus Plan (“Bonus Plan”) for executive officers of the Company. To be eligible to receive a bonus under the Bonus Plan, an executive officer must be continuously employed throughout the applicable performance period, and in good standing, and achieve the performance objectives selected by the Compensation Committee.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Under the Bonus Plan, the Compensation Committee is responsible for selecting the amounts of potential bonuses for executive officers, the performance metrics used to determine whether any such bonuses will be paid and determining whether those performance metrics have been achieved.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Company did not record any expense under the Bonus Plan during the three months ended March 31, 2024. During the three months ended March 31, 2023, the Company recorded $0.1 million in expense under the Bonus Plan. As of December 31, 2023, the Company had $0.5 million in bonuses earned during 2023 that had not yet been paid and was included in accrued expenses. As of March 31, 2024, the Company had $0.2 million in MBO bonus expense earned and accrued during 2023 that had not yet been paid and was subsequently paid during the second quarter of 2024.</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Severance and Change in Control Agreement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On March 15, 2018, the Compensation Committee approved a form of Severance and Change in Control Agreement (“Severance Agreement”) that the Company may enter into with executive officers (each, an “Executive”).</w:t>
      </w:r>
    </w:p>
    <w:p>
      <w:pPr>
        <w:pStyle w:val="TextBody"/>
        <w:bidi w:val="0"/>
        <w:spacing w:before="0" w:after="0"/>
        <w:ind w:left="0" w:right="0" w:hanging="0"/>
        <w:jc w:val="left"/>
        <w:rPr/>
      </w:pPr>
      <w:r>
        <w:rPr/>
        <w:t>​</w:t>
      </w:r>
    </w:p>
    <w:p>
      <w:pPr>
        <w:pStyle w:val="TextBody"/>
        <w:bidi w:val="0"/>
        <w:spacing w:before="480" w:after="0"/>
        <w:ind w:left="0" w:right="0" w:hanging="0"/>
        <w:jc w:val="right"/>
        <w:rPr>
          <w:rFonts w:ascii="Times New Roman;Times;serif" w:hAnsi="Times New Roman;Times;serif"/>
          <w:sz w:val="20"/>
        </w:rPr>
      </w:pPr>
      <w:r>
        <w:rPr>
          <w:rFonts w:ascii="Times New Roman;Times;serif" w:hAnsi="Times New Roman;Times;serif"/>
          <w:sz w:val="20"/>
        </w:rPr>
        <w:t>14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Note 6 – Commitments and Contingencies, continued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Under the Severance Agreement, if an Executive is terminated in a qualifying change in control termination, the Company agrees to pay the Executive six to twelve months of that Executive’s monthly base salary. If an Executive elects continued coverage under the Consolidated Omnibus Budget Reconciliation Act of 1985, as amended (“COBRA”) the Company will pay the full amount of the Executive’s premiums under the Company’s health, dental and vision plans, including coverage for the Executive’s eligible dependents, for the six-to-twelve-month period, as applicable, following the Executive’s termination.</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Executive Transition – Cesar Johnston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On March 26, 2024, the Company announced that Cesar Johnston was no longer serving as President and Chief Executive Officer of the Company effective March 24, 2024. In connection with his cessation as an officer of the Company, Mr. Johnston is entitled to receive the benefits and payments set forth in the Amended and Restated Severance and Change in Control Agreement, dated December 6, 2021 (“Severance Agreement”), between the Company and Mr. Johnston. Accordingly, Mr. Johnston will receive (a) 18 months of his monthly salary plus the amount equal to 100% of his target bonus, (b) any outstanding unvested equity awards held by Mr. Johnston that were scheduled to vest during the next 18 months following the termination date, (c) reimbursement for continued COBRA payments, if elected by Mr. Johnston, during the 18 months following the termination date. The Company recorded $1.5 million in total severance expense pertaining to Mr. Johnston’s departure during the three months ended March 31, 2024, including $0.1 million in stock-based compensation as a result of accelerated vesting of RSUs and options (see Note 8 – Stock-Based Compensation for additional details).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As of March 31, 2024, the Company had accrued unpaid severance expense of $1.4 million pertaining to Mr. Johnston’s Severance Agreement, which is due to be paid approximately 60 days following of Mr. Johnston’s date of separation.</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Executive Transition – William Mannina</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On July 20, 2023, the Company announced the departure of William Mannina, former Acting Chief Financial Officer, effective August 16, 2023. Pursuant to the terms of a letter agreement between Mr. Mannina and the Company, Mr. Mannina will receive payments and benefits including cash severance payments equivalent to nine months of his then-current salary of $265,825 and premium payments for continued healthcare coverage for nine months following his resignation effective date. Mr. Mannina’s restricted stock units continued to vest through August 16, 2023.</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As of March 31, 2024, the Company had accrued unpaid severance expense of approximately $0.1 million pertaining to Mr. Mannina’s agreement.</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Strategic Alliance Agreement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In November 2016, the Company and Dialog Semiconductor plc (“Dialog”), a related party (see Note 11—Related Party Transactions), entered into a Strategic Alliance Agreement (“Alliance Agreement”) for the manufacture, distribution and commercialization of products incorporating the Company’s wire-free charging technology (“Licensed Products”). Pursuant to the terms of the Alliance Agreement, the Company agreed to engage Dialog as the exclusive supplier of the Licensed Products for specified fields of use, subject to certain exceptions (the “Company Exclusivity Requirement”). Dialog agreed to not distribute, sell or work with any third party to develop any competing products without the Company’s approval. In addition, both parties agreed on a revenue sharing arrangement and to collaborate on the commercialization of Licensed Products based on a mutually-agreed upon plan. Each party will retain all of its intellectual property.</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Alliance Agreement had an initial term of seven years, with automatic renewal annually thereafter unless terminated by either party upon 180 days’ prior written notice. The Company could terminate the Alliance Agreement at any time after the third anniversary of the Alliance Agreement upon 180 days’ prior written notice to Dialog, or if Dialog breached certain exclusivity obligations. Dialog could terminate the Alliance Agreement if sales of Licensed Products did not meet specified targets. The Company Exclusivity Requirement had a termination date of the earlier of January 1, 2021 or the occurrence of certain events relating to the Company’s pre-existing exclusivity obligations. The Company Exclusivity Requirement renewed automatically on an annual basis unless the Company and Dialog agreed to terminate the requirement.</w:t>
      </w:r>
    </w:p>
    <w:p>
      <w:pPr>
        <w:pStyle w:val="TextBody"/>
        <w:bidi w:val="0"/>
        <w:spacing w:before="0" w:after="0"/>
        <w:ind w:left="0" w:right="0" w:hanging="0"/>
        <w:jc w:val="left"/>
        <w:rPr/>
      </w:pPr>
      <w:r>
        <w:rPr/>
        <w:t>​</w:t>
      </w:r>
    </w:p>
    <w:p>
      <w:pPr>
        <w:pStyle w:val="TextBody"/>
        <w:bidi w:val="0"/>
        <w:spacing w:before="480" w:after="0"/>
        <w:ind w:left="0" w:right="0" w:hanging="0"/>
        <w:jc w:val="right"/>
        <w:rPr>
          <w:rFonts w:ascii="Times New Roman;Times;serif" w:hAnsi="Times New Roman;Times;serif"/>
          <w:sz w:val="20"/>
        </w:rPr>
      </w:pPr>
      <w:r>
        <w:rPr>
          <w:rFonts w:ascii="Times New Roman;Times;serif" w:hAnsi="Times New Roman;Times;serif"/>
          <w:sz w:val="20"/>
        </w:rPr>
        <w:t>15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Note 6 – Commitments and Contingencies, continued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On September 20, 2021, the Company was notified by Dialog, which had been recently acquired by Renesas Electronics Corporation (“Renesas”), that it was terminating the Alliance Agreement between the Company and Dialog. There is a wind down period included in the Alliance Agreement which will conclude in September 2024. During the wind down period, the Alliance Agreement’s terms will continue to apply to the Company’s products that are covered by certain existing customer relationships, except that the parties’ respective exclusivity rights have terminated (see Note 11 – Related Party Transactions for expenses incurred by the Company from Renesas).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Note 7 – Capital Stock and Warrants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Authorized Capital</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holders of the Company’s common stock are entitled to one vote per share. Holders of common stock are entitled to receive ratably such dividends, if any, as may be declared by the Board out of legally available funds. Upon the liquidation, dissolution or winding up of the Company, holders of common stock are entitled to share ratably in all assets of the Company that are legally available for distribution.</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Financing</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On September 15, 2020, the Company filed a shelf registration statement on Form S-3 with the SEC, which became effective on September 24, 2020 (“Prior Shelf”), and contained two prospectuses: a base prospectus, which covered the offering, issuance and sale by the Company of up to $75 million of its common stock, preferred stock, debt securities, warrants to purchase our common stock, preferred stock or debt securities, subscription rights to purchase its common stock, preferred stock or debt securities and/or units consisting of some or all of these securities; and an at-the-market sales agreement prospectus supplement covering the offering, issuance and sale by the Company of up to a maximum aggregate offering price of $40 million of its common stock that may be issued and sold under the At Market Issuance Sales Agreement, as amended, between the Company and B. Riley Securities, Inc. (the “ATM Program”). The $40 million of common stock to be offered, issued and sold under the ATM Program is included in the $75 million of securities that may be offered, issued and sold by the Company under the base prospectus. Pursuant to this shelf registration statement, the Company sold shares which raised net proceeds of $38.8 million (net of $1.2 million in issuance costs) during the third and fourth quarters of 2020 under the ATM Program.</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On October 4, 2021, the Company filed a prospectus supplement covering the offering, issuance and sale of up to an additional $35 million of shares of the Company’s common stock pursuant to the ATM Program. The Company raised net proceeds of $27.0 million (net of $0.9 million in issuance costs), during 2021 under the ATM Program. During 2022, the Company raised an additional $0.7 million (net of $0.1 million in issuance costs) under the ATM Program. During the first quarter of 2023, the Company raised $3.6 million (net of $0.2 million in issuance costs). As of March 31, 2024, there is no amount remaining in the Prior Shelf due to its expiration on September 24, 2023.</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On November 15, 2021, the Company filed a shelf registration statement on Form S-3 with the SEC, which became effective on December 16, 2021 (the “Current Shelf”). This shelf registration statement allows the Company to sell, from time to time, any combination of debt or equity securities described in the registration statement up to aggregate proceeds of $100 million. Pursuant to this registration statement, on March 28, 2023, the Company completed an underwritten offering pursuant to which it issued and sold an aggregate of (i) 412,500 shares of its common stock (the “Shares”) and (ii) warrants to purchase up to 412,500 shares of its common stock (the “2023 Warrants”), for net proceeds of $2.7 million, after deducting underwriting discounts, commission and expenses payable by the Company. The 2023 Warrants were immediately exercisable upon issuance and have a term of six years and an exercise price of $8.00. The Company allocated the proceeds received first to the 2023 Warrants based on the fair value of the 2023 Warrants as determined at initial measurement, with the remaining proceeds allocated to the Shares (see Note 9 – Warrant Liability and Note 10 – Fair Value Measurements). Pursuant to the terms of the 2023 Warrants, the exercise price was adjusted to $1.66 during 2023.</w:t>
      </w:r>
    </w:p>
    <w:p>
      <w:pPr>
        <w:pStyle w:val="TextBody"/>
        <w:bidi w:val="0"/>
        <w:spacing w:before="0" w:after="0"/>
        <w:ind w:left="0" w:right="0" w:hanging="0"/>
        <w:jc w:val="left"/>
        <w:rPr/>
      </w:pPr>
      <w:r>
        <w:rPr/>
        <w:t>​</w:t>
      </w:r>
    </w:p>
    <w:p>
      <w:pPr>
        <w:pStyle w:val="TextBody"/>
        <w:bidi w:val="0"/>
        <w:spacing w:before="480" w:after="0"/>
        <w:ind w:left="0" w:right="0" w:hanging="0"/>
        <w:jc w:val="right"/>
        <w:rPr>
          <w:rFonts w:ascii="Times New Roman;Times;serif" w:hAnsi="Times New Roman;Times;serif"/>
          <w:sz w:val="20"/>
        </w:rPr>
      </w:pPr>
      <w:r>
        <w:rPr>
          <w:rFonts w:ascii="Times New Roman;Times;serif" w:hAnsi="Times New Roman;Times;serif"/>
          <w:sz w:val="20"/>
        </w:rPr>
        <w:t>16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bookmarkStart w:id="567" w:name="Tc_cgBzI8XFzUyje-E1ZHfWjw_10_0"/>
      <w:bookmarkStart w:id="568" w:name="Tc_9Jql6Ewq6Em1y2fugbWCEg_9_0"/>
      <w:bookmarkStart w:id="569" w:name="Tc_VfN2PKK6T0y7nNL4oXZzYQ_8_0"/>
      <w:bookmarkStart w:id="570" w:name="Tc_DiBRYqL8bEaAZou4oOhdoQ_7_0"/>
      <w:bookmarkStart w:id="571" w:name="Tc_Tfff6UJEX0qTh5IucmWJIQ_6_0"/>
      <w:bookmarkStart w:id="572" w:name="Tc_mvYlCEX5FkWn7oUqqQHxIg_5_0"/>
      <w:bookmarkStart w:id="573" w:name="Tc_eNCpO_ErIkqDxzcGK5zdxw_4_0"/>
      <w:bookmarkStart w:id="574" w:name="Tc_0iMsB68IH0CDI9PhvMF6Bg_3_0"/>
      <w:bookmarkStart w:id="575" w:name="Tc_BggmiOTPMUiYoBZ6uiQehA_2_0"/>
      <w:bookmarkStart w:id="576" w:name="Tc_H_sY8iEteUSo86cz-woARw_1_5"/>
      <w:bookmarkStart w:id="577" w:name="Tc_og08l-HGSk6dyg2qP47cKw_1_2"/>
      <w:bookmarkEnd w:id="567"/>
      <w:bookmarkEnd w:id="568"/>
      <w:bookmarkEnd w:id="569"/>
      <w:bookmarkEnd w:id="570"/>
      <w:bookmarkEnd w:id="571"/>
      <w:bookmarkEnd w:id="572"/>
      <w:bookmarkEnd w:id="573"/>
      <w:bookmarkEnd w:id="574"/>
      <w:bookmarkEnd w:id="575"/>
      <w:bookmarkEnd w:id="576"/>
      <w:bookmarkEnd w:id="577"/>
      <w:r>
        <w:rPr>
          <w:rFonts w:ascii="Times New Roman;Times;serif" w:hAnsi="Times New Roman;Times;serif"/>
          <w:b/>
          <w:sz w:val="20"/>
        </w:rPr>
        <w:t>Note 7 – Capital Stock and Warrants, continued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On February 15, 2024, the Company entered into a securities purchase agreement with an institutional investor, providing for the issuance and sale by the Company in a registered direct offering (the “Offering”), of (i) 570,000 shares of the Company’s common stock, (ii) pre-funded warrants to purchase up to 450,409 shares of common stock (referred to individually as a “Pre-Funded Warrant” and collectively as the “Pre-Funded Warrants”), and (iii) warrants to purchase an aggregate of 1,020,409 shares of common stock (referred to individually as a “Warrant” and collectively as the “Warrants”). Each share of common stock and Pre-Funded Warrant was offered and sold together with an accompanying Warrant at a combined price of $1.96 per share of common stock or Pre-Funded Warrant, as applicable. Each Pre-Funded Warrant and Warrant is exercisable at any time on or after the date of issuance to purchase one share of common stock at a price of either $0.001 per share, in the case of Pre-Funded Warrants, or $1.84 per share, in the case of Warrants. The Pre-Funded Warrants expire when they are exercised in full, and the Warrants expire five years from the date of issuance. The Offering closed on February 20, 2024. The Company received net proceeds of approximately $1.8 million (net of $0.2 million in issuance costs).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Common Stock Outstanding</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Our outstanding shares of common stock typically include shares that are deemed delivered under US GAAP. Shares that are deemed delivered currently include shares that have vested, but have not yet been delivered, under tax-deferred equity awards, as well as shares purchased under the ESPP where actual transfer of shares normally occurs a few days after the completion of the purchase periods. There are no voting rights for shares that are deemed delivered under US GAAP until the actual delivery of shares takes place. There are currently 200,000,000 shares of common stock authorized for issuance.</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Common Stock Reserved for Future Issuance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Company has reserved the following shares of common stock for future issuance:</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6795"/>
        <w:gridCol w:w="326"/>
        <w:gridCol w:w="168"/>
        <w:gridCol w:w="1079"/>
        <w:gridCol w:w="326"/>
        <w:gridCol w:w="213"/>
        <w:gridCol w:w="1298"/>
      </w:tblGrid>
      <w:tr>
        <w:trPr/>
        <w:tc>
          <w:tcPr>
            <w:tcW w:w="679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4314825" cy="175260"/>
                      <wp:effectExtent l="0" t="0" r="0" b="0"/>
                      <wp:wrapNone/>
                      <wp:docPr id="88" name="Frame88"/>
                      <a:graphic xmlns:a="http://schemas.openxmlformats.org/drawingml/2006/main">
                        <a:graphicData uri="http://schemas.microsoft.com/office/word/2010/wordprocessingShape">
                          <wps:wsp>
                            <wps:cNvSpPr txBox="1"/>
                            <wps:spPr>
                              <a:xfrm>
                                <a:off x="0" y="0"/>
                                <a:ext cx="431482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9.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207010" cy="175260"/>
                      <wp:effectExtent l="0" t="0" r="0" b="0"/>
                      <wp:wrapNone/>
                      <wp:docPr id="89" name="Frame8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6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106680" cy="175260"/>
                      <wp:effectExtent l="0" t="0" r="0" b="0"/>
                      <wp:wrapNone/>
                      <wp:docPr id="90" name="Frame90"/>
                      <a:graphic xmlns:a="http://schemas.openxmlformats.org/drawingml/2006/main">
                        <a:graphicData uri="http://schemas.microsoft.com/office/word/2010/wordprocessingShape">
                          <wps:wsp>
                            <wps:cNvSpPr txBox="1"/>
                            <wps:spPr>
                              <a:xfrm>
                                <a:off x="0" y="0"/>
                                <a:ext cx="10668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7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85165" cy="175260"/>
                      <wp:effectExtent l="0" t="0" r="0" b="0"/>
                      <wp:wrapNone/>
                      <wp:docPr id="91" name="Frame91"/>
                      <a:graphic xmlns:a="http://schemas.openxmlformats.org/drawingml/2006/main">
                        <a:graphicData uri="http://schemas.microsoft.com/office/word/2010/wordprocessingShape">
                          <wps:wsp>
                            <wps:cNvSpPr txBox="1"/>
                            <wps:spPr>
                              <a:xfrm>
                                <a:off x="0" y="0"/>
                                <a:ext cx="68516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3.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207010" cy="175260"/>
                      <wp:effectExtent l="0" t="0" r="0" b="0"/>
                      <wp:wrapNone/>
                      <wp:docPr id="92" name="Frame9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135255" cy="175260"/>
                      <wp:effectExtent l="0" t="0" r="0" b="0"/>
                      <wp:wrapNone/>
                      <wp:docPr id="93" name="Frame93"/>
                      <a:graphic xmlns:a="http://schemas.openxmlformats.org/drawingml/2006/main">
                        <a:graphicData uri="http://schemas.microsoft.com/office/word/2010/wordprocessingShape">
                          <wps:wsp>
                            <wps:cNvSpPr txBox="1"/>
                            <wps:spPr>
                              <a:xfrm>
                                <a:off x="0" y="0"/>
                                <a:ext cx="13525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29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824230" cy="175260"/>
                      <wp:effectExtent l="0" t="0" r="0" b="0"/>
                      <wp:wrapNone/>
                      <wp:docPr id="94" name="Frame94"/>
                      <a:graphic xmlns:a="http://schemas.openxmlformats.org/drawingml/2006/main">
                        <a:graphicData uri="http://schemas.microsoft.com/office/word/2010/wordprocessingShape">
                          <wps:wsp>
                            <wps:cNvSpPr txBox="1"/>
                            <wps:spPr>
                              <a:xfrm>
                                <a:off x="0" y="0"/>
                                <a:ext cx="82423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4.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6795"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124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March 31, 2024</w:t>
            </w:r>
          </w:p>
        </w:tc>
        <w:tc>
          <w:tcPr>
            <w:tcW w:w="326" w:type="dxa"/>
            <w:tcBorders/>
            <w:vAlign w:val="center"/>
          </w:tcPr>
          <w:p>
            <w:pPr>
              <w:pStyle w:val="TableContents"/>
              <w:bidi w:val="0"/>
              <w:spacing w:before="0" w:after="1"/>
              <w:ind w:left="0" w:right="0" w:hanging="0"/>
              <w:jc w:val="left"/>
              <w:rPr/>
            </w:pPr>
            <w:r>
              <w:rPr/>
              <w:t>    </w:t>
            </w:r>
          </w:p>
        </w:tc>
        <w:tc>
          <w:tcPr>
            <w:tcW w:w="151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December 31, 2023</w:t>
            </w:r>
          </w:p>
        </w:tc>
      </w:tr>
      <w:tr>
        <w:trPr/>
        <w:tc>
          <w:tcPr>
            <w:tcW w:w="6795"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Stock options outstanding</w:t>
            </w:r>
          </w:p>
        </w:tc>
        <w:tc>
          <w:tcPr>
            <w:tcW w:w="326" w:type="dxa"/>
            <w:tcBorders/>
            <w:shd w:fill="CCEEFF" w:val="clear"/>
            <w:vAlign w:val="center"/>
          </w:tcPr>
          <w:p>
            <w:pPr>
              <w:pStyle w:val="TableContents"/>
              <w:bidi w:val="0"/>
              <w:spacing w:before="0" w:after="1"/>
              <w:ind w:left="0" w:right="0" w:hanging="0"/>
              <w:jc w:val="left"/>
              <w:rPr/>
            </w:pPr>
            <w:r>
              <w:rPr/>
              <w:t>​</w:t>
            </w:r>
          </w:p>
        </w:tc>
        <w:tc>
          <w:tcPr>
            <w:tcW w:w="168" w:type="dxa"/>
            <w:tcBorders/>
            <w:shd w:fill="CCEEFF" w:val="clear"/>
            <w:vAlign w:val="center"/>
          </w:tcPr>
          <w:p>
            <w:pPr>
              <w:pStyle w:val="TableContents"/>
              <w:bidi w:val="0"/>
              <w:spacing w:before="0" w:after="1"/>
              <w:ind w:left="0" w:right="0" w:hanging="0"/>
              <w:jc w:val="left"/>
              <w:rPr/>
            </w:pPr>
            <w:r>
              <w:rPr/>
              <w:t> </w:t>
            </w:r>
          </w:p>
        </w:tc>
        <w:tc>
          <w:tcPr>
            <w:tcW w:w="107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11,250</w:t>
            </w:r>
          </w:p>
        </w:tc>
        <w:tc>
          <w:tcPr>
            <w:tcW w:w="326" w:type="dxa"/>
            <w:tcBorders/>
            <w:shd w:fill="CCEEFF" w:val="clear"/>
            <w:vAlign w:val="center"/>
          </w:tcPr>
          <w:p>
            <w:pPr>
              <w:pStyle w:val="TableContents"/>
              <w:bidi w:val="0"/>
              <w:spacing w:before="0" w:after="1"/>
              <w:ind w:left="0" w:right="0" w:hanging="0"/>
              <w:jc w:val="left"/>
              <w:rPr/>
            </w:pPr>
            <w:r>
              <w:rPr/>
              <w:t>​</w:t>
            </w:r>
          </w:p>
        </w:tc>
        <w:tc>
          <w:tcPr>
            <w:tcW w:w="213" w:type="dxa"/>
            <w:tcBorders/>
            <w:shd w:fill="CCEEFF" w:val="clear"/>
            <w:vAlign w:val="center"/>
          </w:tcPr>
          <w:p>
            <w:pPr>
              <w:pStyle w:val="TableContents"/>
              <w:bidi w:val="0"/>
              <w:spacing w:before="0" w:after="1"/>
              <w:ind w:left="0" w:right="0" w:hanging="0"/>
              <w:jc w:val="left"/>
              <w:rPr/>
            </w:pPr>
            <w:r>
              <w:rPr/>
              <w:t> </w:t>
            </w:r>
          </w:p>
        </w:tc>
        <w:tc>
          <w:tcPr>
            <w:tcW w:w="129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15,000</w:t>
            </w:r>
          </w:p>
        </w:tc>
      </w:tr>
      <w:tr>
        <w:trPr/>
        <w:tc>
          <w:tcPr>
            <w:tcW w:w="6795"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RSUs outstanding</w:t>
            </w:r>
          </w:p>
        </w:tc>
        <w:tc>
          <w:tcPr>
            <w:tcW w:w="326" w:type="dxa"/>
            <w:tcBorders/>
            <w:vAlign w:val="center"/>
          </w:tcPr>
          <w:p>
            <w:pPr>
              <w:pStyle w:val="TableContents"/>
              <w:bidi w:val="0"/>
              <w:spacing w:before="0" w:after="1"/>
              <w:ind w:left="0" w:right="0" w:hanging="0"/>
              <w:jc w:val="left"/>
              <w:rPr/>
            </w:pPr>
            <w:r>
              <w:rPr/>
              <w:t>​</w:t>
            </w:r>
          </w:p>
        </w:tc>
        <w:tc>
          <w:tcPr>
            <w:tcW w:w="168" w:type="dxa"/>
            <w:tcBorders/>
            <w:vAlign w:val="center"/>
          </w:tcPr>
          <w:p>
            <w:pPr>
              <w:pStyle w:val="TableContents"/>
              <w:bidi w:val="0"/>
              <w:spacing w:before="0" w:after="1"/>
              <w:ind w:left="0" w:right="0" w:hanging="0"/>
              <w:jc w:val="left"/>
              <w:rPr/>
            </w:pPr>
            <w:r>
              <w:rPr/>
              <w:t> </w:t>
            </w:r>
          </w:p>
        </w:tc>
        <w:tc>
          <w:tcPr>
            <w:tcW w:w="107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102,179</w:t>
            </w:r>
          </w:p>
        </w:tc>
        <w:tc>
          <w:tcPr>
            <w:tcW w:w="326" w:type="dxa"/>
            <w:tcBorders/>
            <w:vAlign w:val="center"/>
          </w:tcPr>
          <w:p>
            <w:pPr>
              <w:pStyle w:val="TableContents"/>
              <w:bidi w:val="0"/>
              <w:spacing w:before="0" w:after="1"/>
              <w:ind w:left="0" w:right="0" w:hanging="0"/>
              <w:jc w:val="left"/>
              <w:rPr/>
            </w:pPr>
            <w:r>
              <w:rPr/>
              <w:t>​</w:t>
            </w:r>
          </w:p>
        </w:tc>
        <w:tc>
          <w:tcPr>
            <w:tcW w:w="213" w:type="dxa"/>
            <w:tcBorders/>
            <w:vAlign w:val="center"/>
          </w:tcPr>
          <w:p>
            <w:pPr>
              <w:pStyle w:val="TableContents"/>
              <w:bidi w:val="0"/>
              <w:spacing w:before="0" w:after="1"/>
              <w:ind w:left="0" w:right="0" w:hanging="0"/>
              <w:jc w:val="left"/>
              <w:rPr/>
            </w:pPr>
            <w:r>
              <w:rPr/>
              <w:t> </w:t>
            </w:r>
          </w:p>
        </w:tc>
        <w:tc>
          <w:tcPr>
            <w:tcW w:w="1298"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71,734</w:t>
            </w:r>
          </w:p>
        </w:tc>
      </w:tr>
      <w:tr>
        <w:trPr/>
        <w:tc>
          <w:tcPr>
            <w:tcW w:w="6795"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Warrants outstanding</w:t>
            </w:r>
          </w:p>
        </w:tc>
        <w:tc>
          <w:tcPr>
            <w:tcW w:w="326" w:type="dxa"/>
            <w:tcBorders/>
            <w:shd w:fill="CCEEFF" w:val="clear"/>
            <w:vAlign w:val="center"/>
          </w:tcPr>
          <w:p>
            <w:pPr>
              <w:pStyle w:val="TableContents"/>
              <w:bidi w:val="0"/>
              <w:spacing w:before="0" w:after="1"/>
              <w:ind w:left="0" w:right="0" w:hanging="0"/>
              <w:jc w:val="left"/>
              <w:rPr/>
            </w:pPr>
            <w:r>
              <w:rPr/>
              <w:t>​</w:t>
            </w:r>
          </w:p>
        </w:tc>
        <w:tc>
          <w:tcPr>
            <w:tcW w:w="168" w:type="dxa"/>
            <w:tcBorders/>
            <w:shd w:fill="CCEEFF" w:val="clear"/>
            <w:vAlign w:val="center"/>
          </w:tcPr>
          <w:p>
            <w:pPr>
              <w:pStyle w:val="TableContents"/>
              <w:bidi w:val="0"/>
              <w:spacing w:before="0" w:after="1"/>
              <w:ind w:left="0" w:right="0" w:hanging="0"/>
              <w:jc w:val="left"/>
              <w:rPr/>
            </w:pPr>
            <w:r>
              <w:rPr/>
              <w:t> </w:t>
            </w:r>
          </w:p>
        </w:tc>
        <w:tc>
          <w:tcPr>
            <w:tcW w:w="107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1,883,318</w:t>
            </w:r>
          </w:p>
        </w:tc>
        <w:tc>
          <w:tcPr>
            <w:tcW w:w="326" w:type="dxa"/>
            <w:tcBorders/>
            <w:shd w:fill="CCEEFF" w:val="clear"/>
            <w:vAlign w:val="center"/>
          </w:tcPr>
          <w:p>
            <w:pPr>
              <w:pStyle w:val="TableContents"/>
              <w:bidi w:val="0"/>
              <w:spacing w:before="0" w:after="1"/>
              <w:ind w:left="0" w:right="0" w:hanging="0"/>
              <w:jc w:val="left"/>
              <w:rPr/>
            </w:pPr>
            <w:r>
              <w:rPr/>
              <w:t>​</w:t>
            </w:r>
          </w:p>
        </w:tc>
        <w:tc>
          <w:tcPr>
            <w:tcW w:w="213" w:type="dxa"/>
            <w:tcBorders/>
            <w:shd w:fill="CCEEFF" w:val="clear"/>
            <w:vAlign w:val="center"/>
          </w:tcPr>
          <w:p>
            <w:pPr>
              <w:pStyle w:val="TableContents"/>
              <w:bidi w:val="0"/>
              <w:spacing w:before="0" w:after="1"/>
              <w:ind w:left="0" w:right="0" w:hanging="0"/>
              <w:jc w:val="left"/>
              <w:rPr/>
            </w:pPr>
            <w:r>
              <w:rPr/>
              <w:t> </w:t>
            </w:r>
          </w:p>
        </w:tc>
        <w:tc>
          <w:tcPr>
            <w:tcW w:w="129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495,833</w:t>
            </w:r>
          </w:p>
        </w:tc>
      </w:tr>
      <w:tr>
        <w:trPr/>
        <w:tc>
          <w:tcPr>
            <w:tcW w:w="6795"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Shares available for issuance under the 2013 Equity Incentive Plan</w:t>
            </w:r>
          </w:p>
        </w:tc>
        <w:tc>
          <w:tcPr>
            <w:tcW w:w="326" w:type="dxa"/>
            <w:tcBorders/>
            <w:vAlign w:val="center"/>
          </w:tcPr>
          <w:p>
            <w:pPr>
              <w:pStyle w:val="TableContents"/>
              <w:bidi w:val="0"/>
              <w:spacing w:before="0" w:after="1"/>
              <w:ind w:left="0" w:right="0" w:hanging="0"/>
              <w:jc w:val="left"/>
              <w:rPr/>
            </w:pPr>
            <w:r>
              <w:rPr/>
              <w:t>​</w:t>
            </w:r>
          </w:p>
        </w:tc>
        <w:tc>
          <w:tcPr>
            <w:tcW w:w="168" w:type="dxa"/>
            <w:tcBorders/>
            <w:vAlign w:val="center"/>
          </w:tcPr>
          <w:p>
            <w:pPr>
              <w:pStyle w:val="TableContents"/>
              <w:bidi w:val="0"/>
              <w:spacing w:before="0" w:after="1"/>
              <w:ind w:left="0" w:right="0" w:hanging="0"/>
              <w:jc w:val="left"/>
              <w:rPr/>
            </w:pPr>
            <w:r>
              <w:rPr/>
              <w:t> </w:t>
            </w:r>
          </w:p>
        </w:tc>
        <w:tc>
          <w:tcPr>
            <w:tcW w:w="107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120,949</w:t>
            </w:r>
          </w:p>
        </w:tc>
        <w:tc>
          <w:tcPr>
            <w:tcW w:w="326" w:type="dxa"/>
            <w:tcBorders/>
            <w:vAlign w:val="center"/>
          </w:tcPr>
          <w:p>
            <w:pPr>
              <w:pStyle w:val="TableContents"/>
              <w:bidi w:val="0"/>
              <w:spacing w:before="0" w:after="1"/>
              <w:ind w:left="0" w:right="0" w:hanging="0"/>
              <w:jc w:val="left"/>
              <w:rPr/>
            </w:pPr>
            <w:r>
              <w:rPr/>
              <w:t>​</w:t>
            </w:r>
          </w:p>
        </w:tc>
        <w:tc>
          <w:tcPr>
            <w:tcW w:w="213" w:type="dxa"/>
            <w:tcBorders/>
            <w:vAlign w:val="center"/>
          </w:tcPr>
          <w:p>
            <w:pPr>
              <w:pStyle w:val="TableContents"/>
              <w:bidi w:val="0"/>
              <w:spacing w:before="0" w:after="1"/>
              <w:ind w:left="0" w:right="0" w:hanging="0"/>
              <w:jc w:val="left"/>
              <w:rPr/>
            </w:pPr>
            <w:r>
              <w:rPr/>
              <w:t> </w:t>
            </w:r>
          </w:p>
        </w:tc>
        <w:tc>
          <w:tcPr>
            <w:tcW w:w="1298"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118,877</w:t>
            </w:r>
          </w:p>
        </w:tc>
      </w:tr>
      <w:tr>
        <w:trPr/>
        <w:tc>
          <w:tcPr>
            <w:tcW w:w="6795"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Shares available for issuance under the 2014 Non-employee Equity Compensation Plan</w:t>
            </w:r>
          </w:p>
        </w:tc>
        <w:tc>
          <w:tcPr>
            <w:tcW w:w="326" w:type="dxa"/>
            <w:tcBorders/>
            <w:shd w:fill="CCEEFF" w:val="clear"/>
            <w:vAlign w:val="center"/>
          </w:tcPr>
          <w:p>
            <w:pPr>
              <w:pStyle w:val="TableContents"/>
              <w:bidi w:val="0"/>
              <w:spacing w:before="0" w:after="1"/>
              <w:ind w:left="0" w:right="0" w:hanging="0"/>
              <w:jc w:val="left"/>
              <w:rPr/>
            </w:pPr>
            <w:r>
              <w:rPr/>
              <w:t>​</w:t>
            </w:r>
          </w:p>
        </w:tc>
        <w:tc>
          <w:tcPr>
            <w:tcW w:w="168" w:type="dxa"/>
            <w:tcBorders/>
            <w:shd w:fill="CCEEFF" w:val="clear"/>
            <w:vAlign w:val="center"/>
          </w:tcPr>
          <w:p>
            <w:pPr>
              <w:pStyle w:val="TableContents"/>
              <w:bidi w:val="0"/>
              <w:spacing w:before="0" w:after="1"/>
              <w:ind w:left="0" w:right="0" w:hanging="0"/>
              <w:jc w:val="left"/>
              <w:rPr/>
            </w:pPr>
            <w:r>
              <w:rPr/>
              <w:t> </w:t>
            </w:r>
          </w:p>
        </w:tc>
        <w:tc>
          <w:tcPr>
            <w:tcW w:w="107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23,262</w:t>
            </w:r>
          </w:p>
        </w:tc>
        <w:tc>
          <w:tcPr>
            <w:tcW w:w="326" w:type="dxa"/>
            <w:tcBorders/>
            <w:shd w:fill="CCEEFF" w:val="clear"/>
            <w:vAlign w:val="center"/>
          </w:tcPr>
          <w:p>
            <w:pPr>
              <w:pStyle w:val="TableContents"/>
              <w:bidi w:val="0"/>
              <w:spacing w:before="0" w:after="1"/>
              <w:ind w:left="0" w:right="0" w:hanging="0"/>
              <w:jc w:val="left"/>
              <w:rPr/>
            </w:pPr>
            <w:r>
              <w:rPr/>
              <w:t>​</w:t>
            </w:r>
          </w:p>
        </w:tc>
        <w:tc>
          <w:tcPr>
            <w:tcW w:w="213" w:type="dxa"/>
            <w:tcBorders/>
            <w:shd w:fill="CCEEFF" w:val="clear"/>
            <w:vAlign w:val="center"/>
          </w:tcPr>
          <w:p>
            <w:pPr>
              <w:pStyle w:val="TableContents"/>
              <w:bidi w:val="0"/>
              <w:spacing w:before="0" w:after="1"/>
              <w:ind w:left="0" w:right="0" w:hanging="0"/>
              <w:jc w:val="left"/>
              <w:rPr/>
            </w:pPr>
            <w:r>
              <w:rPr/>
              <w:t> </w:t>
            </w:r>
          </w:p>
        </w:tc>
        <w:tc>
          <w:tcPr>
            <w:tcW w:w="129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29,137</w:t>
            </w:r>
          </w:p>
        </w:tc>
      </w:tr>
      <w:tr>
        <w:trPr/>
        <w:tc>
          <w:tcPr>
            <w:tcW w:w="6795"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Shares available for issuance under the 2015 Performance Share Unit Plan</w:t>
            </w:r>
          </w:p>
        </w:tc>
        <w:tc>
          <w:tcPr>
            <w:tcW w:w="326" w:type="dxa"/>
            <w:tcBorders/>
            <w:vAlign w:val="center"/>
          </w:tcPr>
          <w:p>
            <w:pPr>
              <w:pStyle w:val="TableContents"/>
              <w:bidi w:val="0"/>
              <w:spacing w:before="0" w:after="1"/>
              <w:ind w:left="0" w:right="0" w:hanging="0"/>
              <w:jc w:val="left"/>
              <w:rPr/>
            </w:pPr>
            <w:r>
              <w:rPr/>
              <w:t>​</w:t>
            </w:r>
          </w:p>
        </w:tc>
        <w:tc>
          <w:tcPr>
            <w:tcW w:w="168" w:type="dxa"/>
            <w:tcBorders/>
            <w:vAlign w:val="center"/>
          </w:tcPr>
          <w:p>
            <w:pPr>
              <w:pStyle w:val="TableContents"/>
              <w:bidi w:val="0"/>
              <w:spacing w:before="0" w:after="1"/>
              <w:ind w:left="0" w:right="0" w:hanging="0"/>
              <w:jc w:val="left"/>
              <w:rPr/>
            </w:pPr>
            <w:r>
              <w:rPr/>
              <w:t> </w:t>
            </w:r>
          </w:p>
        </w:tc>
        <w:tc>
          <w:tcPr>
            <w:tcW w:w="107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112,647</w:t>
            </w:r>
          </w:p>
        </w:tc>
        <w:tc>
          <w:tcPr>
            <w:tcW w:w="326" w:type="dxa"/>
            <w:tcBorders/>
            <w:vAlign w:val="center"/>
          </w:tcPr>
          <w:p>
            <w:pPr>
              <w:pStyle w:val="TableContents"/>
              <w:bidi w:val="0"/>
              <w:spacing w:before="0" w:after="1"/>
              <w:ind w:left="0" w:right="0" w:hanging="0"/>
              <w:jc w:val="left"/>
              <w:rPr/>
            </w:pPr>
            <w:r>
              <w:rPr/>
              <w:t>​</w:t>
            </w:r>
          </w:p>
        </w:tc>
        <w:tc>
          <w:tcPr>
            <w:tcW w:w="213" w:type="dxa"/>
            <w:tcBorders/>
            <w:vAlign w:val="center"/>
          </w:tcPr>
          <w:p>
            <w:pPr>
              <w:pStyle w:val="TableContents"/>
              <w:bidi w:val="0"/>
              <w:spacing w:before="0" w:after="1"/>
              <w:ind w:left="0" w:right="0" w:hanging="0"/>
              <w:jc w:val="left"/>
              <w:rPr/>
            </w:pPr>
            <w:r>
              <w:rPr/>
              <w:t> </w:t>
            </w:r>
          </w:p>
        </w:tc>
        <w:tc>
          <w:tcPr>
            <w:tcW w:w="1298"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108,897</w:t>
            </w:r>
          </w:p>
        </w:tc>
      </w:tr>
      <w:tr>
        <w:trPr/>
        <w:tc>
          <w:tcPr>
            <w:tcW w:w="6795"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Shares available for issuance under the 2017 Equity Inducement Plan</w:t>
            </w:r>
          </w:p>
        </w:tc>
        <w:tc>
          <w:tcPr>
            <w:tcW w:w="326" w:type="dxa"/>
            <w:tcBorders/>
            <w:shd w:fill="CCEEFF" w:val="clear"/>
            <w:vAlign w:val="center"/>
          </w:tcPr>
          <w:p>
            <w:pPr>
              <w:pStyle w:val="TableContents"/>
              <w:bidi w:val="0"/>
              <w:spacing w:before="0" w:after="1"/>
              <w:ind w:left="0" w:right="0" w:hanging="0"/>
              <w:jc w:val="left"/>
              <w:rPr/>
            </w:pPr>
            <w:r>
              <w:rPr/>
              <w:t>​</w:t>
            </w:r>
          </w:p>
        </w:tc>
        <w:tc>
          <w:tcPr>
            <w:tcW w:w="168" w:type="dxa"/>
            <w:tcBorders/>
            <w:shd w:fill="CCEEFF" w:val="clear"/>
            <w:vAlign w:val="center"/>
          </w:tcPr>
          <w:p>
            <w:pPr>
              <w:pStyle w:val="TableContents"/>
              <w:bidi w:val="0"/>
              <w:spacing w:before="0" w:after="1"/>
              <w:ind w:left="0" w:right="0" w:hanging="0"/>
              <w:jc w:val="left"/>
              <w:rPr/>
            </w:pPr>
            <w:r>
              <w:rPr/>
              <w:t> </w:t>
            </w:r>
          </w:p>
        </w:tc>
        <w:tc>
          <w:tcPr>
            <w:tcW w:w="107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132,927</w:t>
            </w:r>
          </w:p>
        </w:tc>
        <w:tc>
          <w:tcPr>
            <w:tcW w:w="326" w:type="dxa"/>
            <w:tcBorders/>
            <w:shd w:fill="CCEEFF" w:val="clear"/>
            <w:vAlign w:val="center"/>
          </w:tcPr>
          <w:p>
            <w:pPr>
              <w:pStyle w:val="TableContents"/>
              <w:bidi w:val="0"/>
              <w:spacing w:before="0" w:after="1"/>
              <w:ind w:left="0" w:right="0" w:hanging="0"/>
              <w:jc w:val="left"/>
              <w:rPr/>
            </w:pPr>
            <w:r>
              <w:rPr/>
              <w:t>​</w:t>
            </w:r>
          </w:p>
        </w:tc>
        <w:tc>
          <w:tcPr>
            <w:tcW w:w="213" w:type="dxa"/>
            <w:tcBorders/>
            <w:shd w:fill="CCEEFF" w:val="clear"/>
            <w:vAlign w:val="center"/>
          </w:tcPr>
          <w:p>
            <w:pPr>
              <w:pStyle w:val="TableContents"/>
              <w:bidi w:val="0"/>
              <w:spacing w:before="0" w:after="1"/>
              <w:ind w:left="0" w:right="0" w:hanging="0"/>
              <w:jc w:val="left"/>
              <w:rPr/>
            </w:pPr>
            <w:r>
              <w:rPr/>
              <w:t> </w:t>
            </w:r>
          </w:p>
        </w:tc>
        <w:tc>
          <w:tcPr>
            <w:tcW w:w="129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51,084</w:t>
            </w:r>
          </w:p>
        </w:tc>
      </w:tr>
      <w:tr>
        <w:trPr/>
        <w:tc>
          <w:tcPr>
            <w:tcW w:w="6795"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Shares available for issuance under the Employee Stock Purchase Plan</w:t>
            </w:r>
          </w:p>
        </w:tc>
        <w:tc>
          <w:tcPr>
            <w:tcW w:w="326" w:type="dxa"/>
            <w:tcBorders/>
            <w:vAlign w:val="center"/>
          </w:tcPr>
          <w:p>
            <w:pPr>
              <w:pStyle w:val="TableContents"/>
              <w:bidi w:val="0"/>
              <w:spacing w:before="0" w:after="1"/>
              <w:ind w:left="0" w:right="0" w:hanging="0"/>
              <w:jc w:val="left"/>
              <w:rPr/>
            </w:pPr>
            <w:r>
              <w:rPr/>
              <w:t>​</w:t>
            </w:r>
          </w:p>
        </w:tc>
        <w:tc>
          <w:tcPr>
            <w:tcW w:w="168"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079"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14,716</w:t>
            </w:r>
          </w:p>
        </w:tc>
        <w:tc>
          <w:tcPr>
            <w:tcW w:w="326" w:type="dxa"/>
            <w:tcBorders/>
            <w:vAlign w:val="center"/>
          </w:tcPr>
          <w:p>
            <w:pPr>
              <w:pStyle w:val="TableContents"/>
              <w:bidi w:val="0"/>
              <w:spacing w:before="0" w:after="1"/>
              <w:ind w:left="0" w:right="0" w:hanging="0"/>
              <w:jc w:val="left"/>
              <w:rPr/>
            </w:pPr>
            <w:r>
              <w:rPr/>
              <w:t>​</w:t>
            </w:r>
          </w:p>
        </w:tc>
        <w:tc>
          <w:tcPr>
            <w:tcW w:w="213"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298"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14,716</w:t>
            </w:r>
          </w:p>
        </w:tc>
      </w:tr>
      <w:tr>
        <w:trPr/>
        <w:tc>
          <w:tcPr>
            <w:tcW w:w="6795"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w:t>
            </w:r>
          </w:p>
        </w:tc>
        <w:tc>
          <w:tcPr>
            <w:tcW w:w="326" w:type="dxa"/>
            <w:tcBorders/>
            <w:shd w:fill="CCEEFF" w:val="clear"/>
            <w:vAlign w:val="center"/>
          </w:tcPr>
          <w:p>
            <w:pPr>
              <w:pStyle w:val="TableContents"/>
              <w:bidi w:val="0"/>
              <w:spacing w:before="0" w:after="1"/>
              <w:ind w:left="0" w:right="0" w:hanging="0"/>
              <w:jc w:val="left"/>
              <w:rPr/>
            </w:pPr>
            <w:r>
              <w:rPr/>
              <w:t>​</w:t>
            </w:r>
          </w:p>
        </w:tc>
        <w:tc>
          <w:tcPr>
            <w:tcW w:w="168"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079"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2,401,248</w:t>
            </w:r>
          </w:p>
        </w:tc>
        <w:tc>
          <w:tcPr>
            <w:tcW w:w="326" w:type="dxa"/>
            <w:tcBorders/>
            <w:shd w:fill="CCEEFF" w:val="clear"/>
            <w:vAlign w:val="center"/>
          </w:tcPr>
          <w:p>
            <w:pPr>
              <w:pStyle w:val="TableContents"/>
              <w:bidi w:val="0"/>
              <w:spacing w:before="0" w:after="1"/>
              <w:ind w:left="0" w:right="0" w:hanging="0"/>
              <w:jc w:val="left"/>
              <w:rPr/>
            </w:pPr>
            <w:r>
              <w:rPr/>
              <w:t>​</w:t>
            </w:r>
          </w:p>
        </w:tc>
        <w:tc>
          <w:tcPr>
            <w:tcW w:w="213"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298" w:type="dxa"/>
            <w:tcBorders>
              <w:bottom w:val="double" w:sz="6" w:space="0" w:color="000000"/>
            </w:tcBorders>
            <w:shd w:fill="CCEEFF" w:val="clear"/>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905,278</w:t>
            </w:r>
          </w:p>
        </w:tc>
      </w:tr>
    </w:tbl>
    <w:p>
      <w:pPr>
        <w:pStyle w:val="TextBody"/>
        <w:bidi w:val="0"/>
        <w:spacing w:before="0" w:after="240"/>
        <w:ind w:left="0" w:right="0" w:hanging="0"/>
        <w:jc w:val="left"/>
        <w:rPr/>
      </w:pPr>
      <w:r>
        <w:rPr/>
        <w:t>​</w:t>
      </w:r>
    </w:p>
    <w:p>
      <w:pPr>
        <w:pStyle w:val="TextBody"/>
        <w:bidi w:val="0"/>
        <w:spacing w:before="0" w:after="24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right"/>
        <w:rPr>
          <w:rFonts w:ascii="Times New Roman;Times;serif" w:hAnsi="Times New Roman;Times;serif"/>
          <w:sz w:val="20"/>
        </w:rPr>
      </w:pPr>
      <w:r>
        <w:rPr>
          <w:rFonts w:ascii="Times New Roman;Times;serif" w:hAnsi="Times New Roman;Times;serif"/>
          <w:sz w:val="20"/>
        </w:rPr>
        <w:t>17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Note 8 – Stock-Based Compensation</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Equity Incentive Plans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2013 Equity Incentive Plan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Effective on June 14, 2023, the Company’s stockholders approved the amendment and restatement of the 2013 Equity Incentive Plan to increase the number of shares reserved for issuance thereunder by 50,000 shares, bringing the total number of shares approved for issuance under that plan to 489,298.</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As of March 31, 2024, 120,949 shares of common stock remain eligible to be issued through equity-based instruments under the 2013 Equity Incentive Plan.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2014 Non-Employee Equity Compensation Plan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Effective on May 26, 2020, the Company’s stockholders approved the amendment and restatement of the 2014 Non-Employee Equity Compensation Plan to increase the number of shares reserved for issuance through equity-based instruments thereunder by 40,000 shares, bringing the total number of shares approved for issuance under that plan to 82,500.</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As of March 31, 2024, 23,262 shares of common stock remain eligible to be issued through equity-based instruments under the 2014 Non-Employee Equity Compensation Plan.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2015 Performance Share Unit Plan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Effective on June 16, 2021, the Company’s stockholders approved the amendment and restatement of the 2015 Performance Share Unit Plan to increase the number of shares reserved for issuance through equity-based instruments thereunder by 85,000 shares, bringing the total number of shares approved for issuance under that plan to 255,505.</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As of March 31, 2024, 112,647 shares of common stock remain eligible to be issued through equity-based instruments under the 2015 Performance Share Unit Plan.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2017 Equity Inducement Plan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On December 28, 2017, the Board approved the 2017 Equity Inducement Plan. Under the 2017 Equity Inducement Plan, the Board reserved 30,000 shares for the grant of RSUs. These grants will be administered by the Board or a committee of the Board. These awards will be granted to individuals who (a) are being hired as an employee by the Company or any subsidiary and such award is a material inducement to such person being hired; (b) are being rehired as an employee following a bona fide period of interruption of employment with the Company or any subsidiary; or (c) will become an employee of the Company or any subsidiary in connection with a merger or acquisition.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On July 20, 2022, the Board increased the number of shares of common stock reserved and available for issuance under the 2017 Equity Inducement Plan by 100,000 shares. On March 28, 2024, the Board increased the number of shares of common stock reserved and available for issuance under the 2017 Equity Inducement Plan by 121,510 shares. As of March 31, 2024, 132,927 shares of common stock remain available to be issued through equity-based instruments under the 2017 Equity Inducement Plan.</w:t>
      </w:r>
    </w:p>
    <w:p>
      <w:pPr>
        <w:pStyle w:val="TextBody"/>
        <w:bidi w:val="0"/>
        <w:spacing w:before="480" w:after="0"/>
        <w:ind w:left="0" w:right="0" w:hanging="0"/>
        <w:jc w:val="right"/>
        <w:rPr>
          <w:rFonts w:ascii="Times New Roman;Times;serif" w:hAnsi="Times New Roman;Times;serif"/>
          <w:sz w:val="20"/>
        </w:rPr>
      </w:pPr>
      <w:r>
        <w:rPr>
          <w:rFonts w:ascii="Times New Roman;Times;serif" w:hAnsi="Times New Roman;Times;serif"/>
          <w:sz w:val="20"/>
        </w:rPr>
        <w:t>18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bookmarkStart w:id="578" w:name="Tc_YmuUiArDB0OHT_fbl-CvCg_15_10"/>
      <w:bookmarkStart w:id="579" w:name="Tc_G3PdZK4Dz0mssihehGZbTw_15_9"/>
      <w:bookmarkStart w:id="580" w:name="Tc_aTMm1klagkumcZ0Y61hKSQ_15_4"/>
      <w:bookmarkStart w:id="581" w:name="Tc_HLJISsQTwke9CdPhGwLvsg_15_0"/>
      <w:bookmarkStart w:id="582" w:name="Tc_LbkllDq0BEWdPLB8Fz3HkQ_14_10"/>
      <w:bookmarkStart w:id="583" w:name="Tc_Q9Dd3E-U2Euxdx3TBDHhkA_14_7"/>
      <w:bookmarkStart w:id="584" w:name="Tc_3uePp6HCV0KEjmIbpln_cQ_14_5"/>
      <w:bookmarkStart w:id="585" w:name="Tc_L8X9o1-gcEScps1PptalJQ_14_2"/>
      <w:bookmarkStart w:id="586" w:name="Tc_isWtEOpo6kOEnEUdqdgqGA_14_0"/>
      <w:bookmarkStart w:id="587" w:name="Tc_2oZx5O4jK0CWkW7uLjRC9g_13_10"/>
      <w:bookmarkStart w:id="588" w:name="Tc_LaqTYBGeTEyANQNBF8MGWw_13_7"/>
      <w:bookmarkStart w:id="589" w:name="Tc_iUjir-0JJUaDs3Kasen7kw_13_5"/>
      <w:bookmarkStart w:id="590" w:name="Tc_kpqI7tMRJ0i2-16dc7vqTQ_13_2"/>
      <w:bookmarkStart w:id="591" w:name="Tc_ChcROrzgNkGSVh9v8kctcQ_13_0"/>
      <w:bookmarkStart w:id="592" w:name="Tc_58EWStatBkekE-E5XpqhPg_12_10"/>
      <w:bookmarkStart w:id="593" w:name="Tc_LyqaDOkOnkmh9x--a2rCgA_12_7"/>
      <w:bookmarkStart w:id="594" w:name="Tc_xxAfc1TuN0eLWFfXb-9D6w_12_0"/>
      <w:bookmarkStart w:id="595" w:name="Tc_VgaxkvlWb0OBh3JT4SkoaQ_11_10"/>
      <w:bookmarkStart w:id="596" w:name="Tc_rMw1Levhg0KBFU899uWapQ_11_9"/>
      <w:bookmarkStart w:id="597" w:name="Tc_jInIIkW9tE26Bm8fsDTUsw_11_4"/>
      <w:bookmarkStart w:id="598" w:name="Tc_Y7aw_FB6XE-E9-Nmz_MyLA_11_0"/>
      <w:bookmarkStart w:id="599" w:name="Tc_HUG8bUTyOUK_CFLgHcxzOg_10_10"/>
      <w:bookmarkStart w:id="600" w:name="Tc_939t4pr9A0eVQshHWhw_eQ_10_9"/>
      <w:bookmarkStart w:id="601" w:name="Tc_DK4UQAuZs0GmmdYLFIgDEw_10_4"/>
      <w:bookmarkStart w:id="602" w:name="Tc_etW4cVV3kUmP_6COkuNkng_10_0"/>
      <w:bookmarkStart w:id="603" w:name="Tc_zgZoMMeZkUuFehwhIXA4sA_9_10"/>
      <w:bookmarkStart w:id="604" w:name="Tc_3Br4hbeIZkuxZ1-ngeYKeA_9_7"/>
      <w:bookmarkStart w:id="605" w:name="Tc_5Gpht5vrNUC69xapNyiOwg_9_0"/>
      <w:bookmarkStart w:id="606" w:name="Tc_FwdqTEn4z0uaPLgF3CmbFg_8_10"/>
      <w:bookmarkStart w:id="607" w:name="Tc_2lHDKfWV9k2667KdgIu-Fg_8_7"/>
      <w:bookmarkStart w:id="608" w:name="Tc_MOvRVvIw-U-QQHHC0DixnQ_8_5"/>
      <w:bookmarkStart w:id="609" w:name="Tc_2ISCXq_x2Ue-tu8Vo1HWxA_8_2"/>
      <w:bookmarkStart w:id="610" w:name="Tc_q1Av4IRwW0GPtfCvlAKUbw_8_0"/>
      <w:bookmarkStart w:id="611" w:name="Tc_Ey2u5njt6EWty4_QAsMAUA_7_10"/>
      <w:bookmarkStart w:id="612" w:name="Tc_VqaYh09bOU-NKlURAfdn5A_7_7"/>
      <w:bookmarkStart w:id="613" w:name="Tc_IcoB5evnzUutKvLvlOb7aQ_7_5"/>
      <w:bookmarkStart w:id="614" w:name="Tc_VtJGsFMdOkm4wt3mhfuNzA_7_2"/>
      <w:bookmarkStart w:id="615" w:name="Tc_-uSolywqDk-E3h7Gg2m3vA_7_0"/>
      <w:bookmarkStart w:id="616" w:name="Tc_5aUeekNwsUGZK0LUiZrdpA_6_10"/>
      <w:bookmarkStart w:id="617" w:name="Tc_KWfIQCsplU-W87ZSW5XEpQ_6_9"/>
      <w:bookmarkStart w:id="618" w:name="Tc_L6D-wn2JeE2W6GBWvBsECA_6_4"/>
      <w:bookmarkStart w:id="619" w:name="Tc_Rd9l9BqrMUy1u2OiC80PCA_6_0"/>
      <w:bookmarkStart w:id="620" w:name="Tc_jY61qGZZCUy_unLQW9Aeuw_5_9"/>
      <w:bookmarkStart w:id="621" w:name="Tc_If37bGoCeEm3RWJ0-tgqYg_5_7"/>
      <w:bookmarkStart w:id="622" w:name="Tc_o2q-uiCmQkWw5Kc4mvkYIw_5_4"/>
      <w:bookmarkStart w:id="623" w:name="Tc_rNv_INr5x0OhS5d6ZB6y7Q_5_2"/>
      <w:bookmarkStart w:id="624" w:name="Tc_vx-flLWea0GjXal2oiJ_og_4_9"/>
      <w:bookmarkStart w:id="625" w:name="Tc_4lsANlWXG0S4onD5Y6M85A_4_7"/>
      <w:bookmarkStart w:id="626" w:name="Tc_cIQ66XyobkmUwQD8nJcCgA_4_4"/>
      <w:bookmarkStart w:id="627" w:name="Tc_BgAQrqfPdUSKu-JFxDT8-g_4_2"/>
      <w:bookmarkStart w:id="628" w:name="Tc_dQx1kdli10GcxhcZu3EleQ_3_7"/>
      <w:bookmarkStart w:id="629" w:name="Tc_9PbmBqs2XEOJzQg-SF2mlw_3_4"/>
      <w:bookmarkStart w:id="630" w:name="Tc_lge9Ep3DaUSjkPWzZ8dSxg_2_7"/>
      <w:bookmarkStart w:id="631" w:name="Tc_paLQvbEJGkywU49FWy8lUw_2_4"/>
      <w:bookmarkStart w:id="632" w:name="Tc_KVztxntZEEKoRHVqxUnPEg_1_7"/>
      <w:bookmarkStart w:id="633" w:name="_48a2258e_135d_4afd_8f6b_a28d71fd03b1"/>
      <w:bookmarkEnd w:id="578"/>
      <w:bookmarkEnd w:id="579"/>
      <w:bookmarkEnd w:id="580"/>
      <w:bookmarkEnd w:id="581"/>
      <w:bookmarkEnd w:id="582"/>
      <w:bookmarkEnd w:id="583"/>
      <w:bookmarkEnd w:id="584"/>
      <w:bookmarkEnd w:id="585"/>
      <w:bookmarkEnd w:id="586"/>
      <w:bookmarkEnd w:id="587"/>
      <w:bookmarkEnd w:id="588"/>
      <w:bookmarkEnd w:id="589"/>
      <w:bookmarkEnd w:id="590"/>
      <w:bookmarkEnd w:id="591"/>
      <w:bookmarkEnd w:id="592"/>
      <w:bookmarkEnd w:id="593"/>
      <w:bookmarkEnd w:id="594"/>
      <w:bookmarkEnd w:id="595"/>
      <w:bookmarkEnd w:id="596"/>
      <w:bookmarkEnd w:id="597"/>
      <w:bookmarkEnd w:id="598"/>
      <w:bookmarkEnd w:id="599"/>
      <w:bookmarkEnd w:id="600"/>
      <w:bookmarkEnd w:id="601"/>
      <w:bookmarkEnd w:id="602"/>
      <w:bookmarkEnd w:id="603"/>
      <w:bookmarkEnd w:id="604"/>
      <w:bookmarkEnd w:id="605"/>
      <w:bookmarkEnd w:id="606"/>
      <w:bookmarkEnd w:id="607"/>
      <w:bookmarkEnd w:id="608"/>
      <w:bookmarkEnd w:id="609"/>
      <w:bookmarkEnd w:id="610"/>
      <w:bookmarkEnd w:id="611"/>
      <w:bookmarkEnd w:id="612"/>
      <w:bookmarkEnd w:id="613"/>
      <w:bookmarkEnd w:id="614"/>
      <w:bookmarkEnd w:id="615"/>
      <w:bookmarkEnd w:id="616"/>
      <w:bookmarkEnd w:id="617"/>
      <w:bookmarkEnd w:id="618"/>
      <w:bookmarkEnd w:id="619"/>
      <w:bookmarkEnd w:id="620"/>
      <w:bookmarkEnd w:id="621"/>
      <w:bookmarkEnd w:id="622"/>
      <w:bookmarkEnd w:id="623"/>
      <w:bookmarkEnd w:id="624"/>
      <w:bookmarkEnd w:id="625"/>
      <w:bookmarkEnd w:id="626"/>
      <w:bookmarkEnd w:id="627"/>
      <w:bookmarkEnd w:id="628"/>
      <w:bookmarkEnd w:id="629"/>
      <w:bookmarkEnd w:id="630"/>
      <w:bookmarkEnd w:id="631"/>
      <w:bookmarkEnd w:id="632"/>
      <w:bookmarkEnd w:id="633"/>
      <w:r>
        <w:rPr>
          <w:rFonts w:ascii="Times New Roman;Times;serif" w:hAnsi="Times New Roman;Times;serif"/>
          <w:b/>
          <w:sz w:val="20"/>
        </w:rPr>
        <w:t>Note 8 – Stock-Based Compensation, continued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Employee Stock Purchase Plan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In April 2015, the Company’s Board approved the ESPP, under which 30,000 shares of common stock were reserved for purchase by the Company’s employees, subject to the approval by the Company’s stockholders. On May 21, 2015, the Company’s stockholders approved the ESPP. Effective on June 14, 2023, the Company’s stockholders approved the amendment and restatement of the ESPP to increase the number of shares reserved for issuance through equity-based instruments thereunder by 25,000 shares, bringing the total number of shares approved for issuance under that plan to 102,500. Under the ESPP, employees may designate an amount not less than 1% but not more than 10% of their annual compensation for the purchase of Company shares. No more than 375 shares may be purchased by an employee under the ESPP during an offering period. An offering period is six months in duration commencing on or about January 1 and July 1 of each year. The exercise price of options purchased under the ESPP is the lesser of 85% of the fair market of the common stock on the first business day of the offering period and 85% of the fair market value of the common stock on the applicable exercise date.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As of March 31, 2024, 14,716 shares of common stock remain eligible to be issued under the ESPP. Employees contributed approximately $36,000 through payroll withholdings to the ESPP as of March 31, 2024 for the current offering period which will end on June 30, 2024 with shares deemed delivered on that date.</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Stock Option Activity</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In February 2022, the Board granted the Company’s former Chief Executive Officer 15,000 stock options under the 2013 Equity Incentive Plan at an exercise price of $25.40 per share with half of the options vesting on the second anniversary of the vesting start date and a quarter of the options vesting on each of the two following anniversaries. Under the former Chief Executive Officer’s Severance Agreement, unvested awards vesting within 18 months of termination were accelerated and became vested on March 26, 2024. Consequently, 3,750 options became vested and another 3,750 options were forfeited. This resulted in stock-based compensation expense of approximately $53,000 during the three months ended March 31, 2024.</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No stock options were granted during the three months ended March 31, 2023 and 2024.</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following is a summary of the Company’s stock option activity during the three months ended March 31, 2024:</w:t>
      </w:r>
    </w:p>
    <w:p>
      <w:pPr>
        <w:pStyle w:val="TextBody"/>
        <w:bidi w:val="0"/>
        <w:spacing w:before="0" w:after="0"/>
        <w:ind w:left="0" w:right="0" w:hanging="0"/>
        <w:jc w:val="left"/>
        <w:rPr/>
      </w:pPr>
      <w:r>
        <w:rPr/>
        <w:t>​</w:t>
      </w:r>
    </w:p>
    <w:tbl>
      <w:tblPr>
        <w:tblW w:w="7637" w:type="dxa"/>
        <w:jc w:val="left"/>
        <w:tblInd w:w="0" w:type="dxa"/>
        <w:tblLayout w:type="fixed"/>
        <w:tblCellMar>
          <w:top w:w="0" w:type="dxa"/>
          <w:left w:w="0" w:type="dxa"/>
          <w:bottom w:w="0" w:type="dxa"/>
          <w:right w:w="0" w:type="dxa"/>
        </w:tblCellMar>
      </w:tblPr>
      <w:tblGrid>
        <w:gridCol w:w="2881"/>
        <w:gridCol w:w="326"/>
        <w:gridCol w:w="886"/>
        <w:gridCol w:w="326"/>
        <w:gridCol w:w="226"/>
        <w:gridCol w:w="614"/>
        <w:gridCol w:w="326"/>
        <w:gridCol w:w="931"/>
        <w:gridCol w:w="326"/>
        <w:gridCol w:w="253"/>
        <w:gridCol w:w="542"/>
      </w:tblGrid>
      <w:tr>
        <w:trPr/>
        <w:tc>
          <w:tcPr>
            <w:tcW w:w="28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1829435" cy="175260"/>
                      <wp:effectExtent l="0" t="0" r="0" b="0"/>
                      <wp:wrapNone/>
                      <wp:docPr id="95" name="Frame95"/>
                      <a:graphic xmlns:a="http://schemas.openxmlformats.org/drawingml/2006/main">
                        <a:graphicData uri="http://schemas.microsoft.com/office/word/2010/wordprocessingShape">
                          <wps:wsp>
                            <wps:cNvSpPr txBox="1"/>
                            <wps:spPr>
                              <a:xfrm>
                                <a:off x="0" y="0"/>
                                <a:ext cx="18294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207010" cy="175260"/>
                      <wp:effectExtent l="0" t="0" r="0" b="0"/>
                      <wp:wrapNone/>
                      <wp:docPr id="96" name="Frame9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562610" cy="175260"/>
                      <wp:effectExtent l="0" t="0" r="0" b="0"/>
                      <wp:wrapNone/>
                      <wp:docPr id="97" name="Frame97"/>
                      <a:graphic xmlns:a="http://schemas.openxmlformats.org/drawingml/2006/main">
                        <a:graphicData uri="http://schemas.microsoft.com/office/word/2010/wordprocessingShape">
                          <wps:wsp>
                            <wps:cNvSpPr txBox="1"/>
                            <wps:spPr>
                              <a:xfrm>
                                <a:off x="0" y="0"/>
                                <a:ext cx="562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207010" cy="175260"/>
                      <wp:effectExtent l="0" t="0" r="0" b="0"/>
                      <wp:wrapNone/>
                      <wp:docPr id="98" name="Frame9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143510" cy="175260"/>
                      <wp:effectExtent l="0" t="0" r="0" b="0"/>
                      <wp:wrapNone/>
                      <wp:docPr id="99" name="Frame99"/>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1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389890" cy="175260"/>
                      <wp:effectExtent l="0" t="0" r="0" b="0"/>
                      <wp:wrapNone/>
                      <wp:docPr id="100" name="Frame100"/>
                      <a:graphic xmlns:a="http://schemas.openxmlformats.org/drawingml/2006/main">
                        <a:graphicData uri="http://schemas.microsoft.com/office/word/2010/wordprocessingShape">
                          <wps:wsp>
                            <wps:cNvSpPr txBox="1"/>
                            <wps:spPr>
                              <a:xfrm>
                                <a:off x="0" y="0"/>
                                <a:ext cx="3898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207010" cy="175260"/>
                      <wp:effectExtent l="0" t="0" r="0" b="0"/>
                      <wp:wrapNone/>
                      <wp:docPr id="101" name="Frame10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591185" cy="175260"/>
                      <wp:effectExtent l="0" t="0" r="0" b="0"/>
                      <wp:wrapNone/>
                      <wp:docPr id="102" name="Frame102"/>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207010" cy="175260"/>
                      <wp:effectExtent l="0" t="0" r="0" b="0"/>
                      <wp:wrapNone/>
                      <wp:docPr id="103" name="Frame10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5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160655" cy="175260"/>
                      <wp:effectExtent l="0" t="0" r="0" b="0"/>
                      <wp:wrapNone/>
                      <wp:docPr id="104" name="Frame104"/>
                      <a:graphic xmlns:a="http://schemas.openxmlformats.org/drawingml/2006/main">
                        <a:graphicData uri="http://schemas.microsoft.com/office/word/2010/wordprocessingShape">
                          <wps:wsp>
                            <wps:cNvSpPr txBox="1"/>
                            <wps:spPr>
                              <a:xfrm>
                                <a:off x="0" y="0"/>
                                <a:ext cx="1606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4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344170" cy="175260"/>
                      <wp:effectExtent l="0" t="0" r="0" b="0"/>
                      <wp:wrapNone/>
                      <wp:docPr id="105" name="Frame105"/>
                      <a:graphic xmlns:a="http://schemas.openxmlformats.org/drawingml/2006/main">
                        <a:graphicData uri="http://schemas.microsoft.com/office/word/2010/wordprocessingShape">
                          <wps:wsp>
                            <wps:cNvSpPr txBox="1"/>
                            <wps:spPr>
                              <a:xfrm>
                                <a:off x="0" y="0"/>
                                <a:ext cx="3441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88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88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    </w:t>
            </w:r>
          </w:p>
        </w:tc>
        <w:tc>
          <w:tcPr>
            <w:tcW w:w="226" w:type="dxa"/>
            <w:tcBorders/>
            <w:vAlign w:val="center"/>
          </w:tcPr>
          <w:p>
            <w:pPr>
              <w:pStyle w:val="TableContents"/>
              <w:bidi w:val="0"/>
              <w:spacing w:before="0" w:after="0"/>
              <w:ind w:left="0" w:right="0" w:hanging="0"/>
              <w:jc w:val="left"/>
              <w:rPr/>
            </w:pPr>
            <w:r>
              <w:rPr/>
              <w:t>​</w:t>
            </w:r>
          </w:p>
        </w:tc>
        <w:tc>
          <w:tcPr>
            <w:tcW w:w="614"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    </w:t>
            </w:r>
          </w:p>
        </w:tc>
        <w:tc>
          <w:tcPr>
            <w:tcW w:w="93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Weighted</w:t>
            </w:r>
          </w:p>
        </w:tc>
        <w:tc>
          <w:tcPr>
            <w:tcW w:w="326" w:type="dxa"/>
            <w:tcBorders/>
            <w:vAlign w:val="center"/>
          </w:tcPr>
          <w:p>
            <w:pPr>
              <w:pStyle w:val="TableContents"/>
              <w:bidi w:val="0"/>
              <w:spacing w:before="0" w:after="0"/>
              <w:ind w:left="0" w:right="0" w:hanging="0"/>
              <w:jc w:val="center"/>
              <w:rPr/>
            </w:pPr>
            <w:r>
              <w:rPr/>
              <w:t>    </w:t>
            </w:r>
          </w:p>
        </w:tc>
        <w:tc>
          <w:tcPr>
            <w:tcW w:w="253" w:type="dxa"/>
            <w:tcBorders/>
            <w:vAlign w:val="center"/>
          </w:tcPr>
          <w:p>
            <w:pPr>
              <w:pStyle w:val="TableContents"/>
              <w:bidi w:val="0"/>
              <w:spacing w:before="0" w:after="0"/>
              <w:ind w:left="0" w:right="0" w:hanging="0"/>
              <w:jc w:val="left"/>
              <w:rPr/>
            </w:pPr>
            <w:r>
              <w:rPr/>
              <w:t>​</w:t>
            </w:r>
          </w:p>
        </w:tc>
        <w:tc>
          <w:tcPr>
            <w:tcW w:w="542" w:type="dxa"/>
            <w:tcBorders/>
            <w:vAlign w:val="center"/>
          </w:tcPr>
          <w:p>
            <w:pPr>
              <w:pStyle w:val="TableContents"/>
              <w:bidi w:val="0"/>
              <w:spacing w:before="0" w:after="0"/>
              <w:ind w:left="0" w:right="0" w:hanging="0"/>
              <w:jc w:val="center"/>
              <w:rPr/>
            </w:pPr>
            <w:r>
              <w:rPr/>
              <w:t>​</w:t>
            </w:r>
          </w:p>
        </w:tc>
      </w:tr>
      <w:tr>
        <w:trPr/>
        <w:tc>
          <w:tcPr>
            <w:tcW w:w="288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88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84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Weighted </w:t>
            </w:r>
          </w:p>
        </w:tc>
        <w:tc>
          <w:tcPr>
            <w:tcW w:w="326" w:type="dxa"/>
            <w:tcBorders/>
            <w:vAlign w:val="center"/>
          </w:tcPr>
          <w:p>
            <w:pPr>
              <w:pStyle w:val="TableContents"/>
              <w:bidi w:val="0"/>
              <w:spacing w:before="0" w:after="0"/>
              <w:ind w:left="0" w:right="0" w:hanging="0"/>
              <w:jc w:val="center"/>
              <w:rPr/>
            </w:pPr>
            <w:r>
              <w:rPr/>
              <w:t>​</w:t>
            </w:r>
          </w:p>
        </w:tc>
        <w:tc>
          <w:tcPr>
            <w:tcW w:w="93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Average</w:t>
            </w:r>
          </w:p>
        </w:tc>
        <w:tc>
          <w:tcPr>
            <w:tcW w:w="326" w:type="dxa"/>
            <w:tcBorders/>
            <w:vAlign w:val="center"/>
          </w:tcPr>
          <w:p>
            <w:pPr>
              <w:pStyle w:val="TableContents"/>
              <w:bidi w:val="0"/>
              <w:spacing w:before="0" w:after="0"/>
              <w:ind w:left="0" w:right="0" w:hanging="0"/>
              <w:jc w:val="center"/>
              <w:rPr/>
            </w:pPr>
            <w:r>
              <w:rPr/>
              <w:t>​</w:t>
            </w:r>
          </w:p>
        </w:tc>
        <w:tc>
          <w:tcPr>
            <w:tcW w:w="253" w:type="dxa"/>
            <w:tcBorders/>
            <w:vAlign w:val="center"/>
          </w:tcPr>
          <w:p>
            <w:pPr>
              <w:pStyle w:val="TableContents"/>
              <w:bidi w:val="0"/>
              <w:spacing w:before="0" w:after="0"/>
              <w:ind w:left="0" w:right="0" w:hanging="0"/>
              <w:jc w:val="left"/>
              <w:rPr/>
            </w:pPr>
            <w:r>
              <w:rPr/>
              <w:t>​</w:t>
            </w:r>
          </w:p>
        </w:tc>
        <w:tc>
          <w:tcPr>
            <w:tcW w:w="542" w:type="dxa"/>
            <w:tcBorders/>
            <w:vAlign w:val="center"/>
          </w:tcPr>
          <w:p>
            <w:pPr>
              <w:pStyle w:val="TableContents"/>
              <w:bidi w:val="0"/>
              <w:spacing w:before="0" w:after="0"/>
              <w:ind w:left="0" w:right="0" w:hanging="0"/>
              <w:jc w:val="center"/>
              <w:rPr/>
            </w:pPr>
            <w:r>
              <w:rPr/>
              <w:t>​</w:t>
            </w:r>
          </w:p>
        </w:tc>
      </w:tr>
      <w:tr>
        <w:trPr/>
        <w:tc>
          <w:tcPr>
            <w:tcW w:w="288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88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84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Average </w:t>
            </w:r>
          </w:p>
        </w:tc>
        <w:tc>
          <w:tcPr>
            <w:tcW w:w="326" w:type="dxa"/>
            <w:tcBorders/>
            <w:vAlign w:val="center"/>
          </w:tcPr>
          <w:p>
            <w:pPr>
              <w:pStyle w:val="TableContents"/>
              <w:bidi w:val="0"/>
              <w:spacing w:before="0" w:after="0"/>
              <w:ind w:left="0" w:right="0" w:hanging="0"/>
              <w:jc w:val="center"/>
              <w:rPr/>
            </w:pPr>
            <w:r>
              <w:rPr/>
              <w:t>​</w:t>
            </w:r>
          </w:p>
        </w:tc>
        <w:tc>
          <w:tcPr>
            <w:tcW w:w="93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Remaining </w:t>
            </w:r>
          </w:p>
        </w:tc>
        <w:tc>
          <w:tcPr>
            <w:tcW w:w="326" w:type="dxa"/>
            <w:tcBorders/>
            <w:vAlign w:val="center"/>
          </w:tcPr>
          <w:p>
            <w:pPr>
              <w:pStyle w:val="TableContents"/>
              <w:bidi w:val="0"/>
              <w:spacing w:before="0" w:after="0"/>
              <w:ind w:left="0" w:right="0" w:hanging="0"/>
              <w:jc w:val="center"/>
              <w:rPr/>
            </w:pPr>
            <w:r>
              <w:rPr/>
              <w:t>​</w:t>
            </w:r>
          </w:p>
        </w:tc>
        <w:tc>
          <w:tcPr>
            <w:tcW w:w="253" w:type="dxa"/>
            <w:tcBorders/>
            <w:vAlign w:val="center"/>
          </w:tcPr>
          <w:p>
            <w:pPr>
              <w:pStyle w:val="TableContents"/>
              <w:bidi w:val="0"/>
              <w:spacing w:before="0" w:after="0"/>
              <w:ind w:left="0" w:right="0" w:hanging="0"/>
              <w:jc w:val="left"/>
              <w:rPr/>
            </w:pPr>
            <w:r>
              <w:rPr/>
              <w:t>​</w:t>
            </w:r>
          </w:p>
        </w:tc>
        <w:tc>
          <w:tcPr>
            <w:tcW w:w="542" w:type="dxa"/>
            <w:tcBorders/>
            <w:vAlign w:val="center"/>
          </w:tcPr>
          <w:p>
            <w:pPr>
              <w:pStyle w:val="TableContents"/>
              <w:bidi w:val="0"/>
              <w:spacing w:before="0" w:after="0"/>
              <w:ind w:left="0" w:right="0" w:hanging="0"/>
              <w:jc w:val="center"/>
              <w:rPr/>
            </w:pPr>
            <w:r>
              <w:rPr/>
              <w:t>​</w:t>
            </w:r>
          </w:p>
        </w:tc>
      </w:tr>
      <w:tr>
        <w:trPr/>
        <w:tc>
          <w:tcPr>
            <w:tcW w:w="288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88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Number of</w:t>
            </w:r>
          </w:p>
        </w:tc>
        <w:tc>
          <w:tcPr>
            <w:tcW w:w="326" w:type="dxa"/>
            <w:tcBorders/>
            <w:vAlign w:val="center"/>
          </w:tcPr>
          <w:p>
            <w:pPr>
              <w:pStyle w:val="TableContents"/>
              <w:bidi w:val="0"/>
              <w:spacing w:before="0" w:after="0"/>
              <w:ind w:left="0" w:right="0" w:hanging="0"/>
              <w:jc w:val="center"/>
              <w:rPr/>
            </w:pPr>
            <w:r>
              <w:rPr/>
              <w:t>​</w:t>
            </w:r>
          </w:p>
        </w:tc>
        <w:tc>
          <w:tcPr>
            <w:tcW w:w="84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Exercise</w:t>
            </w:r>
          </w:p>
        </w:tc>
        <w:tc>
          <w:tcPr>
            <w:tcW w:w="326" w:type="dxa"/>
            <w:tcBorders/>
            <w:vAlign w:val="center"/>
          </w:tcPr>
          <w:p>
            <w:pPr>
              <w:pStyle w:val="TableContents"/>
              <w:bidi w:val="0"/>
              <w:spacing w:before="0" w:after="0"/>
              <w:ind w:left="0" w:right="0" w:hanging="0"/>
              <w:jc w:val="center"/>
              <w:rPr/>
            </w:pPr>
            <w:r>
              <w:rPr/>
              <w:t>​</w:t>
            </w:r>
          </w:p>
        </w:tc>
        <w:tc>
          <w:tcPr>
            <w:tcW w:w="93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Life In </w:t>
            </w:r>
          </w:p>
        </w:tc>
        <w:tc>
          <w:tcPr>
            <w:tcW w:w="326" w:type="dxa"/>
            <w:tcBorders/>
            <w:vAlign w:val="center"/>
          </w:tcPr>
          <w:p>
            <w:pPr>
              <w:pStyle w:val="TableContents"/>
              <w:bidi w:val="0"/>
              <w:spacing w:before="0" w:after="0"/>
              <w:ind w:left="0" w:right="0" w:hanging="0"/>
              <w:jc w:val="center"/>
              <w:rPr/>
            </w:pPr>
            <w:r>
              <w:rPr/>
              <w:t>​</w:t>
            </w:r>
          </w:p>
        </w:tc>
        <w:tc>
          <w:tcPr>
            <w:tcW w:w="795"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Intrinsic </w:t>
            </w:r>
          </w:p>
        </w:tc>
      </w:tr>
      <w:tr>
        <w:trPr/>
        <w:tc>
          <w:tcPr>
            <w:tcW w:w="288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88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Options</w:t>
            </w:r>
          </w:p>
        </w:tc>
        <w:tc>
          <w:tcPr>
            <w:tcW w:w="326" w:type="dxa"/>
            <w:tcBorders/>
            <w:vAlign w:val="center"/>
          </w:tcPr>
          <w:p>
            <w:pPr>
              <w:pStyle w:val="TableContents"/>
              <w:bidi w:val="0"/>
              <w:spacing w:before="0" w:after="0"/>
              <w:ind w:left="0" w:right="0" w:hanging="0"/>
              <w:jc w:val="center"/>
              <w:rPr/>
            </w:pPr>
            <w:r>
              <w:rPr/>
              <w:t>​</w:t>
            </w:r>
          </w:p>
        </w:tc>
        <w:tc>
          <w:tcPr>
            <w:tcW w:w="84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Price</w:t>
            </w:r>
          </w:p>
        </w:tc>
        <w:tc>
          <w:tcPr>
            <w:tcW w:w="326" w:type="dxa"/>
            <w:tcBorders/>
            <w:vAlign w:val="center"/>
          </w:tcPr>
          <w:p>
            <w:pPr>
              <w:pStyle w:val="TableContents"/>
              <w:bidi w:val="0"/>
              <w:spacing w:before="0" w:after="0"/>
              <w:ind w:left="0" w:right="0" w:hanging="0"/>
              <w:jc w:val="center"/>
              <w:rPr/>
            </w:pPr>
            <w:r>
              <w:rPr/>
              <w:t>​</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Years</w:t>
            </w:r>
          </w:p>
        </w:tc>
        <w:tc>
          <w:tcPr>
            <w:tcW w:w="326" w:type="dxa"/>
            <w:tcBorders/>
            <w:vAlign w:val="center"/>
          </w:tcPr>
          <w:p>
            <w:pPr>
              <w:pStyle w:val="TableContents"/>
              <w:bidi w:val="0"/>
              <w:spacing w:before="0" w:after="0"/>
              <w:ind w:left="0" w:right="0" w:hanging="0"/>
              <w:jc w:val="center"/>
              <w:rPr/>
            </w:pPr>
            <w:r>
              <w:rPr/>
              <w:t>​</w:t>
            </w:r>
          </w:p>
        </w:tc>
        <w:tc>
          <w:tcPr>
            <w:tcW w:w="79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Value</w:t>
            </w:r>
          </w:p>
        </w:tc>
      </w:tr>
      <w:tr>
        <w:trPr/>
        <w:tc>
          <w:tcPr>
            <w:tcW w:w="288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Outstanding as of January 1, 2024</w:t>
            </w:r>
          </w:p>
        </w:tc>
        <w:tc>
          <w:tcPr>
            <w:tcW w:w="326" w:type="dxa"/>
            <w:tcBorders/>
            <w:shd w:fill="CCEEFF" w:val="clear"/>
            <w:vAlign w:val="center"/>
          </w:tcPr>
          <w:p>
            <w:pPr>
              <w:pStyle w:val="TableContents"/>
              <w:bidi w:val="0"/>
              <w:spacing w:before="0" w:after="0"/>
              <w:ind w:left="0" w:right="0" w:hanging="0"/>
              <w:jc w:val="center"/>
              <w:rPr/>
            </w:pPr>
            <w:r>
              <w:rPr/>
              <w:t>​</w:t>
            </w:r>
          </w:p>
        </w:tc>
        <w:tc>
          <w:tcPr>
            <w:tcW w:w="8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15,000</w:t>
            </w:r>
          </w:p>
        </w:tc>
        <w:tc>
          <w:tcPr>
            <w:tcW w:w="326" w:type="dxa"/>
            <w:tcBorders/>
            <w:shd w:fill="CCEEFF" w:val="clear"/>
            <w:vAlign w:val="center"/>
          </w:tcPr>
          <w:p>
            <w:pPr>
              <w:pStyle w:val="TableContents"/>
              <w:bidi w:val="0"/>
              <w:spacing w:before="0" w:after="0"/>
              <w:ind w:left="0" w:right="0" w:hanging="0"/>
              <w:jc w:val="center"/>
              <w:rPr/>
            </w:pPr>
            <w:r>
              <w:rPr/>
              <w:t>​</w:t>
            </w:r>
          </w:p>
        </w:tc>
        <w:tc>
          <w:tcPr>
            <w:tcW w:w="2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1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25.40</w:t>
            </w:r>
          </w:p>
        </w:tc>
        <w:tc>
          <w:tcPr>
            <w:tcW w:w="326" w:type="dxa"/>
            <w:tcBorders/>
            <w:shd w:fill="CCEEFF" w:val="clear"/>
            <w:vAlign w:val="center"/>
          </w:tcPr>
          <w:p>
            <w:pPr>
              <w:pStyle w:val="TableContents"/>
              <w:bidi w:val="0"/>
              <w:spacing w:before="0" w:after="0"/>
              <w:ind w:left="0" w:right="0" w:hanging="0"/>
              <w:jc w:val="center"/>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7.9</w:t>
            </w:r>
          </w:p>
        </w:tc>
        <w:tc>
          <w:tcPr>
            <w:tcW w:w="326" w:type="dxa"/>
            <w:tcBorders/>
            <w:shd w:fill="CCEEFF" w:val="clear"/>
            <w:vAlign w:val="center"/>
          </w:tcPr>
          <w:p>
            <w:pPr>
              <w:pStyle w:val="TableContents"/>
              <w:bidi w:val="0"/>
              <w:spacing w:before="0" w:after="0"/>
              <w:ind w:left="0" w:right="0" w:hanging="0"/>
              <w:jc w:val="center"/>
              <w:rPr/>
            </w:pPr>
            <w:r>
              <w:rPr/>
              <w:t>​</w:t>
            </w:r>
          </w:p>
        </w:tc>
        <w:tc>
          <w:tcPr>
            <w:tcW w:w="25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42" w:type="dxa"/>
            <w:tcBorders/>
            <w:shd w:fill="CCEEFF" w:val="clear"/>
            <w:vAlign w:val="center"/>
          </w:tcPr>
          <w:p>
            <w:pPr>
              <w:pStyle w:val="TableContents"/>
              <w:bidi w:val="0"/>
              <w:spacing w:before="0" w:after="0"/>
              <w:ind w:left="0" w:right="0" w:hanging="0"/>
              <w:jc w:val="right"/>
              <w:rPr/>
            </w:pPr>
            <w:r>
              <w:rPr/>
              <w:t>—</w:t>
            </w:r>
          </w:p>
        </w:tc>
      </w:tr>
      <w:tr>
        <w:trPr/>
        <w:tc>
          <w:tcPr>
            <w:tcW w:w="28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Granted</w:t>
            </w:r>
          </w:p>
        </w:tc>
        <w:tc>
          <w:tcPr>
            <w:tcW w:w="326" w:type="dxa"/>
            <w:tcBorders/>
            <w:vAlign w:val="center"/>
          </w:tcPr>
          <w:p>
            <w:pPr>
              <w:pStyle w:val="TableContents"/>
              <w:bidi w:val="0"/>
              <w:spacing w:before="0" w:after="0"/>
              <w:ind w:left="0" w:right="0" w:hanging="0"/>
              <w:jc w:val="center"/>
              <w:rPr/>
            </w:pPr>
            <w:r>
              <w:rPr/>
              <w:t>​</w:t>
            </w:r>
          </w:p>
        </w:tc>
        <w:tc>
          <w:tcPr>
            <w:tcW w:w="88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center"/>
              <w:rPr/>
            </w:pPr>
            <w:r>
              <w:rPr/>
              <w:t>​</w:t>
            </w:r>
          </w:p>
        </w:tc>
        <w:tc>
          <w:tcPr>
            <w:tcW w:w="226" w:type="dxa"/>
            <w:tcBorders/>
            <w:vAlign w:val="center"/>
          </w:tcPr>
          <w:p>
            <w:pPr>
              <w:pStyle w:val="TableContents"/>
              <w:bidi w:val="0"/>
              <w:spacing w:before="0" w:after="0"/>
              <w:ind w:left="0" w:right="0" w:hanging="0"/>
              <w:jc w:val="left"/>
              <w:rPr/>
            </w:pPr>
            <w:r>
              <w:rPr/>
              <w:t>​</w:t>
            </w:r>
          </w:p>
        </w:tc>
        <w:tc>
          <w:tcPr>
            <w:tcW w:w="614"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center"/>
              <w:rPr/>
            </w:pPr>
            <w:r>
              <w:rPr/>
              <w:t>​</w:t>
            </w:r>
          </w:p>
        </w:tc>
        <w:tc>
          <w:tcPr>
            <w:tcW w:w="93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center"/>
              <w:rPr/>
            </w:pPr>
            <w:r>
              <w:rPr/>
              <w:t>​</w:t>
            </w:r>
          </w:p>
        </w:tc>
        <w:tc>
          <w:tcPr>
            <w:tcW w:w="253" w:type="dxa"/>
            <w:tcBorders/>
            <w:vAlign w:val="center"/>
          </w:tcPr>
          <w:p>
            <w:pPr>
              <w:pStyle w:val="TableContents"/>
              <w:bidi w:val="0"/>
              <w:spacing w:before="0" w:after="0"/>
              <w:ind w:left="0" w:right="0" w:hanging="0"/>
              <w:jc w:val="left"/>
              <w:rPr/>
            </w:pPr>
            <w:r>
              <w:rPr/>
              <w:t>​</w:t>
            </w:r>
          </w:p>
        </w:tc>
        <w:tc>
          <w:tcPr>
            <w:tcW w:w="542" w:type="dxa"/>
            <w:tcBorders/>
            <w:vAlign w:val="center"/>
          </w:tcPr>
          <w:p>
            <w:pPr>
              <w:pStyle w:val="TableContents"/>
              <w:bidi w:val="0"/>
              <w:spacing w:before="0" w:after="0"/>
              <w:ind w:left="0" w:right="0" w:hanging="0"/>
              <w:jc w:val="right"/>
              <w:rPr/>
            </w:pPr>
            <w:r>
              <w:rPr/>
              <w:t>—</w:t>
            </w:r>
          </w:p>
        </w:tc>
      </w:tr>
      <w:tr>
        <w:trPr/>
        <w:tc>
          <w:tcPr>
            <w:tcW w:w="288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Exercised</w:t>
            </w:r>
          </w:p>
        </w:tc>
        <w:tc>
          <w:tcPr>
            <w:tcW w:w="326" w:type="dxa"/>
            <w:tcBorders/>
            <w:shd w:fill="CCEEFF" w:val="clear"/>
            <w:vAlign w:val="center"/>
          </w:tcPr>
          <w:p>
            <w:pPr>
              <w:pStyle w:val="TableContents"/>
              <w:bidi w:val="0"/>
              <w:spacing w:before="0" w:after="0"/>
              <w:ind w:left="0" w:right="0" w:hanging="0"/>
              <w:jc w:val="center"/>
              <w:rPr/>
            </w:pPr>
            <w:r>
              <w:rPr/>
              <w:t>​</w:t>
            </w:r>
          </w:p>
        </w:tc>
        <w:tc>
          <w:tcPr>
            <w:tcW w:w="88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center"/>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614"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center"/>
              <w:rPr/>
            </w:pPr>
            <w:r>
              <w:rPr/>
              <w:t>​</w:t>
            </w:r>
          </w:p>
        </w:tc>
        <w:tc>
          <w:tcPr>
            <w:tcW w:w="93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center"/>
              <w:rPr/>
            </w:pPr>
            <w:r>
              <w:rPr/>
              <w:t>​</w:t>
            </w:r>
          </w:p>
        </w:tc>
        <w:tc>
          <w:tcPr>
            <w:tcW w:w="253" w:type="dxa"/>
            <w:tcBorders/>
            <w:shd w:fill="CCEEFF" w:val="clear"/>
            <w:vAlign w:val="center"/>
          </w:tcPr>
          <w:p>
            <w:pPr>
              <w:pStyle w:val="TableContents"/>
              <w:bidi w:val="0"/>
              <w:spacing w:before="0" w:after="0"/>
              <w:ind w:left="0" w:right="0" w:hanging="0"/>
              <w:jc w:val="left"/>
              <w:rPr/>
            </w:pPr>
            <w:r>
              <w:rPr/>
              <w:t>​</w:t>
            </w:r>
          </w:p>
        </w:tc>
        <w:tc>
          <w:tcPr>
            <w:tcW w:w="542" w:type="dxa"/>
            <w:tcBorders/>
            <w:shd w:fill="CCEEFF" w:val="clear"/>
            <w:vAlign w:val="center"/>
          </w:tcPr>
          <w:p>
            <w:pPr>
              <w:pStyle w:val="TableContents"/>
              <w:bidi w:val="0"/>
              <w:spacing w:before="0" w:after="0"/>
              <w:ind w:left="0" w:right="0" w:hanging="0"/>
              <w:jc w:val="right"/>
              <w:rPr/>
            </w:pPr>
            <w:r>
              <w:rPr/>
              <w:t>—</w:t>
            </w:r>
          </w:p>
        </w:tc>
      </w:tr>
      <w:tr>
        <w:trPr/>
        <w:tc>
          <w:tcPr>
            <w:tcW w:w="28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Forfeited</w:t>
            </w:r>
          </w:p>
        </w:tc>
        <w:tc>
          <w:tcPr>
            <w:tcW w:w="326" w:type="dxa"/>
            <w:tcBorders/>
            <w:vAlign w:val="center"/>
          </w:tcPr>
          <w:p>
            <w:pPr>
              <w:pStyle w:val="TableContents"/>
              <w:bidi w:val="0"/>
              <w:spacing w:before="0" w:after="0"/>
              <w:ind w:left="0" w:right="0" w:hanging="0"/>
              <w:jc w:val="center"/>
              <w:rPr/>
            </w:pPr>
            <w:r>
              <w:rPr/>
              <w:t>​</w:t>
            </w:r>
          </w:p>
        </w:tc>
        <w:tc>
          <w:tcPr>
            <w:tcW w:w="88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(3,750)</w:t>
            </w:r>
          </w:p>
        </w:tc>
        <w:tc>
          <w:tcPr>
            <w:tcW w:w="326" w:type="dxa"/>
            <w:tcBorders/>
            <w:vAlign w:val="center"/>
          </w:tcPr>
          <w:p>
            <w:pPr>
              <w:pStyle w:val="TableContents"/>
              <w:bidi w:val="0"/>
              <w:spacing w:before="0" w:after="0"/>
              <w:ind w:left="0" w:right="0" w:hanging="0"/>
              <w:jc w:val="center"/>
              <w:rPr/>
            </w:pPr>
            <w:r>
              <w:rPr/>
              <w:t>​</w:t>
            </w:r>
          </w:p>
        </w:tc>
        <w:tc>
          <w:tcPr>
            <w:tcW w:w="226" w:type="dxa"/>
            <w:tcBorders/>
            <w:vAlign w:val="center"/>
          </w:tcPr>
          <w:p>
            <w:pPr>
              <w:pStyle w:val="TableContents"/>
              <w:bidi w:val="0"/>
              <w:spacing w:before="0" w:after="0"/>
              <w:ind w:left="0" w:right="0" w:hanging="0"/>
              <w:jc w:val="left"/>
              <w:rPr/>
            </w:pPr>
            <w:r>
              <w:rPr/>
              <w:t>​</w:t>
            </w:r>
          </w:p>
        </w:tc>
        <w:tc>
          <w:tcPr>
            <w:tcW w:w="61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25.40</w:t>
            </w:r>
          </w:p>
        </w:tc>
        <w:tc>
          <w:tcPr>
            <w:tcW w:w="326" w:type="dxa"/>
            <w:tcBorders/>
            <w:vAlign w:val="center"/>
          </w:tcPr>
          <w:p>
            <w:pPr>
              <w:pStyle w:val="TableContents"/>
              <w:bidi w:val="0"/>
              <w:spacing w:before="0" w:after="0"/>
              <w:ind w:left="0" w:right="0" w:hanging="0"/>
              <w:jc w:val="center"/>
              <w:rPr/>
            </w:pPr>
            <w:r>
              <w:rPr/>
              <w:t>​</w:t>
            </w:r>
          </w:p>
        </w:tc>
        <w:tc>
          <w:tcPr>
            <w:tcW w:w="93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center"/>
              <w:rPr/>
            </w:pPr>
            <w:r>
              <w:rPr/>
              <w:t>​</w:t>
            </w:r>
          </w:p>
        </w:tc>
        <w:tc>
          <w:tcPr>
            <w:tcW w:w="253" w:type="dxa"/>
            <w:tcBorders/>
            <w:vAlign w:val="center"/>
          </w:tcPr>
          <w:p>
            <w:pPr>
              <w:pStyle w:val="TableContents"/>
              <w:bidi w:val="0"/>
              <w:spacing w:before="0" w:after="0"/>
              <w:ind w:left="0" w:right="0" w:hanging="0"/>
              <w:jc w:val="left"/>
              <w:rPr/>
            </w:pPr>
            <w:r>
              <w:rPr/>
              <w:t>​</w:t>
            </w:r>
          </w:p>
        </w:tc>
        <w:tc>
          <w:tcPr>
            <w:tcW w:w="542" w:type="dxa"/>
            <w:tcBorders/>
            <w:vAlign w:val="center"/>
          </w:tcPr>
          <w:p>
            <w:pPr>
              <w:pStyle w:val="TableContents"/>
              <w:bidi w:val="0"/>
              <w:spacing w:before="0" w:after="0"/>
              <w:ind w:left="0" w:right="0" w:hanging="0"/>
              <w:jc w:val="right"/>
              <w:rPr/>
            </w:pPr>
            <w:r>
              <w:rPr/>
              <w:t>—</w:t>
            </w:r>
          </w:p>
        </w:tc>
      </w:tr>
      <w:tr>
        <w:trPr/>
        <w:tc>
          <w:tcPr>
            <w:tcW w:w="288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Outstanding as of March 31, 2024</w:t>
            </w:r>
          </w:p>
        </w:tc>
        <w:tc>
          <w:tcPr>
            <w:tcW w:w="326" w:type="dxa"/>
            <w:tcBorders/>
            <w:shd w:fill="CCEEFF" w:val="clear"/>
            <w:vAlign w:val="center"/>
          </w:tcPr>
          <w:p>
            <w:pPr>
              <w:pStyle w:val="TableContents"/>
              <w:bidi w:val="0"/>
              <w:spacing w:before="0" w:after="0"/>
              <w:ind w:left="0" w:right="0" w:hanging="0"/>
              <w:jc w:val="left"/>
              <w:rPr/>
            </w:pPr>
            <w:r>
              <w:rPr/>
              <w:t> </w:t>
            </w:r>
          </w:p>
        </w:tc>
        <w:tc>
          <w:tcPr>
            <w:tcW w:w="88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11,250</w:t>
            </w:r>
          </w:p>
        </w:tc>
        <w:tc>
          <w:tcPr>
            <w:tcW w:w="32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1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25.40</w:t>
            </w:r>
          </w:p>
        </w:tc>
        <w:tc>
          <w:tcPr>
            <w:tcW w:w="326"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0.2</w:t>
            </w:r>
          </w:p>
        </w:tc>
        <w:tc>
          <w:tcPr>
            <w:tcW w:w="326" w:type="dxa"/>
            <w:tcBorders/>
            <w:shd w:fill="CCEEFF" w:val="clear"/>
            <w:vAlign w:val="center"/>
          </w:tcPr>
          <w:p>
            <w:pPr>
              <w:pStyle w:val="TableContents"/>
              <w:bidi w:val="0"/>
              <w:spacing w:before="0" w:after="0"/>
              <w:ind w:left="0" w:right="0" w:hanging="0"/>
              <w:jc w:val="left"/>
              <w:rPr/>
            </w:pPr>
            <w:r>
              <w:rPr/>
              <w:t>​</w:t>
            </w:r>
          </w:p>
        </w:tc>
        <w:tc>
          <w:tcPr>
            <w:tcW w:w="25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42" w:type="dxa"/>
            <w:tcBorders/>
            <w:shd w:fill="CCEEFF" w:val="clear"/>
            <w:vAlign w:val="center"/>
          </w:tcPr>
          <w:p>
            <w:pPr>
              <w:pStyle w:val="TableContents"/>
              <w:bidi w:val="0"/>
              <w:spacing w:before="0" w:after="0"/>
              <w:ind w:left="0" w:right="0" w:hanging="0"/>
              <w:jc w:val="right"/>
              <w:rPr/>
            </w:pPr>
            <w:r>
              <w:rPr/>
              <w:t>—</w:t>
            </w:r>
          </w:p>
        </w:tc>
      </w:tr>
      <w:tr>
        <w:trPr/>
        <w:tc>
          <w:tcPr>
            <w:tcW w:w="28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Exercisable as of January 1, 2024</w:t>
            </w:r>
          </w:p>
        </w:tc>
        <w:tc>
          <w:tcPr>
            <w:tcW w:w="326" w:type="dxa"/>
            <w:tcBorders/>
            <w:vAlign w:val="center"/>
          </w:tcPr>
          <w:p>
            <w:pPr>
              <w:pStyle w:val="TableContents"/>
              <w:bidi w:val="0"/>
              <w:spacing w:before="0" w:after="0"/>
              <w:ind w:left="0" w:right="0" w:hanging="0"/>
              <w:jc w:val="left"/>
              <w:rPr/>
            </w:pPr>
            <w:r>
              <w:rPr/>
              <w:t> </w:t>
            </w:r>
          </w:p>
        </w:tc>
        <w:tc>
          <w:tcPr>
            <w:tcW w:w="8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7,500</w:t>
            </w:r>
          </w:p>
        </w:tc>
        <w:tc>
          <w:tcPr>
            <w:tcW w:w="32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1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25.40</w:t>
            </w:r>
          </w:p>
        </w:tc>
        <w:tc>
          <w:tcPr>
            <w:tcW w:w="32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7.9</w:t>
            </w:r>
          </w:p>
        </w:tc>
        <w:tc>
          <w:tcPr>
            <w:tcW w:w="326" w:type="dxa"/>
            <w:tcBorders/>
            <w:vAlign w:val="center"/>
          </w:tcPr>
          <w:p>
            <w:pPr>
              <w:pStyle w:val="TableContents"/>
              <w:bidi w:val="0"/>
              <w:spacing w:before="0" w:after="0"/>
              <w:ind w:left="0" w:right="0" w:hanging="0"/>
              <w:jc w:val="left"/>
              <w:rPr/>
            </w:pPr>
            <w:r>
              <w:rPr/>
              <w:t>​</w:t>
            </w:r>
          </w:p>
        </w:tc>
        <w:tc>
          <w:tcPr>
            <w:tcW w:w="25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42" w:type="dxa"/>
            <w:tcBorders/>
            <w:vAlign w:val="center"/>
          </w:tcPr>
          <w:p>
            <w:pPr>
              <w:pStyle w:val="TableContents"/>
              <w:bidi w:val="0"/>
              <w:spacing w:before="0" w:after="0"/>
              <w:ind w:left="0" w:right="0" w:hanging="0"/>
              <w:jc w:val="right"/>
              <w:rPr/>
            </w:pPr>
            <w:r>
              <w:rPr/>
              <w:t>—</w:t>
            </w:r>
          </w:p>
        </w:tc>
      </w:tr>
      <w:tr>
        <w:trPr/>
        <w:tc>
          <w:tcPr>
            <w:tcW w:w="288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Vested</w:t>
            </w:r>
          </w:p>
        </w:tc>
        <w:tc>
          <w:tcPr>
            <w:tcW w:w="326" w:type="dxa"/>
            <w:tcBorders/>
            <w:shd w:fill="CCEEFF" w:val="clear"/>
            <w:vAlign w:val="center"/>
          </w:tcPr>
          <w:p>
            <w:pPr>
              <w:pStyle w:val="TableContents"/>
              <w:bidi w:val="0"/>
              <w:spacing w:before="0" w:after="0"/>
              <w:ind w:left="0" w:right="0" w:hanging="0"/>
              <w:jc w:val="left"/>
              <w:rPr/>
            </w:pPr>
            <w:r>
              <w:rPr/>
              <w:t> </w:t>
            </w:r>
          </w:p>
        </w:tc>
        <w:tc>
          <w:tcPr>
            <w:tcW w:w="8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3,750</w:t>
            </w:r>
          </w:p>
        </w:tc>
        <w:tc>
          <w:tcPr>
            <w:tcW w:w="32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 </w:t>
            </w:r>
          </w:p>
        </w:tc>
        <w:tc>
          <w:tcPr>
            <w:tcW w:w="61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25.40</w:t>
            </w:r>
          </w:p>
        </w:tc>
        <w:tc>
          <w:tcPr>
            <w:tcW w:w="326"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53" w:type="dxa"/>
            <w:tcBorders/>
            <w:shd w:fill="CCEEFF" w:val="clear"/>
            <w:vAlign w:val="center"/>
          </w:tcPr>
          <w:p>
            <w:pPr>
              <w:pStyle w:val="TableContents"/>
              <w:bidi w:val="0"/>
              <w:spacing w:before="0" w:after="0"/>
              <w:ind w:left="0" w:right="0" w:hanging="0"/>
              <w:jc w:val="left"/>
              <w:rPr/>
            </w:pPr>
            <w:r>
              <w:rPr/>
              <w:t> </w:t>
            </w:r>
          </w:p>
        </w:tc>
        <w:tc>
          <w:tcPr>
            <w:tcW w:w="542" w:type="dxa"/>
            <w:tcBorders/>
            <w:shd w:fill="CCEEFF" w:val="clear"/>
            <w:vAlign w:val="center"/>
          </w:tcPr>
          <w:p>
            <w:pPr>
              <w:pStyle w:val="TableContents"/>
              <w:bidi w:val="0"/>
              <w:spacing w:before="0" w:after="0"/>
              <w:ind w:left="0" w:right="0" w:hanging="0"/>
              <w:jc w:val="right"/>
              <w:rPr/>
            </w:pPr>
            <w:r>
              <w:rPr/>
              <w:t>—</w:t>
            </w:r>
          </w:p>
        </w:tc>
      </w:tr>
      <w:tr>
        <w:trPr/>
        <w:tc>
          <w:tcPr>
            <w:tcW w:w="28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Exercised</w:t>
            </w:r>
          </w:p>
        </w:tc>
        <w:tc>
          <w:tcPr>
            <w:tcW w:w="326" w:type="dxa"/>
            <w:tcBorders/>
            <w:vAlign w:val="center"/>
          </w:tcPr>
          <w:p>
            <w:pPr>
              <w:pStyle w:val="TableContents"/>
              <w:bidi w:val="0"/>
              <w:spacing w:before="0" w:after="0"/>
              <w:ind w:left="0" w:right="0" w:hanging="0"/>
              <w:jc w:val="left"/>
              <w:rPr/>
            </w:pPr>
            <w:r>
              <w:rPr/>
              <w:t> </w:t>
            </w:r>
          </w:p>
        </w:tc>
        <w:tc>
          <w:tcPr>
            <w:tcW w:w="88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 </w:t>
            </w:r>
          </w:p>
        </w:tc>
        <w:tc>
          <w:tcPr>
            <w:tcW w:w="614"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53" w:type="dxa"/>
            <w:tcBorders/>
            <w:vAlign w:val="center"/>
          </w:tcPr>
          <w:p>
            <w:pPr>
              <w:pStyle w:val="TableContents"/>
              <w:bidi w:val="0"/>
              <w:spacing w:before="0" w:after="0"/>
              <w:ind w:left="0" w:right="0" w:hanging="0"/>
              <w:jc w:val="left"/>
              <w:rPr/>
            </w:pPr>
            <w:r>
              <w:rPr/>
              <w:t> </w:t>
            </w:r>
          </w:p>
        </w:tc>
        <w:tc>
          <w:tcPr>
            <w:tcW w:w="542" w:type="dxa"/>
            <w:tcBorders/>
            <w:vAlign w:val="center"/>
          </w:tcPr>
          <w:p>
            <w:pPr>
              <w:pStyle w:val="TableContents"/>
              <w:bidi w:val="0"/>
              <w:spacing w:before="0" w:after="0"/>
              <w:ind w:left="0" w:right="0" w:hanging="0"/>
              <w:jc w:val="right"/>
              <w:rPr/>
            </w:pPr>
            <w:r>
              <w:rPr/>
              <w:t>—</w:t>
            </w:r>
          </w:p>
        </w:tc>
      </w:tr>
      <w:tr>
        <w:trPr/>
        <w:tc>
          <w:tcPr>
            <w:tcW w:w="288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Forfeited</w:t>
            </w:r>
          </w:p>
        </w:tc>
        <w:tc>
          <w:tcPr>
            <w:tcW w:w="326" w:type="dxa"/>
            <w:tcBorders/>
            <w:shd w:fill="CCEEFF" w:val="clear"/>
            <w:vAlign w:val="center"/>
          </w:tcPr>
          <w:p>
            <w:pPr>
              <w:pStyle w:val="TableContents"/>
              <w:bidi w:val="0"/>
              <w:spacing w:before="0" w:after="0"/>
              <w:ind w:left="0" w:right="0" w:hanging="0"/>
              <w:jc w:val="left"/>
              <w:rPr/>
            </w:pPr>
            <w:r>
              <w:rPr/>
              <w:t> </w:t>
            </w:r>
          </w:p>
        </w:tc>
        <w:tc>
          <w:tcPr>
            <w:tcW w:w="8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 </w:t>
            </w:r>
          </w:p>
        </w:tc>
        <w:tc>
          <w:tcPr>
            <w:tcW w:w="614"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53" w:type="dxa"/>
            <w:tcBorders/>
            <w:shd w:fill="CCEEFF" w:val="clear"/>
            <w:vAlign w:val="center"/>
          </w:tcPr>
          <w:p>
            <w:pPr>
              <w:pStyle w:val="TableContents"/>
              <w:bidi w:val="0"/>
              <w:spacing w:before="0" w:after="0"/>
              <w:ind w:left="0" w:right="0" w:hanging="0"/>
              <w:jc w:val="left"/>
              <w:rPr/>
            </w:pPr>
            <w:r>
              <w:rPr/>
              <w:t> </w:t>
            </w:r>
          </w:p>
        </w:tc>
        <w:tc>
          <w:tcPr>
            <w:tcW w:w="542" w:type="dxa"/>
            <w:tcBorders/>
            <w:shd w:fill="CCEEFF" w:val="clear"/>
            <w:vAlign w:val="center"/>
          </w:tcPr>
          <w:p>
            <w:pPr>
              <w:pStyle w:val="TableContents"/>
              <w:bidi w:val="0"/>
              <w:spacing w:before="0" w:after="0"/>
              <w:ind w:left="0" w:right="0" w:hanging="0"/>
              <w:jc w:val="right"/>
              <w:rPr/>
            </w:pPr>
            <w:r>
              <w:rPr/>
              <w:t>—</w:t>
            </w:r>
          </w:p>
        </w:tc>
      </w:tr>
      <w:tr>
        <w:trPr/>
        <w:tc>
          <w:tcPr>
            <w:tcW w:w="28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Exercisable as of March 31, 2024</w:t>
            </w:r>
          </w:p>
        </w:tc>
        <w:tc>
          <w:tcPr>
            <w:tcW w:w="326" w:type="dxa"/>
            <w:tcBorders/>
            <w:vAlign w:val="center"/>
          </w:tcPr>
          <w:p>
            <w:pPr>
              <w:pStyle w:val="TableContents"/>
              <w:bidi w:val="0"/>
              <w:spacing w:before="0" w:after="0"/>
              <w:ind w:left="0" w:right="0" w:hanging="0"/>
              <w:jc w:val="left"/>
              <w:rPr/>
            </w:pPr>
            <w:r>
              <w:rPr/>
              <w:t> </w:t>
            </w:r>
          </w:p>
        </w:tc>
        <w:tc>
          <w:tcPr>
            <w:tcW w:w="88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11,250</w:t>
            </w:r>
          </w:p>
        </w:tc>
        <w:tc>
          <w:tcPr>
            <w:tcW w:w="32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1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25.40</w:t>
            </w:r>
          </w:p>
        </w:tc>
        <w:tc>
          <w:tcPr>
            <w:tcW w:w="32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0.2</w:t>
            </w:r>
          </w:p>
        </w:tc>
        <w:tc>
          <w:tcPr>
            <w:tcW w:w="326" w:type="dxa"/>
            <w:tcBorders/>
            <w:vAlign w:val="center"/>
          </w:tcPr>
          <w:p>
            <w:pPr>
              <w:pStyle w:val="TableContents"/>
              <w:bidi w:val="0"/>
              <w:spacing w:before="0" w:after="0"/>
              <w:ind w:left="0" w:right="0" w:hanging="0"/>
              <w:jc w:val="left"/>
              <w:rPr/>
            </w:pPr>
            <w:r>
              <w:rPr/>
              <w:t>​</w:t>
            </w:r>
          </w:p>
        </w:tc>
        <w:tc>
          <w:tcPr>
            <w:tcW w:w="25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42" w:type="dxa"/>
            <w:tcBorders/>
            <w:vAlign w:val="center"/>
          </w:tcPr>
          <w:p>
            <w:pPr>
              <w:pStyle w:val="TableContents"/>
              <w:bidi w:val="0"/>
              <w:spacing w:before="0" w:after="0"/>
              <w:ind w:left="0" w:right="60" w:hanging="0"/>
              <w:jc w:val="right"/>
              <w:rPr/>
            </w:pPr>
            <w:r>
              <w:rPr/>
              <w:t>—</w:t>
            </w:r>
          </w:p>
        </w:tc>
      </w:tr>
    </w:tbl>
    <w:p>
      <w:pPr>
        <w:pStyle w:val="TextBody"/>
        <w:bidi w:val="0"/>
        <w:spacing w:before="0" w:after="0"/>
        <w:ind w:left="0" w:right="0" w:hanging="0"/>
        <w:jc w:val="center"/>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As of March 31, 2024, the unamortized fair value of options was $0.</w:t>
      </w:r>
    </w:p>
    <w:p>
      <w:pPr>
        <w:pStyle w:val="TextBody"/>
        <w:bidi w:val="0"/>
        <w:spacing w:before="480" w:after="0"/>
        <w:ind w:left="0" w:right="0" w:hanging="0"/>
        <w:jc w:val="right"/>
        <w:rPr>
          <w:rFonts w:ascii="Times New Roman;Times;serif" w:hAnsi="Times New Roman;Times;serif"/>
          <w:sz w:val="20"/>
        </w:rPr>
      </w:pPr>
      <w:r>
        <w:rPr>
          <w:rFonts w:ascii="Times New Roman;Times;serif" w:hAnsi="Times New Roman;Times;serif"/>
          <w:sz w:val="20"/>
        </w:rPr>
        <w:t>19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bookmarkStart w:id="634" w:name="Tc_9ZnFrv9vyEaOzLWQbe0OvA_10_4"/>
      <w:bookmarkStart w:id="635" w:name="Tc_jPoPppTkC0C_d18_LnovYg_10_0"/>
      <w:bookmarkStart w:id="636" w:name="Tc_y5FEtYVxMkmFugu8PoKXgw_9_0"/>
      <w:bookmarkStart w:id="637" w:name="Tc_LWNi24CsV0WoQUIAehWT1g_8_0"/>
      <w:bookmarkStart w:id="638" w:name="Tc_VvFntpAPn06FRno92747lw_7_0"/>
      <w:bookmarkStart w:id="639" w:name="Tc_RDU709eTskKdxJW1Csjj9w_6_4"/>
      <w:bookmarkStart w:id="640" w:name="Tc_cHN88YbLmkyf-e8ES0vP4w_6_0"/>
      <w:bookmarkStart w:id="641" w:name="Tc_0WErpIWAIUaiCsoRHO-Y8g_5_4"/>
      <w:bookmarkStart w:id="642" w:name="Tc_KPiH0STsAUOrfcPLS2Lwjg_5_2"/>
      <w:bookmarkStart w:id="643" w:name="Tc_Uk5wiFysf0a-qJ7tqQG_UQ_4_4"/>
      <w:bookmarkStart w:id="644" w:name="Tc_7PLY1SPpHEu9shl66wrC1Q_3_4"/>
      <w:bookmarkStart w:id="645" w:name="Tc_NqY7rzaXq0W6_f9YSUC7BQ_2_4"/>
      <w:bookmarkStart w:id="646" w:name="Tc_KU1LCBR3sEu23QzyT1IjaA_1_4"/>
      <w:bookmarkStart w:id="647" w:name="_464c1d1b_39d4_42a4_bc77_aaaecd820f2b"/>
      <w:bookmarkEnd w:id="634"/>
      <w:bookmarkEnd w:id="635"/>
      <w:bookmarkEnd w:id="636"/>
      <w:bookmarkEnd w:id="637"/>
      <w:bookmarkEnd w:id="638"/>
      <w:bookmarkEnd w:id="639"/>
      <w:bookmarkEnd w:id="640"/>
      <w:bookmarkEnd w:id="641"/>
      <w:bookmarkEnd w:id="642"/>
      <w:bookmarkEnd w:id="643"/>
      <w:bookmarkEnd w:id="644"/>
      <w:bookmarkEnd w:id="645"/>
      <w:bookmarkEnd w:id="646"/>
      <w:bookmarkEnd w:id="647"/>
      <w:r>
        <w:rPr>
          <w:rFonts w:ascii="Times New Roman;Times;serif" w:hAnsi="Times New Roman;Times;serif"/>
          <w:b/>
          <w:sz w:val="20"/>
        </w:rPr>
        <w:t>Note 8 – Stock-Based Compensation, continued</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RSUs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During the three months ended March 31, 2024, the Board granted its interim principal executive officer and Chief Financial Officer RSUs covering 50,000 shares of common stock under the 2017 Equity Inducement Plan and RSUs covering 2,000 shares of common stock under the 2013 Equity Incentive Plan. The awards vest over four years.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During the three months ended March 31, 2024, the Compensation Committee granted various non-employees RSUs covering 6,000 shares of common stock under the 2014 Non-Employee Equity Compensation Plan. The awards vest on the one-year anniversary of the grant date.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Under the former Chief Executive Officer’s Severance Agreement, unvested RSUs vesting within 18 months of termination were accelerated and became vested on March 26, 2024. Consequently, 3,017 RSUs became vested resulting in stock-based compensation expense of approximately $77,000 during the three months ended March 31, 2024.</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As of March 31, 2024, the unamortized fair value of the RSUs was $0.8 million. The unamortized amount will be expensed over a weighted average period of 1.9 years. A summary of the activity related to RSUs for the three months ended March 31, 2024 is presented below:</w:t>
      </w:r>
    </w:p>
    <w:p>
      <w:pPr>
        <w:pStyle w:val="TextBody"/>
        <w:bidi w:val="0"/>
        <w:spacing w:before="0" w:after="0"/>
        <w:ind w:left="0" w:right="0" w:hanging="0"/>
        <w:jc w:val="left"/>
        <w:rPr/>
      </w:pPr>
      <w:r>
        <w:rPr/>
        <w:t>​</w:t>
      </w:r>
    </w:p>
    <w:tbl>
      <w:tblPr>
        <w:tblW w:w="5004" w:type="dxa"/>
        <w:jc w:val="left"/>
        <w:tblInd w:w="0" w:type="dxa"/>
        <w:tblLayout w:type="fixed"/>
        <w:tblCellMar>
          <w:top w:w="0" w:type="dxa"/>
          <w:left w:w="0" w:type="dxa"/>
          <w:bottom w:w="0" w:type="dxa"/>
          <w:right w:w="0" w:type="dxa"/>
        </w:tblCellMar>
      </w:tblPr>
      <w:tblGrid>
        <w:gridCol w:w="2656"/>
        <w:gridCol w:w="326"/>
        <w:gridCol w:w="796"/>
        <w:gridCol w:w="326"/>
        <w:gridCol w:w="214"/>
        <w:gridCol w:w="686"/>
      </w:tblGrid>
      <w:tr>
        <w:trPr/>
        <w:tc>
          <w:tcPr>
            <w:tcW w:w="26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1686560" cy="175260"/>
                      <wp:effectExtent l="0" t="0" r="0" b="0"/>
                      <wp:wrapNone/>
                      <wp:docPr id="106" name="Frame106"/>
                      <a:graphic xmlns:a="http://schemas.openxmlformats.org/drawingml/2006/main">
                        <a:graphicData uri="http://schemas.microsoft.com/office/word/2010/wordprocessingShape">
                          <wps:wsp>
                            <wps:cNvSpPr txBox="1"/>
                            <wps:spPr>
                              <a:xfrm>
                                <a:off x="0" y="0"/>
                                <a:ext cx="16865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207010" cy="175260"/>
                      <wp:effectExtent l="0" t="0" r="0" b="0"/>
                      <wp:wrapNone/>
                      <wp:docPr id="107" name="Frame10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505460" cy="175260"/>
                      <wp:effectExtent l="0" t="0" r="0" b="0"/>
                      <wp:wrapNone/>
                      <wp:docPr id="108" name="Frame108"/>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207010" cy="175260"/>
                      <wp:effectExtent l="0" t="0" r="0" b="0"/>
                      <wp:wrapNone/>
                      <wp:docPr id="109" name="Frame10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135890" cy="175260"/>
                      <wp:effectExtent l="0" t="0" r="0" b="0"/>
                      <wp:wrapNone/>
                      <wp:docPr id="110" name="Frame110"/>
                      <a:graphic xmlns:a="http://schemas.openxmlformats.org/drawingml/2006/main">
                        <a:graphicData uri="http://schemas.microsoft.com/office/word/2010/wordprocessingShape">
                          <wps:wsp>
                            <wps:cNvSpPr txBox="1"/>
                            <wps:spPr>
                              <a:xfrm>
                                <a:off x="0" y="0"/>
                                <a:ext cx="1358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435610" cy="175260"/>
                      <wp:effectExtent l="0" t="0" r="0" b="0"/>
                      <wp:wrapNone/>
                      <wp:docPr id="111" name="Frame111"/>
                      <a:graphic xmlns:a="http://schemas.openxmlformats.org/drawingml/2006/main">
                        <a:graphicData uri="http://schemas.microsoft.com/office/word/2010/wordprocessingShape">
                          <wps:wsp>
                            <wps:cNvSpPr txBox="1"/>
                            <wps:spPr>
                              <a:xfrm>
                                <a:off x="0" y="0"/>
                                <a:ext cx="435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65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79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    </w:t>
            </w:r>
          </w:p>
        </w:tc>
        <w:tc>
          <w:tcPr>
            <w:tcW w:w="90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Weighted </w:t>
            </w:r>
          </w:p>
        </w:tc>
      </w:tr>
      <w:tr>
        <w:trPr/>
        <w:tc>
          <w:tcPr>
            <w:tcW w:w="265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79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90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Average </w:t>
            </w:r>
          </w:p>
        </w:tc>
      </w:tr>
      <w:tr>
        <w:trPr/>
        <w:tc>
          <w:tcPr>
            <w:tcW w:w="265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79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90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Grant </w:t>
            </w:r>
          </w:p>
        </w:tc>
      </w:tr>
      <w:tr>
        <w:trPr/>
        <w:tc>
          <w:tcPr>
            <w:tcW w:w="265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79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90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Date Fair </w:t>
            </w:r>
          </w:p>
        </w:tc>
      </w:tr>
      <w:tr>
        <w:trPr/>
        <w:tc>
          <w:tcPr>
            <w:tcW w:w="265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w:t>
            </w:r>
          </w:p>
        </w:tc>
        <w:tc>
          <w:tcPr>
            <w:tcW w:w="326" w:type="dxa"/>
            <w:tcBorders/>
            <w:vAlign w:val="center"/>
          </w:tcPr>
          <w:p>
            <w:pPr>
              <w:pStyle w:val="TableContents"/>
              <w:bidi w:val="0"/>
              <w:spacing w:before="0" w:after="0"/>
              <w:ind w:left="0" w:right="0" w:hanging="0"/>
              <w:jc w:val="center"/>
              <w:rPr/>
            </w:pPr>
            <w:r>
              <w:rPr/>
              <w:t>​</w:t>
            </w:r>
          </w:p>
        </w:tc>
        <w:tc>
          <w:tcPr>
            <w:tcW w:w="90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Value</w:t>
            </w:r>
          </w:p>
        </w:tc>
      </w:tr>
      <w:tr>
        <w:trPr/>
        <w:tc>
          <w:tcPr>
            <w:tcW w:w="26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Outstanding at January 1, 2024</w:t>
            </w:r>
          </w:p>
        </w:tc>
        <w:tc>
          <w:tcPr>
            <w:tcW w:w="326" w:type="dxa"/>
            <w:tcBorders/>
            <w:shd w:fill="CCEEFF" w:val="clear"/>
            <w:vAlign w:val="center"/>
          </w:tcPr>
          <w:p>
            <w:pPr>
              <w:pStyle w:val="TableContents"/>
              <w:bidi w:val="0"/>
              <w:spacing w:before="0" w:after="0"/>
              <w:ind w:left="0" w:right="0" w:hanging="0"/>
              <w:jc w:val="center"/>
              <w:rPr/>
            </w:pPr>
            <w:r>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71,734</w:t>
            </w:r>
          </w:p>
        </w:tc>
        <w:tc>
          <w:tcPr>
            <w:tcW w:w="326" w:type="dxa"/>
            <w:tcBorders/>
            <w:shd w:fill="CCEEFF" w:val="clear"/>
            <w:vAlign w:val="center"/>
          </w:tcPr>
          <w:p>
            <w:pPr>
              <w:pStyle w:val="TableContents"/>
              <w:bidi w:val="0"/>
              <w:spacing w:before="0" w:after="0"/>
              <w:ind w:left="0" w:right="0" w:hanging="0"/>
              <w:jc w:val="center"/>
              <w:rPr/>
            </w:pPr>
            <w:r>
              <w:rPr/>
              <w:t>​</w:t>
            </w:r>
          </w:p>
        </w:tc>
        <w:tc>
          <w:tcPr>
            <w:tcW w:w="21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24.65</w:t>
            </w:r>
          </w:p>
        </w:tc>
      </w:tr>
      <w:tr>
        <w:trPr/>
        <w:tc>
          <w:tcPr>
            <w:tcW w:w="26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RSUs granted</w:t>
            </w:r>
          </w:p>
        </w:tc>
        <w:tc>
          <w:tcPr>
            <w:tcW w:w="326" w:type="dxa"/>
            <w:tcBorders/>
            <w:vAlign w:val="center"/>
          </w:tcPr>
          <w:p>
            <w:pPr>
              <w:pStyle w:val="TableContents"/>
              <w:bidi w:val="0"/>
              <w:spacing w:before="0" w:after="0"/>
              <w:ind w:left="0" w:right="0" w:hanging="0"/>
              <w:jc w:val="center"/>
              <w:rPr/>
            </w:pPr>
            <w:r>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58,000</w:t>
            </w:r>
          </w:p>
        </w:tc>
        <w:tc>
          <w:tcPr>
            <w:tcW w:w="326" w:type="dxa"/>
            <w:tcBorders/>
            <w:vAlign w:val="center"/>
          </w:tcPr>
          <w:p>
            <w:pPr>
              <w:pStyle w:val="TableContents"/>
              <w:bidi w:val="0"/>
              <w:spacing w:before="0" w:after="0"/>
              <w:ind w:left="0" w:right="0" w:hanging="0"/>
              <w:jc w:val="center"/>
              <w:rPr/>
            </w:pPr>
            <w:r>
              <w:rPr/>
              <w:t>​</w:t>
            </w:r>
          </w:p>
        </w:tc>
        <w:tc>
          <w:tcPr>
            <w:tcW w:w="214" w:type="dxa"/>
            <w:tcBorders/>
            <w:vAlign w:val="center"/>
          </w:tcPr>
          <w:p>
            <w:pPr>
              <w:pStyle w:val="TableContents"/>
              <w:bidi w:val="0"/>
              <w:spacing w:before="0" w:after="0"/>
              <w:ind w:left="0" w:right="0" w:hanging="0"/>
              <w:jc w:val="left"/>
              <w:rPr/>
            </w:pPr>
            <w:r>
              <w:rPr/>
              <w:t>​</w:t>
            </w:r>
          </w:p>
        </w:tc>
        <w:tc>
          <w:tcPr>
            <w:tcW w:w="6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1.67</w:t>
            </w:r>
          </w:p>
        </w:tc>
      </w:tr>
      <w:tr>
        <w:trPr/>
        <w:tc>
          <w:tcPr>
            <w:tcW w:w="26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RSUs forfeited</w:t>
            </w:r>
          </w:p>
        </w:tc>
        <w:tc>
          <w:tcPr>
            <w:tcW w:w="326" w:type="dxa"/>
            <w:tcBorders/>
            <w:shd w:fill="CCEEFF" w:val="clear"/>
            <w:vAlign w:val="center"/>
          </w:tcPr>
          <w:p>
            <w:pPr>
              <w:pStyle w:val="TableContents"/>
              <w:bidi w:val="0"/>
              <w:spacing w:before="0" w:after="0"/>
              <w:ind w:left="0" w:right="0" w:hanging="0"/>
              <w:jc w:val="center"/>
              <w:rPr/>
            </w:pPr>
            <w:r>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(10,780)</w:t>
            </w:r>
          </w:p>
        </w:tc>
        <w:tc>
          <w:tcPr>
            <w:tcW w:w="326" w:type="dxa"/>
            <w:tcBorders/>
            <w:shd w:fill="CCEEFF" w:val="clear"/>
            <w:vAlign w:val="center"/>
          </w:tcPr>
          <w:p>
            <w:pPr>
              <w:pStyle w:val="TableContents"/>
              <w:bidi w:val="0"/>
              <w:spacing w:before="0" w:after="0"/>
              <w:ind w:left="0" w:right="0" w:hanging="0"/>
              <w:jc w:val="center"/>
              <w:rPr/>
            </w:pPr>
            <w:r>
              <w:rPr/>
              <w:t>​</w:t>
            </w:r>
          </w:p>
        </w:tc>
        <w:tc>
          <w:tcPr>
            <w:tcW w:w="214" w:type="dxa"/>
            <w:tcBorders/>
            <w:shd w:fill="CCEEFF" w:val="clear"/>
            <w:vAlign w:val="center"/>
          </w:tcPr>
          <w:p>
            <w:pPr>
              <w:pStyle w:val="TableContents"/>
              <w:bidi w:val="0"/>
              <w:spacing w:before="0" w:after="0"/>
              <w:ind w:left="0" w:right="0" w:hanging="0"/>
              <w:jc w:val="left"/>
              <w:rPr/>
            </w:pPr>
            <w:r>
              <w:rPr/>
              <w:t>​</w:t>
            </w:r>
          </w:p>
        </w:tc>
        <w:tc>
          <w:tcPr>
            <w:tcW w:w="6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13.52</w:t>
            </w:r>
          </w:p>
        </w:tc>
      </w:tr>
      <w:tr>
        <w:trPr/>
        <w:tc>
          <w:tcPr>
            <w:tcW w:w="26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RSUs vested</w:t>
            </w:r>
          </w:p>
        </w:tc>
        <w:tc>
          <w:tcPr>
            <w:tcW w:w="326" w:type="dxa"/>
            <w:tcBorders/>
            <w:vAlign w:val="center"/>
          </w:tcPr>
          <w:p>
            <w:pPr>
              <w:pStyle w:val="TableContents"/>
              <w:bidi w:val="0"/>
              <w:spacing w:before="0" w:after="0"/>
              <w:ind w:left="0" w:right="0" w:hanging="0"/>
              <w:jc w:val="center"/>
              <w:rPr/>
            </w:pPr>
            <w:r>
              <w:rPr/>
              <w:t>​</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(16,775)</w:t>
            </w:r>
          </w:p>
        </w:tc>
        <w:tc>
          <w:tcPr>
            <w:tcW w:w="326" w:type="dxa"/>
            <w:tcBorders/>
            <w:vAlign w:val="center"/>
          </w:tcPr>
          <w:p>
            <w:pPr>
              <w:pStyle w:val="TableContents"/>
              <w:bidi w:val="0"/>
              <w:spacing w:before="0" w:after="0"/>
              <w:ind w:left="0" w:right="0" w:hanging="0"/>
              <w:jc w:val="center"/>
              <w:rPr/>
            </w:pPr>
            <w:r>
              <w:rPr/>
              <w:t>​</w:t>
            </w:r>
          </w:p>
        </w:tc>
        <w:tc>
          <w:tcPr>
            <w:tcW w:w="214" w:type="dxa"/>
            <w:tcBorders/>
            <w:vAlign w:val="center"/>
          </w:tcPr>
          <w:p>
            <w:pPr>
              <w:pStyle w:val="TableContents"/>
              <w:bidi w:val="0"/>
              <w:spacing w:before="0" w:after="0"/>
              <w:ind w:left="0" w:right="0" w:hanging="0"/>
              <w:jc w:val="left"/>
              <w:rPr/>
            </w:pPr>
            <w:r>
              <w:rPr/>
              <w:t>​</w:t>
            </w:r>
          </w:p>
        </w:tc>
        <w:tc>
          <w:tcPr>
            <w:tcW w:w="6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18.82</w:t>
            </w:r>
          </w:p>
        </w:tc>
      </w:tr>
      <w:tr>
        <w:trPr/>
        <w:tc>
          <w:tcPr>
            <w:tcW w:w="26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Outstanding at March 31, 2024</w:t>
            </w:r>
          </w:p>
        </w:tc>
        <w:tc>
          <w:tcPr>
            <w:tcW w:w="326" w:type="dxa"/>
            <w:tcBorders/>
            <w:shd w:fill="CCEEFF" w:val="clear"/>
            <w:vAlign w:val="center"/>
          </w:tcPr>
          <w:p>
            <w:pPr>
              <w:pStyle w:val="TableContents"/>
              <w:bidi w:val="0"/>
              <w:spacing w:before="0" w:after="0"/>
              <w:ind w:left="0" w:right="0" w:hanging="0"/>
              <w:jc w:val="left"/>
              <w:rPr/>
            </w:pPr>
            <w:r>
              <w:rPr/>
              <w:t> </w:t>
            </w:r>
          </w:p>
        </w:tc>
        <w:tc>
          <w:tcPr>
            <w:tcW w:w="79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102,179</w:t>
            </w:r>
          </w:p>
        </w:tc>
        <w:tc>
          <w:tcPr>
            <w:tcW w:w="326" w:type="dxa"/>
            <w:tcBorders/>
            <w:shd w:fill="CCEEFF" w:val="clear"/>
            <w:vAlign w:val="center"/>
          </w:tcPr>
          <w:p>
            <w:pPr>
              <w:pStyle w:val="TableContents"/>
              <w:bidi w:val="0"/>
              <w:spacing w:before="0" w:after="0"/>
              <w:ind w:left="0" w:right="0" w:hanging="0"/>
              <w:jc w:val="left"/>
              <w:rPr/>
            </w:pPr>
            <w:r>
              <w:rPr/>
              <w:t>​</w:t>
            </w:r>
          </w:p>
        </w:tc>
        <w:tc>
          <w:tcPr>
            <w:tcW w:w="21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86" w:type="dxa"/>
            <w:tcBorders/>
            <w:shd w:fill="CCEEFF" w:val="cle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13.39</w:t>
            </w:r>
          </w:p>
        </w:tc>
      </w:tr>
    </w:tbl>
    <w:p>
      <w:pPr>
        <w:pStyle w:val="TextBody"/>
        <w:bidi w:val="0"/>
        <w:spacing w:before="0" w:after="0"/>
        <w:ind w:left="0" w:right="0" w:hanging="0"/>
        <w:jc w:val="center"/>
        <w:rPr/>
      </w:pPr>
      <w:r>
        <w:rPr/>
        <w:t>​</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PSUs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PSUs are grants that vest upon the achievement of certain performance goals. The goals are commonly related to the Company’s revenue and achievement of sales and marketing goals.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On July 20, 2022, the Board granted the Company’s former Chief Executive Officer, Cesar Johnston, up to 14,350 PSUs under the Company’s 2015 Performance Share Unit Plan pursuant to the terms of Mr. Johnston’s offer letter with the Company (See Note 6 – Commitments and Contingencies). The up to 14,350 PSUs that had been approved were to vest as follows: (a) up to 9,350 PSU shares would vest on December 31, 2022, subject to Mr. Johnston’s continued service as Chief Executive Officer and the achievement, to be determined in the Compensation Committee’s sole discretion, by Mr. Johnston of certain performance metrics previously determined by the Compensation Committee and approved by the Board, and (b) up to an additional 2,500 PSU shares would vest on each of December 31, 2023 and December 31, 2024, subject to Mr. Johnston’s continued service as Chief Executive Officer and the achievement, to be determined in the Compensation Committee’s sole discretion, by Mr. Johnston of certain performance metrics to be recommended by the Compensation Committee and approved by the Board at a subsequent date. </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There was no PSU activity for the three months ended March 31, 2024 and 2023. The 2,500 PSU shares that were reserved for grant during 2024 per Mr. Johnston’s offer letter with the Company, as well as the 1,250 shares reserved for potential outperformance by Mr. Johnston of 2024 goals were returned to the 2015 Performance Share Unit Plan for future issuance.</w:t>
      </w:r>
    </w:p>
    <w:p>
      <w:pPr>
        <w:pStyle w:val="TextBody"/>
        <w:bidi w:val="0"/>
        <w:spacing w:before="480" w:after="0"/>
        <w:ind w:left="0" w:right="0" w:hanging="0"/>
        <w:jc w:val="right"/>
        <w:rPr>
          <w:rFonts w:ascii="Times New Roman;Times;serif" w:hAnsi="Times New Roman;Times;serif"/>
          <w:sz w:val="20"/>
        </w:rPr>
      </w:pPr>
      <w:r>
        <w:rPr>
          <w:rFonts w:ascii="Times New Roman;Times;serif" w:hAnsi="Times New Roman;Times;serif"/>
          <w:sz w:val="20"/>
        </w:rPr>
        <w:t>20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i w:val="false"/>
          <w:caps w:val="false"/>
          <w:smallCaps w:val="false"/>
          <w:sz w:val="20"/>
        </w:rPr>
      </w:pPr>
      <w:bookmarkStart w:id="648" w:name="Tc_CXhocFVhhkiep0u9phuToA_7_5"/>
      <w:bookmarkStart w:id="649" w:name="Tc_-6qsstnt-0-PfGyfk6h9DQ_7_2"/>
      <w:bookmarkStart w:id="650" w:name="Tc_P0VuyzPZA0SToN3e7H22EA_7_0"/>
      <w:bookmarkStart w:id="651" w:name="Tc_ZZlTcX_tx0OvZZi6OIGXFg_6_6"/>
      <w:bookmarkStart w:id="652" w:name="Tc_-3KQTXHLZESOqA7KZap4pw_6_0"/>
      <w:bookmarkStart w:id="653" w:name="Tc_WeJP55DIfkScGRDuN0s_Rg_5_0"/>
      <w:bookmarkStart w:id="654" w:name="Tc_pGUZjm80zE2Lbkj74Wsu1A_4_0"/>
      <w:bookmarkStart w:id="655" w:name="Tc_YEm7a5qvt0SfZBZV4wckJg_3_5"/>
      <w:bookmarkStart w:id="656" w:name="Tc_UIGNh-Ntu0KImQ9Sm5ijAQ_3_2"/>
      <w:bookmarkStart w:id="657" w:name="Tc_PSkoC-OBuUS_InnD8_v9VQ_3_0"/>
      <w:bookmarkStart w:id="658" w:name="Tc_7uLaa2PM-0iFknXMHYUdwQ_2_5"/>
      <w:bookmarkStart w:id="659" w:name="Tc_XhqUoPXwm0Occaj-VmRSdw_2_2"/>
      <w:bookmarkStart w:id="660" w:name="Tc_QN5ZNV1H10-5-4V8V6l5CA_1_2"/>
      <w:bookmarkStart w:id="661" w:name="_2cf34ecf_e23e_49e7_81e0_2a24d45659ac"/>
      <w:bookmarkStart w:id="662" w:name="Tc_iCYH9qpwhE6E80_KUCa07w_7_0"/>
      <w:bookmarkStart w:id="663" w:name="Tc_DEhGXifxgE-X3-GmZK5jtw_6_7"/>
      <w:bookmarkStart w:id="664" w:name="Tc_uxVRAbaoZ0OGKg9zmZgQQg_6_4"/>
      <w:bookmarkStart w:id="665" w:name="Tc_5lVzOwGab0m8rI_oQ-RHgQ_6_0"/>
      <w:bookmarkStart w:id="666" w:name="Tc_gSderMMPxkeTcGaeHKE2Ag_5_7"/>
      <w:bookmarkStart w:id="667" w:name="Tc_sbq-Mx4Kp0a8rA1La6y7xw_5_4"/>
      <w:bookmarkStart w:id="668" w:name="Tc_Vvj24-_htkWCKT6Hn6fhqw_5_0"/>
      <w:bookmarkStart w:id="669" w:name="Tc_iQxEBt8BhUySDmF4VRck4Q_4_7"/>
      <w:bookmarkStart w:id="670" w:name="Tc_1b8dAcOPskCqgcJkp-HvTQ_4_4"/>
      <w:bookmarkStart w:id="671" w:name="Tc_R6RxC-6OI0-zb_14SnRrXw_4_0"/>
      <w:bookmarkStart w:id="672" w:name="Tc_D1A_xGvdWUGNapA_fsk29g_3_5"/>
      <w:bookmarkStart w:id="673" w:name="Tc_0GwZdob3sUiEnd0KvQjG7w_3_2"/>
      <w:bookmarkStart w:id="674" w:name="Tc_rL5QfiU6T02QdKy-lUk9DA_3_0"/>
      <w:bookmarkStart w:id="675" w:name="Tc_ZssxXdZnOEeKgnssXA20ow_2_5"/>
      <w:bookmarkStart w:id="676" w:name="Tc_Y9rMpfZxHkyR-HkU3keHFg_2_2"/>
      <w:bookmarkStart w:id="677" w:name="Tc_b7mUPJvDZESGdfldu_Giiw_1_2"/>
      <w:bookmarkEnd w:id="648"/>
      <w:bookmarkEnd w:id="649"/>
      <w:bookmarkEnd w:id="650"/>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bookmarkEnd w:id="665"/>
      <w:bookmarkEnd w:id="666"/>
      <w:bookmarkEnd w:id="667"/>
      <w:bookmarkEnd w:id="668"/>
      <w:bookmarkEnd w:id="669"/>
      <w:bookmarkEnd w:id="670"/>
      <w:bookmarkEnd w:id="671"/>
      <w:bookmarkEnd w:id="672"/>
      <w:bookmarkEnd w:id="673"/>
      <w:bookmarkEnd w:id="674"/>
      <w:bookmarkEnd w:id="675"/>
      <w:bookmarkEnd w:id="676"/>
      <w:bookmarkEnd w:id="677"/>
      <w:r>
        <w:rPr>
          <w:rFonts w:ascii="Times New Roman;Times;serif" w:hAnsi="Times New Roman;Times;serif"/>
          <w:b/>
          <w:i w:val="false"/>
          <w:caps w:val="false"/>
          <w:smallCaps w:val="false"/>
          <w:sz w:val="20"/>
        </w:rPr>
        <w:t>Note 8 – Stock-Based Compensation, continued</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Employee Stock Purchase Plan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current offering period under the ESPP started on January 1, 2024 and will conclude on June 30, 2024. During the year ended December 31, 2023, there were two offering periods. The first offering period began on January 1, 2023 and concluded on June 30, 2023. The second offering period began on July 1, 2023 and concluded on December 31, 2023.</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weighted average grant-date fair value of the purchase option for each designated share purchased under the ESPP was approximately $0.85 and $8.00 for the three months ended March 31, 2024 and 2023, respectively, which represents the fair value of the option, consisting of three main components: (i) the value of the discount on the enrollment date, (ii) the proportionate value of the call option for 85% of the stock and (iii) the proportionate value of the put option for 15% of the stock. The Company recognized compensation expense for the ESPP of approximately $19,000 and $25,000 for the three months ended March 31, 2024 and 2023, respectively.</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Company estimated the fair value of ESPP purchase options granted during the three months ended March 31, 2024 and 2023 using the Black-Scholes option pricing model. The fair values of ESPP purchase options granted were estimated using the following assumptions:</w:t>
      </w:r>
    </w:p>
    <w:p>
      <w:pPr>
        <w:pStyle w:val="TextBody"/>
        <w:bidi w:val="0"/>
        <w:spacing w:before="0" w:after="0"/>
        <w:ind w:left="0" w:right="0" w:hanging="0"/>
        <w:jc w:val="left"/>
        <w:rPr/>
      </w:pPr>
      <w:r>
        <w:rPr/>
        <w:t>​</w:t>
      </w:r>
    </w:p>
    <w:tbl>
      <w:tblPr>
        <w:tblW w:w="4983" w:type="dxa"/>
        <w:jc w:val="left"/>
        <w:tblInd w:w="0" w:type="dxa"/>
        <w:tblLayout w:type="fixed"/>
        <w:tblCellMar>
          <w:top w:w="0" w:type="dxa"/>
          <w:left w:w="0" w:type="dxa"/>
          <w:bottom w:w="0" w:type="dxa"/>
          <w:right w:w="0" w:type="dxa"/>
        </w:tblCellMar>
      </w:tblPr>
      <w:tblGrid>
        <w:gridCol w:w="1846"/>
        <w:gridCol w:w="326"/>
        <w:gridCol w:w="211"/>
        <w:gridCol w:w="856"/>
        <w:gridCol w:w="361"/>
        <w:gridCol w:w="211"/>
        <w:gridCol w:w="856"/>
        <w:gridCol w:w="316"/>
      </w:tblGrid>
      <w:tr>
        <w:trPr/>
        <w:tc>
          <w:tcPr>
            <w:tcW w:w="184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207010" cy="175260"/>
                      <wp:effectExtent l="0" t="0" r="0" b="0"/>
                      <wp:wrapNone/>
                      <wp:docPr id="112" name="Frame11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133985" cy="175260"/>
                      <wp:effectExtent l="0" t="0" r="0" b="0"/>
                      <wp:wrapNone/>
                      <wp:docPr id="113" name="Frame11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543560" cy="175260"/>
                      <wp:effectExtent l="0" t="0" r="0" b="0"/>
                      <wp:wrapNone/>
                      <wp:docPr id="114" name="Frame114"/>
                      <a:graphic xmlns:a="http://schemas.openxmlformats.org/drawingml/2006/main">
                        <a:graphicData uri="http://schemas.microsoft.com/office/word/2010/wordprocessingShape">
                          <wps:wsp>
                            <wps:cNvSpPr txBox="1"/>
                            <wps:spPr>
                              <a:xfrm>
                                <a:off x="0" y="0"/>
                                <a:ext cx="5435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229235" cy="175260"/>
                      <wp:effectExtent l="0" t="0" r="0" b="0"/>
                      <wp:wrapNone/>
                      <wp:docPr id="115" name="Frame115"/>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133985" cy="175260"/>
                      <wp:effectExtent l="0" t="0" r="0" b="0"/>
                      <wp:wrapNone/>
                      <wp:docPr id="116" name="Frame11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543560" cy="175260"/>
                      <wp:effectExtent l="0" t="0" r="0" b="0"/>
                      <wp:wrapNone/>
                      <wp:docPr id="117" name="Frame117"/>
                      <a:graphic xmlns:a="http://schemas.openxmlformats.org/drawingml/2006/main">
                        <a:graphicData uri="http://schemas.microsoft.com/office/word/2010/wordprocessingShape">
                          <wps:wsp>
                            <wps:cNvSpPr txBox="1"/>
                            <wps:spPr>
                              <a:xfrm>
                                <a:off x="0" y="0"/>
                                <a:ext cx="5435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200660" cy="175260"/>
                      <wp:effectExtent l="0" t="0" r="0" b="0"/>
                      <wp:wrapNone/>
                      <wp:docPr id="118" name="Frame118"/>
                      <a:graphic xmlns:a="http://schemas.openxmlformats.org/drawingml/2006/main">
                        <a:graphicData uri="http://schemas.microsoft.com/office/word/2010/wordprocessingShape">
                          <wps:wsp>
                            <wps:cNvSpPr txBox="1"/>
                            <wps:spPr>
                              <a:xfrm>
                                <a:off x="0" y="0"/>
                                <a:ext cx="200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84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2495"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Three Months Ended March 31,</w:t>
            </w:r>
          </w:p>
        </w:tc>
        <w:tc>
          <w:tcPr>
            <w:tcW w:w="316" w:type="dxa"/>
            <w:tcBorders/>
            <w:vAlign w:val="center"/>
          </w:tcPr>
          <w:p>
            <w:pPr>
              <w:pStyle w:val="TableContents"/>
              <w:bidi w:val="0"/>
              <w:spacing w:before="0" w:after="0"/>
              <w:ind w:left="0" w:right="0" w:hanging="0"/>
              <w:jc w:val="left"/>
              <w:rPr/>
            </w:pPr>
            <w:r>
              <w:rPr/>
              <w:t> </w:t>
            </w:r>
          </w:p>
        </w:tc>
      </w:tr>
      <w:tr>
        <w:trPr/>
        <w:tc>
          <w:tcPr>
            <w:tcW w:w="184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106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61" w:type="dxa"/>
            <w:tcBorders/>
            <w:vAlign w:val="center"/>
          </w:tcPr>
          <w:p>
            <w:pPr>
              <w:pStyle w:val="TableContents"/>
              <w:bidi w:val="0"/>
              <w:spacing w:before="0" w:after="0"/>
              <w:ind w:left="0" w:right="0" w:hanging="0"/>
              <w:jc w:val="center"/>
              <w:rPr/>
            </w:pPr>
            <w:r>
              <w:rPr/>
              <w:t>    </w:t>
            </w:r>
          </w:p>
        </w:tc>
        <w:tc>
          <w:tcPr>
            <w:tcW w:w="106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16" w:type="dxa"/>
            <w:tcBorders/>
            <w:vAlign w:val="center"/>
          </w:tcPr>
          <w:p>
            <w:pPr>
              <w:pStyle w:val="TableContents"/>
              <w:bidi w:val="0"/>
              <w:spacing w:before="0" w:after="0"/>
              <w:ind w:left="0" w:right="0" w:hanging="0"/>
              <w:jc w:val="left"/>
              <w:rPr/>
            </w:pPr>
            <w:r>
              <w:rPr/>
              <w:t> </w:t>
            </w:r>
          </w:p>
        </w:tc>
      </w:tr>
      <w:tr>
        <w:trPr/>
        <w:tc>
          <w:tcPr>
            <w:tcW w:w="18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Stock price</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5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1.83</w:t>
            </w:r>
          </w:p>
        </w:tc>
        <w:tc>
          <w:tcPr>
            <w:tcW w:w="361"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5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16.72</w:t>
            </w:r>
          </w:p>
        </w:tc>
        <w:tc>
          <w:tcPr>
            <w:tcW w:w="316" w:type="dxa"/>
            <w:tcBorders/>
            <w:shd w:fill="CCEEFF" w:val="clear"/>
            <w:vAlign w:val="center"/>
          </w:tcPr>
          <w:p>
            <w:pPr>
              <w:pStyle w:val="TableContents"/>
              <w:bidi w:val="0"/>
              <w:spacing w:before="0" w:after="0"/>
              <w:ind w:left="0" w:right="0" w:hanging="0"/>
              <w:jc w:val="left"/>
              <w:rPr/>
            </w:pPr>
            <w:r>
              <w:rPr/>
              <w:t>​</w:t>
            </w:r>
          </w:p>
        </w:tc>
      </w:tr>
      <w:tr>
        <w:trPr/>
        <w:tc>
          <w:tcPr>
            <w:tcW w:w="18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Dividend yield</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5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w:t>
            </w:r>
          </w:p>
        </w:tc>
        <w:tc>
          <w:tcPr>
            <w:tcW w:w="3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211" w:type="dxa"/>
            <w:tcBorders/>
            <w:vAlign w:val="center"/>
          </w:tcPr>
          <w:p>
            <w:pPr>
              <w:pStyle w:val="TableContents"/>
              <w:bidi w:val="0"/>
              <w:spacing w:before="0" w:after="0"/>
              <w:ind w:left="0" w:right="0" w:hanging="0"/>
              <w:jc w:val="left"/>
              <w:rPr/>
            </w:pPr>
            <w:r>
              <w:rPr/>
              <w:t> </w:t>
            </w:r>
          </w:p>
        </w:tc>
        <w:tc>
          <w:tcPr>
            <w:tcW w:w="85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w:t>
            </w:r>
          </w:p>
        </w:tc>
        <w:tc>
          <w:tcPr>
            <w:tcW w:w="3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18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Expected volatility</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5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112</w:t>
            </w:r>
          </w:p>
        </w:tc>
        <w:tc>
          <w:tcPr>
            <w:tcW w:w="3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211" w:type="dxa"/>
            <w:tcBorders/>
            <w:shd w:fill="CCEEFF" w:val="clear"/>
            <w:vAlign w:val="center"/>
          </w:tcPr>
          <w:p>
            <w:pPr>
              <w:pStyle w:val="TableContents"/>
              <w:bidi w:val="0"/>
              <w:spacing w:before="0" w:after="0"/>
              <w:ind w:left="0" w:right="0" w:hanging="0"/>
              <w:jc w:val="left"/>
              <w:rPr/>
            </w:pPr>
            <w:r>
              <w:rPr/>
              <w:t> </w:t>
            </w:r>
          </w:p>
        </w:tc>
        <w:tc>
          <w:tcPr>
            <w:tcW w:w="85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59</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18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Risk-free interest rate</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5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5.26</w:t>
            </w:r>
          </w:p>
        </w:tc>
        <w:tc>
          <w:tcPr>
            <w:tcW w:w="3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211" w:type="dxa"/>
            <w:tcBorders/>
            <w:vAlign w:val="center"/>
          </w:tcPr>
          <w:p>
            <w:pPr>
              <w:pStyle w:val="TableContents"/>
              <w:bidi w:val="0"/>
              <w:spacing w:before="0" w:after="0"/>
              <w:ind w:left="0" w:right="0" w:hanging="0"/>
              <w:jc w:val="left"/>
              <w:rPr/>
            </w:pPr>
            <w:r>
              <w:rPr/>
              <w:t> </w:t>
            </w:r>
          </w:p>
        </w:tc>
        <w:tc>
          <w:tcPr>
            <w:tcW w:w="85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4.42</w:t>
            </w:r>
          </w:p>
        </w:tc>
        <w:tc>
          <w:tcPr>
            <w:tcW w:w="3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18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Expected life</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5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 months</w:t>
            </w:r>
          </w:p>
        </w:tc>
        <w:tc>
          <w:tcPr>
            <w:tcW w:w="361"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5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 months</w:t>
            </w:r>
          </w:p>
        </w:tc>
        <w:tc>
          <w:tcPr>
            <w:tcW w:w="316" w:type="dxa"/>
            <w:tcBorders/>
            <w:shd w:fill="CCEEFF" w:val="clear"/>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Stock-Based Compensation Expense</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total amount of stock-based compensation was reflected within the statements of operations as (in thousands):</w:t>
      </w:r>
    </w:p>
    <w:p>
      <w:pPr>
        <w:pStyle w:val="TextBody"/>
        <w:bidi w:val="0"/>
        <w:spacing w:before="0" w:after="0"/>
        <w:ind w:left="0" w:right="0" w:hanging="0"/>
        <w:jc w:val="left"/>
        <w:rPr/>
      </w:pPr>
      <w:r>
        <w:rPr/>
        <w:t>​</w:t>
      </w:r>
    </w:p>
    <w:tbl>
      <w:tblPr>
        <w:tblW w:w="5141" w:type="dxa"/>
        <w:jc w:val="left"/>
        <w:tblInd w:w="0" w:type="dxa"/>
        <w:tblLayout w:type="fixed"/>
        <w:tblCellMar>
          <w:top w:w="0" w:type="dxa"/>
          <w:left w:w="0" w:type="dxa"/>
          <w:bottom w:w="0" w:type="dxa"/>
          <w:right w:w="0" w:type="dxa"/>
        </w:tblCellMar>
      </w:tblPr>
      <w:tblGrid>
        <w:gridCol w:w="2311"/>
        <w:gridCol w:w="386"/>
        <w:gridCol w:w="304"/>
        <w:gridCol w:w="607"/>
        <w:gridCol w:w="470"/>
        <w:gridCol w:w="304"/>
        <w:gridCol w:w="759"/>
      </w:tblGrid>
      <w:tr>
        <w:trPr/>
        <w:tc>
          <w:tcPr>
            <w:tcW w:w="23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1467485" cy="175260"/>
                      <wp:effectExtent l="0" t="0" r="0" b="0"/>
                      <wp:wrapNone/>
                      <wp:docPr id="119" name="Frame119"/>
                      <a:graphic xmlns:a="http://schemas.openxmlformats.org/drawingml/2006/main">
                        <a:graphicData uri="http://schemas.microsoft.com/office/word/2010/wordprocessingShape">
                          <wps:wsp>
                            <wps:cNvSpPr txBox="1"/>
                            <wps:spPr>
                              <a:xfrm>
                                <a:off x="0" y="0"/>
                                <a:ext cx="14674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245110" cy="175260"/>
                      <wp:effectExtent l="0" t="0" r="0" b="0"/>
                      <wp:wrapNone/>
                      <wp:docPr id="120" name="Frame120"/>
                      <a:graphic xmlns:a="http://schemas.openxmlformats.org/drawingml/2006/main">
                        <a:graphicData uri="http://schemas.microsoft.com/office/word/2010/wordprocessingShape">
                          <wps:wsp>
                            <wps:cNvSpPr txBox="1"/>
                            <wps:spPr>
                              <a:xfrm>
                                <a:off x="0" y="0"/>
                                <a:ext cx="2451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0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193040" cy="175260"/>
                      <wp:effectExtent l="0" t="0" r="0" b="0"/>
                      <wp:wrapNone/>
                      <wp:docPr id="121" name="Frame121"/>
                      <a:graphic xmlns:a="http://schemas.openxmlformats.org/drawingml/2006/main">
                        <a:graphicData uri="http://schemas.microsoft.com/office/word/2010/wordprocessingShape">
                          <wps:wsp>
                            <wps:cNvSpPr txBox="1"/>
                            <wps:spPr>
                              <a:xfrm>
                                <a:off x="0" y="0"/>
                                <a:ext cx="1930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0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385445" cy="175260"/>
                      <wp:effectExtent l="0" t="0" r="0" b="0"/>
                      <wp:wrapNone/>
                      <wp:docPr id="122" name="Frame122"/>
                      <a:graphic xmlns:a="http://schemas.openxmlformats.org/drawingml/2006/main">
                        <a:graphicData uri="http://schemas.microsoft.com/office/word/2010/wordprocessingShape">
                          <wps:wsp>
                            <wps:cNvSpPr txBox="1"/>
                            <wps:spPr>
                              <a:xfrm>
                                <a:off x="0" y="0"/>
                                <a:ext cx="3854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7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298450" cy="175260"/>
                      <wp:effectExtent l="0" t="0" r="0" b="0"/>
                      <wp:wrapNone/>
                      <wp:docPr id="123" name="Frame123"/>
                      <a:graphic xmlns:a="http://schemas.openxmlformats.org/drawingml/2006/main">
                        <a:graphicData uri="http://schemas.microsoft.com/office/word/2010/wordprocessingShape">
                          <wps:wsp>
                            <wps:cNvSpPr txBox="1"/>
                            <wps:spPr>
                              <a:xfrm>
                                <a:off x="0" y="0"/>
                                <a:ext cx="2984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0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193040" cy="175260"/>
                      <wp:effectExtent l="0" t="0" r="0" b="0"/>
                      <wp:wrapNone/>
                      <wp:docPr id="124" name="Frame124"/>
                      <a:graphic xmlns:a="http://schemas.openxmlformats.org/drawingml/2006/main">
                        <a:graphicData uri="http://schemas.microsoft.com/office/word/2010/wordprocessingShape">
                          <wps:wsp>
                            <wps:cNvSpPr txBox="1"/>
                            <wps:spPr>
                              <a:xfrm>
                                <a:off x="0" y="0"/>
                                <a:ext cx="1930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5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481965" cy="175260"/>
                      <wp:effectExtent l="0" t="0" r="0" b="0"/>
                      <wp:wrapNone/>
                      <wp:docPr id="125" name="Frame125"/>
                      <a:graphic xmlns:a="http://schemas.openxmlformats.org/drawingml/2006/main">
                        <a:graphicData uri="http://schemas.microsoft.com/office/word/2010/wordprocessingShape">
                          <wps:wsp>
                            <wps:cNvSpPr txBox="1"/>
                            <wps:spPr>
                              <a:xfrm>
                                <a:off x="0" y="0"/>
                                <a:ext cx="4819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311" w:type="dxa"/>
            <w:tcBorders/>
            <w:vAlign w:val="center"/>
          </w:tcPr>
          <w:p>
            <w:pPr>
              <w:pStyle w:val="TableContents"/>
              <w:bidi w:val="0"/>
              <w:spacing w:before="0" w:after="0"/>
              <w:ind w:left="0" w:right="0" w:hanging="0"/>
              <w:jc w:val="left"/>
              <w:rPr/>
            </w:pPr>
            <w:r>
              <w:rPr/>
              <w:t>​</w:t>
            </w:r>
          </w:p>
        </w:tc>
        <w:tc>
          <w:tcPr>
            <w:tcW w:w="386" w:type="dxa"/>
            <w:tcBorders/>
            <w:vAlign w:val="center"/>
          </w:tcPr>
          <w:p>
            <w:pPr>
              <w:pStyle w:val="TableContents"/>
              <w:bidi w:val="0"/>
              <w:spacing w:before="0" w:after="0"/>
              <w:ind w:left="0" w:right="0" w:hanging="0"/>
              <w:jc w:val="center"/>
              <w:rPr/>
            </w:pPr>
            <w:r>
              <w:rPr/>
              <w:t>    </w:t>
            </w:r>
          </w:p>
        </w:tc>
        <w:tc>
          <w:tcPr>
            <w:tcW w:w="2444"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Three Months Ended March 31,</w:t>
            </w:r>
          </w:p>
        </w:tc>
      </w:tr>
      <w:tr>
        <w:trPr/>
        <w:tc>
          <w:tcPr>
            <w:tcW w:w="2311" w:type="dxa"/>
            <w:tcBorders/>
            <w:vAlign w:val="center"/>
          </w:tcPr>
          <w:p>
            <w:pPr>
              <w:pStyle w:val="TableContents"/>
              <w:bidi w:val="0"/>
              <w:spacing w:before="0" w:after="0"/>
              <w:ind w:left="0" w:right="0" w:hanging="0"/>
              <w:jc w:val="left"/>
              <w:rPr/>
            </w:pPr>
            <w:r>
              <w:rPr/>
              <w:t>​</w:t>
            </w:r>
          </w:p>
        </w:tc>
        <w:tc>
          <w:tcPr>
            <w:tcW w:w="386" w:type="dxa"/>
            <w:tcBorders/>
            <w:vAlign w:val="center"/>
          </w:tcPr>
          <w:p>
            <w:pPr>
              <w:pStyle w:val="TableContents"/>
              <w:bidi w:val="0"/>
              <w:spacing w:before="0" w:after="0"/>
              <w:ind w:left="0" w:right="0" w:hanging="0"/>
              <w:jc w:val="center"/>
              <w:rPr/>
            </w:pPr>
            <w:r>
              <w:rPr/>
              <w:t xml:space="preserve">     </w:t>
            </w:r>
          </w:p>
        </w:tc>
        <w:tc>
          <w:tcPr>
            <w:tcW w:w="91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470" w:type="dxa"/>
            <w:tcBorders/>
            <w:vAlign w:val="center"/>
          </w:tcPr>
          <w:p>
            <w:pPr>
              <w:pStyle w:val="TableContents"/>
              <w:bidi w:val="0"/>
              <w:spacing w:before="0" w:after="0"/>
              <w:ind w:left="0" w:right="0" w:hanging="0"/>
              <w:jc w:val="center"/>
              <w:rPr/>
            </w:pPr>
            <w:r>
              <w:rPr/>
              <w:t>    </w:t>
            </w:r>
          </w:p>
        </w:tc>
        <w:tc>
          <w:tcPr>
            <w:tcW w:w="1063"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r>
      <w:tr>
        <w:trPr/>
        <w:tc>
          <w:tcPr>
            <w:tcW w:w="23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Research and development</w:t>
            </w:r>
          </w:p>
        </w:tc>
        <w:tc>
          <w:tcPr>
            <w:tcW w:w="386" w:type="dxa"/>
            <w:tcBorders/>
            <w:shd w:fill="CCEEFF" w:val="clear"/>
            <w:vAlign w:val="center"/>
          </w:tcPr>
          <w:p>
            <w:pPr>
              <w:pStyle w:val="TableContents"/>
              <w:bidi w:val="0"/>
              <w:spacing w:before="0" w:after="0"/>
              <w:ind w:left="0" w:right="0" w:hanging="0"/>
              <w:jc w:val="left"/>
              <w:rPr/>
            </w:pPr>
            <w:r>
              <w:rPr/>
              <w:t>​</w:t>
            </w:r>
          </w:p>
        </w:tc>
        <w:tc>
          <w:tcPr>
            <w:tcW w:w="30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0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107</w:t>
            </w:r>
          </w:p>
        </w:tc>
        <w:tc>
          <w:tcPr>
            <w:tcW w:w="470" w:type="dxa"/>
            <w:tcBorders/>
            <w:shd w:fill="CCEEFF" w:val="clear"/>
            <w:vAlign w:val="center"/>
          </w:tcPr>
          <w:p>
            <w:pPr>
              <w:pStyle w:val="TableContents"/>
              <w:bidi w:val="0"/>
              <w:spacing w:before="0" w:after="0"/>
              <w:ind w:left="0" w:right="0" w:hanging="0"/>
              <w:jc w:val="left"/>
              <w:rPr/>
            </w:pPr>
            <w:r>
              <w:rPr/>
              <w:t>​</w:t>
            </w:r>
          </w:p>
        </w:tc>
        <w:tc>
          <w:tcPr>
            <w:tcW w:w="30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5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209</w:t>
            </w:r>
          </w:p>
        </w:tc>
      </w:tr>
      <w:tr>
        <w:trPr/>
        <w:tc>
          <w:tcPr>
            <w:tcW w:w="23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Sales and marketing</w:t>
            </w:r>
          </w:p>
        </w:tc>
        <w:tc>
          <w:tcPr>
            <w:tcW w:w="386" w:type="dxa"/>
            <w:tcBorders/>
            <w:vAlign w:val="center"/>
          </w:tcPr>
          <w:p>
            <w:pPr>
              <w:pStyle w:val="TableContents"/>
              <w:bidi w:val="0"/>
              <w:spacing w:before="0" w:after="0"/>
              <w:ind w:left="0" w:right="0" w:hanging="0"/>
              <w:jc w:val="left"/>
              <w:rPr/>
            </w:pPr>
            <w:r>
              <w:rPr/>
              <w:t>​</w:t>
            </w:r>
          </w:p>
        </w:tc>
        <w:tc>
          <w:tcPr>
            <w:tcW w:w="304" w:type="dxa"/>
            <w:tcBorders/>
            <w:vAlign w:val="center"/>
          </w:tcPr>
          <w:p>
            <w:pPr>
              <w:pStyle w:val="TableContents"/>
              <w:bidi w:val="0"/>
              <w:spacing w:before="0" w:after="0"/>
              <w:ind w:left="0" w:right="0" w:hanging="0"/>
              <w:jc w:val="left"/>
              <w:rPr/>
            </w:pPr>
            <w:r>
              <w:rPr/>
              <w:t> </w:t>
            </w:r>
          </w:p>
        </w:tc>
        <w:tc>
          <w:tcPr>
            <w:tcW w:w="60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80</w:t>
            </w:r>
          </w:p>
        </w:tc>
        <w:tc>
          <w:tcPr>
            <w:tcW w:w="470" w:type="dxa"/>
            <w:tcBorders/>
            <w:vAlign w:val="center"/>
          </w:tcPr>
          <w:p>
            <w:pPr>
              <w:pStyle w:val="TableContents"/>
              <w:bidi w:val="0"/>
              <w:spacing w:before="0" w:after="0"/>
              <w:ind w:left="0" w:right="0" w:hanging="0"/>
              <w:jc w:val="left"/>
              <w:rPr/>
            </w:pPr>
            <w:r>
              <w:rPr/>
              <w:t>​</w:t>
            </w:r>
          </w:p>
        </w:tc>
        <w:tc>
          <w:tcPr>
            <w:tcW w:w="304" w:type="dxa"/>
            <w:tcBorders/>
            <w:vAlign w:val="center"/>
          </w:tcPr>
          <w:p>
            <w:pPr>
              <w:pStyle w:val="TableContents"/>
              <w:bidi w:val="0"/>
              <w:spacing w:before="0" w:after="0"/>
              <w:ind w:left="0" w:right="0" w:hanging="0"/>
              <w:jc w:val="left"/>
              <w:rPr/>
            </w:pPr>
            <w:r>
              <w:rPr/>
              <w:t> </w:t>
            </w:r>
          </w:p>
        </w:tc>
        <w:tc>
          <w:tcPr>
            <w:tcW w:w="75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105</w:t>
            </w:r>
          </w:p>
        </w:tc>
      </w:tr>
      <w:tr>
        <w:trPr/>
        <w:tc>
          <w:tcPr>
            <w:tcW w:w="23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General and administrative</w:t>
            </w:r>
          </w:p>
        </w:tc>
        <w:tc>
          <w:tcPr>
            <w:tcW w:w="386" w:type="dxa"/>
            <w:tcBorders/>
            <w:shd w:fill="CCEEFF" w:val="clear"/>
            <w:vAlign w:val="center"/>
          </w:tcPr>
          <w:p>
            <w:pPr>
              <w:pStyle w:val="TableContents"/>
              <w:bidi w:val="0"/>
              <w:spacing w:before="0" w:after="0"/>
              <w:ind w:left="0" w:right="0" w:hanging="0"/>
              <w:jc w:val="left"/>
              <w:rPr/>
            </w:pPr>
            <w:r>
              <w:rPr/>
              <w:t>​</w:t>
            </w:r>
          </w:p>
        </w:tc>
        <w:tc>
          <w:tcPr>
            <w:tcW w:w="304" w:type="dxa"/>
            <w:tcBorders/>
            <w:shd w:fill="CCEEFF" w:val="clear"/>
            <w:vAlign w:val="center"/>
          </w:tcPr>
          <w:p>
            <w:pPr>
              <w:pStyle w:val="TableContents"/>
              <w:bidi w:val="0"/>
              <w:spacing w:before="0" w:after="0"/>
              <w:ind w:left="0" w:right="0" w:hanging="0"/>
              <w:jc w:val="left"/>
              <w:rPr/>
            </w:pPr>
            <w:r>
              <w:rPr/>
              <w:t> </w:t>
            </w:r>
          </w:p>
        </w:tc>
        <w:tc>
          <w:tcPr>
            <w:tcW w:w="60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87</w:t>
            </w:r>
          </w:p>
        </w:tc>
        <w:tc>
          <w:tcPr>
            <w:tcW w:w="470" w:type="dxa"/>
            <w:tcBorders/>
            <w:shd w:fill="CCEEFF" w:val="clear"/>
            <w:vAlign w:val="center"/>
          </w:tcPr>
          <w:p>
            <w:pPr>
              <w:pStyle w:val="TableContents"/>
              <w:bidi w:val="0"/>
              <w:spacing w:before="0" w:after="0"/>
              <w:ind w:left="0" w:right="0" w:hanging="0"/>
              <w:jc w:val="left"/>
              <w:rPr/>
            </w:pPr>
            <w:r>
              <w:rPr/>
              <w:t>​</w:t>
            </w:r>
          </w:p>
        </w:tc>
        <w:tc>
          <w:tcPr>
            <w:tcW w:w="304" w:type="dxa"/>
            <w:tcBorders/>
            <w:shd w:fill="CCEEFF" w:val="clear"/>
            <w:vAlign w:val="center"/>
          </w:tcPr>
          <w:p>
            <w:pPr>
              <w:pStyle w:val="TableContents"/>
              <w:bidi w:val="0"/>
              <w:spacing w:before="0" w:after="0"/>
              <w:ind w:left="0" w:right="0" w:hanging="0"/>
              <w:jc w:val="left"/>
              <w:rPr/>
            </w:pPr>
            <w:r>
              <w:rPr/>
              <w:t> </w:t>
            </w:r>
          </w:p>
        </w:tc>
        <w:tc>
          <w:tcPr>
            <w:tcW w:w="75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208</w:t>
            </w:r>
          </w:p>
        </w:tc>
      </w:tr>
      <w:tr>
        <w:trPr/>
        <w:tc>
          <w:tcPr>
            <w:tcW w:w="23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Severance expense</w:t>
            </w:r>
          </w:p>
        </w:tc>
        <w:tc>
          <w:tcPr>
            <w:tcW w:w="386" w:type="dxa"/>
            <w:tcBorders/>
            <w:vAlign w:val="center"/>
          </w:tcPr>
          <w:p>
            <w:pPr>
              <w:pStyle w:val="TableContents"/>
              <w:bidi w:val="0"/>
              <w:spacing w:before="0" w:after="0"/>
              <w:ind w:left="0" w:right="0" w:hanging="0"/>
              <w:jc w:val="left"/>
              <w:rPr/>
            </w:pPr>
            <w:r>
              <w:rPr/>
              <w:t>​</w:t>
            </w:r>
          </w:p>
        </w:tc>
        <w:tc>
          <w:tcPr>
            <w:tcW w:w="304"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0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130</w:t>
            </w:r>
          </w:p>
        </w:tc>
        <w:tc>
          <w:tcPr>
            <w:tcW w:w="470" w:type="dxa"/>
            <w:tcBorders/>
            <w:vAlign w:val="center"/>
          </w:tcPr>
          <w:p>
            <w:pPr>
              <w:pStyle w:val="TableContents"/>
              <w:bidi w:val="0"/>
              <w:spacing w:before="0" w:after="0"/>
              <w:ind w:left="0" w:right="0" w:hanging="0"/>
              <w:jc w:val="left"/>
              <w:rPr/>
            </w:pPr>
            <w:r>
              <w:rPr/>
              <w:t>​</w:t>
            </w:r>
          </w:p>
        </w:tc>
        <w:tc>
          <w:tcPr>
            <w:tcW w:w="304"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59"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r>
      <w:tr>
        <w:trPr/>
        <w:tc>
          <w:tcPr>
            <w:tcW w:w="23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w:t>
            </w:r>
          </w:p>
        </w:tc>
        <w:tc>
          <w:tcPr>
            <w:tcW w:w="386" w:type="dxa"/>
            <w:tcBorders/>
            <w:shd w:fill="CCEEFF" w:val="clear"/>
            <w:vAlign w:val="center"/>
          </w:tcPr>
          <w:p>
            <w:pPr>
              <w:pStyle w:val="TableContents"/>
              <w:bidi w:val="0"/>
              <w:spacing w:before="0" w:after="0"/>
              <w:ind w:left="0" w:right="0" w:hanging="0"/>
              <w:jc w:val="left"/>
              <w:rPr/>
            </w:pPr>
            <w:r>
              <w:rPr/>
              <w:t>​</w:t>
            </w:r>
          </w:p>
        </w:tc>
        <w:tc>
          <w:tcPr>
            <w:tcW w:w="304"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07"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404</w:t>
            </w:r>
          </w:p>
        </w:tc>
        <w:tc>
          <w:tcPr>
            <w:tcW w:w="470" w:type="dxa"/>
            <w:tcBorders/>
            <w:shd w:fill="CCEEFF" w:val="clear"/>
            <w:vAlign w:val="center"/>
          </w:tcPr>
          <w:p>
            <w:pPr>
              <w:pStyle w:val="TableContents"/>
              <w:bidi w:val="0"/>
              <w:spacing w:before="0" w:after="0"/>
              <w:ind w:left="0" w:right="0" w:hanging="0"/>
              <w:jc w:val="left"/>
              <w:rPr/>
            </w:pPr>
            <w:r>
              <w:rPr/>
              <w:t>​</w:t>
            </w:r>
          </w:p>
        </w:tc>
        <w:tc>
          <w:tcPr>
            <w:tcW w:w="304"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59"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522</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right"/>
        <w:rPr>
          <w:rFonts w:ascii="Times New Roman;Times;serif" w:hAnsi="Times New Roman;Times;serif"/>
          <w:sz w:val="20"/>
        </w:rPr>
      </w:pPr>
      <w:r>
        <w:rPr>
          <w:rFonts w:ascii="Times New Roman;Times;serif" w:hAnsi="Times New Roman;Times;serif"/>
          <w:sz w:val="20"/>
        </w:rPr>
        <w:t>21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bookmarkStart w:id="678" w:name="Tc_kQ7maw1IG0umHMxLOsF6OA_6_5"/>
      <w:bookmarkStart w:id="679" w:name="Tc_5nf7vPKbAUC5G1xssoiOGw_6_2"/>
      <w:bookmarkStart w:id="680" w:name="Tc_T5ROxpNRF06r6Y8EKsO9Iw_6_0"/>
      <w:bookmarkStart w:id="681" w:name="Tc_1eHAEBoA4EW-Ch5lIFNhtg_5_6"/>
      <w:bookmarkStart w:id="682" w:name="Tc_dqcJKzh4KU2zw2tpwmkavw_5_0"/>
      <w:bookmarkStart w:id="683" w:name="Tc_jFfXADGQvECauYg5WHTUuQ_4_3"/>
      <w:bookmarkStart w:id="684" w:name="Tc_4XUnQPkQ6ECpDNuqiMjoBg_4_0"/>
      <w:bookmarkStart w:id="685" w:name="Tc_TkptaP5ziEWio1slPDMX3g_3_6"/>
      <w:bookmarkStart w:id="686" w:name="Tc_PuFuU2ZEXkGdbde2DDV4Lw_3_5"/>
      <w:bookmarkStart w:id="687" w:name="Tc_ArQFctpPXEWKgaMXWNlPUg_3_2"/>
      <w:bookmarkStart w:id="688" w:name="Tc_aFIkfNXjukeqo-8aejLk0A_3_0"/>
      <w:bookmarkStart w:id="689" w:name="Tc_cvAnWxAWLE-RIiyaB8XM8A_2_5"/>
      <w:bookmarkStart w:id="690" w:name="Tc_y9-Jo-qIbkSLy_9Xy2SfEQ_2_2"/>
      <w:bookmarkStart w:id="691" w:name="Tc_G9SytpOxkkW6vmzudnYvuA_1_2"/>
      <w:bookmarkEnd w:id="678"/>
      <w:bookmarkEnd w:id="679"/>
      <w:bookmarkEnd w:id="680"/>
      <w:bookmarkEnd w:id="681"/>
      <w:bookmarkEnd w:id="682"/>
      <w:bookmarkEnd w:id="683"/>
      <w:bookmarkEnd w:id="684"/>
      <w:bookmarkEnd w:id="685"/>
      <w:bookmarkEnd w:id="686"/>
      <w:bookmarkEnd w:id="687"/>
      <w:bookmarkEnd w:id="688"/>
      <w:bookmarkEnd w:id="689"/>
      <w:bookmarkEnd w:id="690"/>
      <w:bookmarkEnd w:id="691"/>
      <w:r>
        <w:rPr>
          <w:rFonts w:ascii="Times New Roman;Times;serif" w:hAnsi="Times New Roman;Times;serif"/>
          <w:b/>
          <w:sz w:val="20"/>
        </w:rPr>
        <w:t>Note 9 – Warrant Liability</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2023 Warrants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In March 2023, the Company issued 412,500 warrants to purchase up to 412,500 shares of its common stock. The 2023 Warrants have a six-year term and were exercisable upon issuance on March 28, 2023. Each 2023 Warrant was initially exercisable for one share of the Company’s common stock at a price of $8.00 per share. As of March 31, 2024, the exercise price was adjusted to $1.66 per share (subject to further adjustment in certain circumstances, including in the event of stock dividends and splits; recapitalizations; change of control transactions; and issuances or sales of, or agreements to issue or sell, shares of common stock or common stock equivalents at a price per share less than the then-applicable exercise price for the 2023 Warrants, including sales under the ATM, the “Exercise Price”).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In the event of certain transactions such as a merger, consolidation, tender offer, reorganization, or other change in control, if holders of common stock are given any choice as to the consideration to be received, the holder of each 2023 Warrant shall be given the same choice of alternate consideration. In the event of certain transactions that are not within the Company’s control, such as a merger, consolidation, tender offer, reorganization, or other change in control of the Company, each holder of a 2023 Warrant shall be entitled to receive the same form of consideration at the Black Scholes value of the unexercised portion of the 2023 Warrant that is being offered and paid to holders of common stock, including the option to exercise the 2023 Warrants on a “cashless basis”.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If the Company issues additional shares of common stock or equity-linked securities for a consideration per share less than the Exercise Price, then such Exercise Price will be reduced to a new lower price pursuant to the terms of the 2023 Warrants. Additionally, if the Exercise Price of any outstanding derivative securities is modified by the Company such that such security’s modified exercise price is below the Exercise Price, the Exercise Price will adjust downward pursuant to the terms of the 2023 Warrant. This provision would not apply for stock or stock equivalents which fall under shares that qualify for exempt issuance, such as if the Company adjusted the option exercise price for an option granted to an employee, officer, or director.</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Company accounted for the 2023 Warrants in accordance with the derivative guidance contained in ASC 815-40, as the warrants did not meet the criteria for equity treatment. The Company believes that the adjustments to the Exercise Price is based on a variable that is not an input to the fair value of a “fixed-for-fixed” option as defined under ASC 815-40, and thus the 2023 Warrants are not eligible for an exception from derivative accounting. As such, the 2023 Warrants were initially measured at fair value and recorded as a liability in the amount of $3.1 million. As of March 31, 2024, all 2023 Warrants were outstanding. As of March 31, 2024, the fair value of the warrant liability was $0.7 million. The Company recorded a change in fair value of the warrant liability of $0.1 million for the three months ended March 31, 2024. The Company did not record a change in fair value of the warrant liability for the three months ended March 31, 2023.</w:t>
      </w:r>
    </w:p>
    <w:p>
      <w:pPr>
        <w:pStyle w:val="TextBody"/>
        <w:bidi w:val="0"/>
        <w:spacing w:before="0" w:after="0"/>
        <w:ind w:left="0" w:right="0" w:hanging="0"/>
        <w:jc w:val="left"/>
        <w:rPr/>
      </w:pPr>
      <w:r>
        <w:rPr/>
        <w:t>​</w:t>
      </w:r>
    </w:p>
    <w:tbl>
      <w:tblPr>
        <w:tblW w:w="6281" w:type="dxa"/>
        <w:jc w:val="left"/>
        <w:tblInd w:w="0" w:type="dxa"/>
        <w:tblLayout w:type="fixed"/>
        <w:tblCellMar>
          <w:top w:w="0" w:type="dxa"/>
          <w:left w:w="0" w:type="dxa"/>
          <w:bottom w:w="0" w:type="dxa"/>
          <w:right w:w="0" w:type="dxa"/>
        </w:tblCellMar>
      </w:tblPr>
      <w:tblGrid>
        <w:gridCol w:w="3016"/>
        <w:gridCol w:w="326"/>
        <w:gridCol w:w="336"/>
        <w:gridCol w:w="671"/>
        <w:gridCol w:w="519"/>
        <w:gridCol w:w="336"/>
        <w:gridCol w:w="1077"/>
      </w:tblGrid>
      <w:tr>
        <w:trPr/>
        <w:tc>
          <w:tcPr>
            <w:tcW w:w="30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1915160" cy="175260"/>
                      <wp:effectExtent l="0" t="0" r="0" b="0"/>
                      <wp:wrapNone/>
                      <wp:docPr id="126" name="Frame126"/>
                      <a:graphic xmlns:a="http://schemas.openxmlformats.org/drawingml/2006/main">
                        <a:graphicData uri="http://schemas.microsoft.com/office/word/2010/wordprocessingShape">
                          <wps:wsp>
                            <wps:cNvSpPr txBox="1"/>
                            <wps:spPr>
                              <a:xfrm>
                                <a:off x="0" y="0"/>
                                <a:ext cx="19151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207010" cy="175260"/>
                      <wp:effectExtent l="0" t="0" r="0" b="0"/>
                      <wp:wrapNone/>
                      <wp:docPr id="127" name="Frame12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213360" cy="175260"/>
                      <wp:effectExtent l="0" t="0" r="0" b="0"/>
                      <wp:wrapNone/>
                      <wp:docPr id="128" name="Frame128"/>
                      <a:graphic xmlns:a="http://schemas.openxmlformats.org/drawingml/2006/main">
                        <a:graphicData uri="http://schemas.microsoft.com/office/word/2010/wordprocessingShape">
                          <wps:wsp>
                            <wps:cNvSpPr txBox="1"/>
                            <wps:spPr>
                              <a:xfrm>
                                <a:off x="0" y="0"/>
                                <a:ext cx="2133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426085" cy="175260"/>
                      <wp:effectExtent l="0" t="0" r="0" b="0"/>
                      <wp:wrapNone/>
                      <wp:docPr id="129" name="Frame129"/>
                      <a:graphic xmlns:a="http://schemas.openxmlformats.org/drawingml/2006/main">
                        <a:graphicData uri="http://schemas.microsoft.com/office/word/2010/wordprocessingShape">
                          <wps:wsp>
                            <wps:cNvSpPr txBox="1"/>
                            <wps:spPr>
                              <a:xfrm>
                                <a:off x="0" y="0"/>
                                <a:ext cx="4260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1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329565" cy="175260"/>
                      <wp:effectExtent l="0" t="0" r="0" b="0"/>
                      <wp:wrapNone/>
                      <wp:docPr id="130" name="Frame130"/>
                      <a:graphic xmlns:a="http://schemas.openxmlformats.org/drawingml/2006/main">
                        <a:graphicData uri="http://schemas.microsoft.com/office/word/2010/wordprocessingShape">
                          <wps:wsp>
                            <wps:cNvSpPr txBox="1"/>
                            <wps:spPr>
                              <a:xfrm>
                                <a:off x="0" y="0"/>
                                <a:ext cx="32956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2">
                      <wp:simplePos x="0" y="0"/>
                      <wp:positionH relativeFrom="character">
                        <wp:align>left</wp:align>
                      </wp:positionH>
                      <wp:positionV relativeFrom="line">
                        <wp:posOffset>635</wp:posOffset>
                      </wp:positionV>
                      <wp:extent cx="213360" cy="175260"/>
                      <wp:effectExtent l="0" t="0" r="0" b="0"/>
                      <wp:wrapNone/>
                      <wp:docPr id="131" name="Frame131"/>
                      <a:graphic xmlns:a="http://schemas.openxmlformats.org/drawingml/2006/main">
                        <a:graphicData uri="http://schemas.microsoft.com/office/word/2010/wordprocessingShape">
                          <wps:wsp>
                            <wps:cNvSpPr txBox="1"/>
                            <wps:spPr>
                              <a:xfrm>
                                <a:off x="0" y="0"/>
                                <a:ext cx="2133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7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3">
                      <wp:simplePos x="0" y="0"/>
                      <wp:positionH relativeFrom="character">
                        <wp:align>left</wp:align>
                      </wp:positionH>
                      <wp:positionV relativeFrom="line">
                        <wp:posOffset>635</wp:posOffset>
                      </wp:positionV>
                      <wp:extent cx="683895" cy="175260"/>
                      <wp:effectExtent l="0" t="0" r="0" b="0"/>
                      <wp:wrapNone/>
                      <wp:docPr id="132" name="Frame132"/>
                      <a:graphic xmlns:a="http://schemas.openxmlformats.org/drawingml/2006/main">
                        <a:graphicData uri="http://schemas.microsoft.com/office/word/2010/wordprocessingShape">
                          <wps:wsp>
                            <wps:cNvSpPr txBox="1"/>
                            <wps:spPr>
                              <a:xfrm>
                                <a:off x="0" y="0"/>
                                <a:ext cx="68389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3.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01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    </w:t>
            </w:r>
          </w:p>
        </w:tc>
        <w:tc>
          <w:tcPr>
            <w:tcW w:w="2939"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For the three months ended March 31,</w:t>
            </w:r>
          </w:p>
        </w:tc>
      </w:tr>
      <w:tr>
        <w:trPr/>
        <w:tc>
          <w:tcPr>
            <w:tcW w:w="301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    </w:t>
            </w:r>
          </w:p>
        </w:tc>
        <w:tc>
          <w:tcPr>
            <w:tcW w:w="100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519" w:type="dxa"/>
            <w:tcBorders/>
            <w:vAlign w:val="center"/>
          </w:tcPr>
          <w:p>
            <w:pPr>
              <w:pStyle w:val="TableContents"/>
              <w:bidi w:val="0"/>
              <w:spacing w:before="0" w:after="1"/>
              <w:ind w:left="0" w:right="0" w:hanging="0"/>
              <w:jc w:val="center"/>
              <w:rPr/>
            </w:pPr>
            <w:r>
              <w:rPr/>
              <w:t>    </w:t>
            </w:r>
          </w:p>
        </w:tc>
        <w:tc>
          <w:tcPr>
            <w:tcW w:w="1413"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r>
      <w:tr>
        <w:trPr/>
        <w:tc>
          <w:tcPr>
            <w:tcW w:w="30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Beginning value</w:t>
            </w:r>
          </w:p>
        </w:tc>
        <w:tc>
          <w:tcPr>
            <w:tcW w:w="326" w:type="dxa"/>
            <w:tcBorders/>
            <w:shd w:fill="CCEEFF" w:val="clear"/>
            <w:vAlign w:val="center"/>
          </w:tcPr>
          <w:p>
            <w:pPr>
              <w:pStyle w:val="TableContents"/>
              <w:bidi w:val="0"/>
              <w:spacing w:before="0" w:after="1"/>
              <w:ind w:left="0" w:right="0" w:hanging="0"/>
              <w:jc w:val="left"/>
              <w:rPr/>
            </w:pPr>
            <w:r>
              <w:rPr/>
              <w:t>​</w:t>
            </w:r>
          </w:p>
        </w:tc>
        <w:tc>
          <w:tcPr>
            <w:tcW w:w="33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620</w:t>
            </w:r>
          </w:p>
        </w:tc>
        <w:tc>
          <w:tcPr>
            <w:tcW w:w="519" w:type="dxa"/>
            <w:tcBorders/>
            <w:shd w:fill="CCEEFF" w:val="clear"/>
            <w:vAlign w:val="center"/>
          </w:tcPr>
          <w:p>
            <w:pPr>
              <w:pStyle w:val="TableContents"/>
              <w:bidi w:val="0"/>
              <w:spacing w:before="0" w:after="1"/>
              <w:ind w:left="0" w:right="0" w:hanging="0"/>
              <w:jc w:val="left"/>
              <w:rPr/>
            </w:pPr>
            <w:r>
              <w:rPr/>
              <w:t>​</w:t>
            </w:r>
          </w:p>
        </w:tc>
        <w:tc>
          <w:tcPr>
            <w:tcW w:w="33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77" w:type="dxa"/>
            <w:tcBorders/>
            <w:shd w:fill="CCEEFF" w:val="clear"/>
            <w:vAlign w:val="center"/>
          </w:tcPr>
          <w:p>
            <w:pPr>
              <w:pStyle w:val="TableContents"/>
              <w:bidi w:val="0"/>
              <w:spacing w:before="0" w:after="1"/>
              <w:ind w:left="0" w:right="0" w:hanging="0"/>
              <w:jc w:val="right"/>
              <w:rPr/>
            </w:pPr>
            <w:r>
              <w:rPr/>
              <w:t>—</w:t>
            </w:r>
          </w:p>
        </w:tc>
      </w:tr>
      <w:tr>
        <w:trPr/>
        <w:tc>
          <w:tcPr>
            <w:tcW w:w="30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Initial valuation of new warrants</w:t>
            </w:r>
          </w:p>
        </w:tc>
        <w:tc>
          <w:tcPr>
            <w:tcW w:w="326" w:type="dxa"/>
            <w:tcBorders/>
            <w:vAlign w:val="center"/>
          </w:tcPr>
          <w:p>
            <w:pPr>
              <w:pStyle w:val="TableContents"/>
              <w:bidi w:val="0"/>
              <w:spacing w:before="0" w:after="1"/>
              <w:ind w:left="0" w:right="0" w:hanging="0"/>
              <w:jc w:val="left"/>
              <w:rPr/>
            </w:pPr>
            <w:r>
              <w:rPr/>
              <w:t>​</w:t>
            </w:r>
          </w:p>
        </w:tc>
        <w:tc>
          <w:tcPr>
            <w:tcW w:w="336" w:type="dxa"/>
            <w:tcBorders/>
            <w:vAlign w:val="center"/>
          </w:tcPr>
          <w:p>
            <w:pPr>
              <w:pStyle w:val="TableContents"/>
              <w:bidi w:val="0"/>
              <w:spacing w:before="0" w:after="1"/>
              <w:ind w:left="0" w:right="0" w:hanging="0"/>
              <w:jc w:val="left"/>
              <w:rPr/>
            </w:pPr>
            <w:r>
              <w:rPr/>
              <w:t> </w:t>
            </w:r>
          </w:p>
        </w:tc>
        <w:tc>
          <w:tcPr>
            <w:tcW w:w="671" w:type="dxa"/>
            <w:tcBorders/>
            <w:vAlign w:val="center"/>
          </w:tcPr>
          <w:p>
            <w:pPr>
              <w:pStyle w:val="TableContents"/>
              <w:bidi w:val="0"/>
              <w:spacing w:before="0" w:after="1"/>
              <w:ind w:left="0" w:right="0" w:hanging="0"/>
              <w:jc w:val="right"/>
              <w:rPr/>
            </w:pPr>
            <w:r>
              <w:rPr/>
              <w:t>—</w:t>
            </w:r>
          </w:p>
        </w:tc>
        <w:tc>
          <w:tcPr>
            <w:tcW w:w="519" w:type="dxa"/>
            <w:tcBorders/>
            <w:vAlign w:val="center"/>
          </w:tcPr>
          <w:p>
            <w:pPr>
              <w:pStyle w:val="TableContents"/>
              <w:bidi w:val="0"/>
              <w:spacing w:before="0" w:after="1"/>
              <w:ind w:left="0" w:right="0" w:hanging="0"/>
              <w:jc w:val="left"/>
              <w:rPr/>
            </w:pPr>
            <w:r>
              <w:rPr/>
              <w:t>​</w:t>
            </w:r>
          </w:p>
        </w:tc>
        <w:tc>
          <w:tcPr>
            <w:tcW w:w="336" w:type="dxa"/>
            <w:tcBorders/>
            <w:vAlign w:val="center"/>
          </w:tcPr>
          <w:p>
            <w:pPr>
              <w:pStyle w:val="TableContents"/>
              <w:bidi w:val="0"/>
              <w:spacing w:before="0" w:after="1"/>
              <w:ind w:left="0" w:right="0" w:hanging="0"/>
              <w:jc w:val="left"/>
              <w:rPr/>
            </w:pPr>
            <w:r>
              <w:rPr/>
              <w:t> </w:t>
            </w:r>
          </w:p>
        </w:tc>
        <w:tc>
          <w:tcPr>
            <w:tcW w:w="1077"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3,135</w:t>
            </w:r>
          </w:p>
        </w:tc>
      </w:tr>
      <w:tr>
        <w:trPr/>
        <w:tc>
          <w:tcPr>
            <w:tcW w:w="30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Change in value of warrant liability</w:t>
            </w:r>
          </w:p>
        </w:tc>
        <w:tc>
          <w:tcPr>
            <w:tcW w:w="326" w:type="dxa"/>
            <w:tcBorders/>
            <w:shd w:fill="CCEEFF" w:val="clear"/>
            <w:vAlign w:val="center"/>
          </w:tcPr>
          <w:p>
            <w:pPr>
              <w:pStyle w:val="TableContents"/>
              <w:bidi w:val="0"/>
              <w:spacing w:before="0" w:after="1"/>
              <w:ind w:left="0" w:right="0" w:hanging="0"/>
              <w:jc w:val="left"/>
              <w:rPr/>
            </w:pPr>
            <w:r>
              <w:rPr/>
              <w:t>​</w:t>
            </w:r>
          </w:p>
        </w:tc>
        <w:tc>
          <w:tcPr>
            <w:tcW w:w="33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7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82</w:t>
            </w:r>
          </w:p>
        </w:tc>
        <w:tc>
          <w:tcPr>
            <w:tcW w:w="519" w:type="dxa"/>
            <w:tcBorders/>
            <w:shd w:fill="CCEEFF" w:val="clear"/>
            <w:vAlign w:val="center"/>
          </w:tcPr>
          <w:p>
            <w:pPr>
              <w:pStyle w:val="TableContents"/>
              <w:bidi w:val="0"/>
              <w:spacing w:before="0" w:after="1"/>
              <w:ind w:left="0" w:right="0" w:hanging="0"/>
              <w:jc w:val="left"/>
              <w:rPr/>
            </w:pPr>
            <w:r>
              <w:rPr/>
              <w:t>​</w:t>
            </w:r>
          </w:p>
        </w:tc>
        <w:tc>
          <w:tcPr>
            <w:tcW w:w="33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077"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r>
      <w:tr>
        <w:trPr/>
        <w:tc>
          <w:tcPr>
            <w:tcW w:w="30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Ending value</w:t>
            </w:r>
          </w:p>
        </w:tc>
        <w:tc>
          <w:tcPr>
            <w:tcW w:w="326" w:type="dxa"/>
            <w:tcBorders/>
            <w:vAlign w:val="center"/>
          </w:tcPr>
          <w:p>
            <w:pPr>
              <w:pStyle w:val="TableContents"/>
              <w:bidi w:val="0"/>
              <w:spacing w:before="0" w:after="1"/>
              <w:ind w:left="0" w:right="0" w:hanging="0"/>
              <w:jc w:val="left"/>
              <w:rPr/>
            </w:pPr>
            <w:r>
              <w:rPr/>
              <w:t>​</w:t>
            </w:r>
          </w:p>
        </w:tc>
        <w:tc>
          <w:tcPr>
            <w:tcW w:w="336"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702</w:t>
            </w:r>
          </w:p>
        </w:tc>
        <w:tc>
          <w:tcPr>
            <w:tcW w:w="519" w:type="dxa"/>
            <w:tcBorders/>
            <w:vAlign w:val="center"/>
          </w:tcPr>
          <w:p>
            <w:pPr>
              <w:pStyle w:val="TableContents"/>
              <w:bidi w:val="0"/>
              <w:spacing w:before="0" w:after="1"/>
              <w:ind w:left="0" w:right="0" w:hanging="0"/>
              <w:jc w:val="left"/>
              <w:rPr/>
            </w:pPr>
            <w:r>
              <w:rPr/>
              <w:t>​</w:t>
            </w:r>
          </w:p>
        </w:tc>
        <w:tc>
          <w:tcPr>
            <w:tcW w:w="336"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77" w:type="dxa"/>
            <w:tcBorders>
              <w:bottom w:val="double" w:sz="6" w:space="0" w:color="000000"/>
            </w:tcBorders>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3,135</w:t>
            </w:r>
          </w:p>
        </w:tc>
      </w:tr>
    </w:tbl>
    <w:p>
      <w:pPr>
        <w:pStyle w:val="TextBody"/>
        <w:bidi w:val="0"/>
        <w:spacing w:before="0" w:after="24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right"/>
        <w:rPr>
          <w:rFonts w:ascii="Times New Roman;Times;serif" w:hAnsi="Times New Roman;Times;serif"/>
          <w:sz w:val="20"/>
        </w:rPr>
      </w:pPr>
      <w:r>
        <w:rPr>
          <w:rFonts w:ascii="Times New Roman;Times;serif" w:hAnsi="Times New Roman;Times;serif"/>
          <w:sz w:val="20"/>
        </w:rPr>
        <w:t>22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bookmarkStart w:id="692" w:name="Tc_vQEI4eJYhEe6yugbsepjsg_8_7"/>
      <w:bookmarkStart w:id="693" w:name="Tc_81H8Zm2sG0OUYjJaSpEQvQ_8_4"/>
      <w:bookmarkStart w:id="694" w:name="Tc_7rWVyZqRWkSlA0hwbh5OBg_8_0"/>
      <w:bookmarkStart w:id="695" w:name="Tc_sje6Mg_krUyd59-CECyKpw_7_7"/>
      <w:bookmarkStart w:id="696" w:name="Tc_K7oxybfSekKZsu1j7vCSvg_7_4"/>
      <w:bookmarkStart w:id="697" w:name="Tc_kiR-n2eNnke4YR3Q0lzo2A_7_0"/>
      <w:bookmarkStart w:id="698" w:name="Tc_VuD47M4pqkK_EKXTK3DlPQ_6_7"/>
      <w:bookmarkStart w:id="699" w:name="Tc_9bVL572eGUWmupn4cxotiA_6_4"/>
      <w:bookmarkStart w:id="700" w:name="Tc_b5vxpUIURU-BNtkIbRnc6w_6_0"/>
      <w:bookmarkStart w:id="701" w:name="Tc_9fpufjz4PkKIN07dmZYjNQ_5_0"/>
      <w:bookmarkStart w:id="702" w:name="Tc_FbSzFoyCBUa9cVEUb59Z1w_4_5"/>
      <w:bookmarkStart w:id="703" w:name="Tc_Fs_Jkd3Tg0616towlduQ8Q_4_2"/>
      <w:bookmarkStart w:id="704" w:name="Tc_y620mzLOJUuzgp3pWQPWUw_4_0"/>
      <w:bookmarkStart w:id="705" w:name="Tc_vhrzyeynA0ajQ_BVzGLrag_3_5"/>
      <w:bookmarkStart w:id="706" w:name="Tc_QRRwBivVl0-zQOPpuozGNg_3_2"/>
      <w:bookmarkStart w:id="707" w:name="Tc_S0BSrPrw2kiOvDft87rQfg_3_0"/>
      <w:bookmarkStart w:id="708" w:name="Tc_HogzA0lTVk225p53y5DH-w_2_5"/>
      <w:bookmarkStart w:id="709" w:name="Tc_6dIQ5Rz6wkC8XL0UGpN1OA_2_2"/>
      <w:bookmarkStart w:id="710" w:name="Tc_BIxN3-f3n0CiSI7gqA_FDQ_1_2"/>
      <w:bookmarkStart w:id="711" w:name="_4fdb45f0_4749_47fe_8329_c203350548b8"/>
      <w:bookmarkStart w:id="712" w:name="Tc_ncFiBh_MJkCvPSybF-r3vg_6_11"/>
      <w:bookmarkStart w:id="713" w:name="Tc_sx3avD1Gb0SENIQoAYH4rg_6_8"/>
      <w:bookmarkStart w:id="714" w:name="Tc_1BFD11KrP0i0a1s6qKnuRQ_6_6"/>
      <w:bookmarkStart w:id="715" w:name="Tc_dI52nKqSdkWqRzEjFdco2A_6_5"/>
      <w:bookmarkStart w:id="716" w:name="Tc_83q4rRje9UedwoEqWsBYrw_6_3"/>
      <w:bookmarkStart w:id="717" w:name="Tc_bYqSwbKaJUKzHCazwdTcEg_6_2"/>
      <w:bookmarkStart w:id="718" w:name="Tc_OgfStJiIDUydtQ3Ii7KjRA_6_0"/>
      <w:bookmarkStart w:id="719" w:name="Tc_gaSKMQ_Ow0quKByvVmbG3w_5_0"/>
      <w:bookmarkStart w:id="720" w:name="Tc_DtJ7wYa_TUmBcBpmSgZI9A_4_11"/>
      <w:bookmarkStart w:id="721" w:name="Tc_EXQeWfUjV0q-U-8UHb4yQA_4_9"/>
      <w:bookmarkStart w:id="722" w:name="Tc_Uks8x2ridUSMf0brTVAGjw_4_8"/>
      <w:bookmarkStart w:id="723" w:name="Tc_pcE1WM0tWUiUHg33gRQYtA_4_6"/>
      <w:bookmarkStart w:id="724" w:name="Tc_KIkvXRgptEm5eg0xhaoT3Q_4_5"/>
      <w:bookmarkStart w:id="725" w:name="Tc_PvJidxBuQUa6Jt4Ccx5dQQ_4_2"/>
      <w:bookmarkStart w:id="726" w:name="Tc_Tm_XlEh7UUyBhCDuXk65hw_4_0"/>
      <w:bookmarkStart w:id="727" w:name="Tc_bnj1WD_TYkOlRGSbAHt2jA_3_0"/>
      <w:bookmarkStart w:id="728" w:name="Tc_31iGf6_enU6bYDd7Xwo1uQ_2_11"/>
      <w:bookmarkStart w:id="729" w:name="Tc_H4loIKCAWU6wWCD1nnc30A_2_8"/>
      <w:bookmarkStart w:id="730" w:name="Tc_vYKaR_PsSk-e1lKNhHzxIQ_2_5"/>
      <w:bookmarkStart w:id="731" w:name="Tc_B8axmBHcEk6yzpXnhFAlgg_2_2"/>
      <w:bookmarkStart w:id="732" w:name="Tc_q1KJB6UbVkWI8Gl1WQ6SCA_1_2"/>
      <w:bookmarkStart w:id="733" w:name="Tc_Qxlliu6anUanpSP-Bc8MGg_6_11"/>
      <w:bookmarkStart w:id="734" w:name="Tc_jgWoSZ1qkkyoeUI2dcypoQ_6_8"/>
      <w:bookmarkStart w:id="735" w:name="Tc_6zUCz_GBOkOKZKM5_1XvKA_6_6"/>
      <w:bookmarkStart w:id="736" w:name="Tc_yVBsepw2OE-DsCNnxQiKlw_6_5"/>
      <w:bookmarkStart w:id="737" w:name="Tc_JnfVUulYx0Gs206Bd4sUZA_6_3"/>
      <w:bookmarkStart w:id="738" w:name="Tc_UESn-6pBCkCkuk2r5OE3uQ_6_2"/>
      <w:bookmarkStart w:id="739" w:name="Tc_opMzPB618Eq9EppB5iMe6Q_6_0"/>
      <w:bookmarkStart w:id="740" w:name="Tc_DNS_G4p2AkCvBpNeI-2eWg_5_0"/>
      <w:bookmarkStart w:id="741" w:name="Tc_OLWApq9nW0ieqGSmVl4ozA_4_11"/>
      <w:bookmarkStart w:id="742" w:name="Tc_hr0H7plibECXRbWWeAtg9Q_4_9"/>
      <w:bookmarkStart w:id="743" w:name="Tc_lj0R8qgwd0S8bJ5PCwBgKA_4_8"/>
      <w:bookmarkStart w:id="744" w:name="Tc_2OZyJfGPeUm0LfYqeB4I8w_4_6"/>
      <w:bookmarkStart w:id="745" w:name="Tc_6JFmDtYXH0-iEuiSmljlmA_4_5"/>
      <w:bookmarkStart w:id="746" w:name="Tc_fmtmqiTxgkSyZnsIpnPFKg_4_2"/>
      <w:bookmarkStart w:id="747" w:name="Tc_XzMadit-a0Clanb4Nset3w_4_0"/>
      <w:bookmarkStart w:id="748" w:name="Tc_yf80QxDJi0iHkBkWCYY57w_3_0"/>
      <w:bookmarkStart w:id="749" w:name="Tc_ZcwHo31VaECHJ4vAI6Z5ZQ_2_11"/>
      <w:bookmarkStart w:id="750" w:name="Tc_g4nEFc8Z9kiemfH9159AMw_2_8"/>
      <w:bookmarkStart w:id="751" w:name="Tc_emwf201Yd0OaUAxEoOkFvA_2_5"/>
      <w:bookmarkStart w:id="752" w:name="Tc_lOCPw6Nc0kmM3KO6zhddaw_2_2"/>
      <w:bookmarkStart w:id="753" w:name="Tc_ULjB9XsqiEaZujzUTAh7Cw_1_2"/>
      <w:bookmarkEnd w:id="692"/>
      <w:bookmarkEnd w:id="693"/>
      <w:bookmarkEnd w:id="694"/>
      <w:bookmarkEnd w:id="695"/>
      <w:bookmarkEnd w:id="696"/>
      <w:bookmarkEnd w:id="697"/>
      <w:bookmarkEnd w:id="698"/>
      <w:bookmarkEnd w:id="699"/>
      <w:bookmarkEnd w:id="700"/>
      <w:bookmarkEnd w:id="701"/>
      <w:bookmarkEnd w:id="702"/>
      <w:bookmarkEnd w:id="703"/>
      <w:bookmarkEnd w:id="704"/>
      <w:bookmarkEnd w:id="705"/>
      <w:bookmarkEnd w:id="706"/>
      <w:bookmarkEnd w:id="707"/>
      <w:bookmarkEnd w:id="708"/>
      <w:bookmarkEnd w:id="709"/>
      <w:bookmarkEnd w:id="710"/>
      <w:bookmarkEnd w:id="711"/>
      <w:bookmarkEnd w:id="712"/>
      <w:bookmarkEnd w:id="713"/>
      <w:bookmarkEnd w:id="714"/>
      <w:bookmarkEnd w:id="715"/>
      <w:bookmarkEnd w:id="716"/>
      <w:bookmarkEnd w:id="717"/>
      <w:bookmarkEnd w:id="718"/>
      <w:bookmarkEnd w:id="719"/>
      <w:bookmarkEnd w:id="720"/>
      <w:bookmarkEnd w:id="721"/>
      <w:bookmarkEnd w:id="722"/>
      <w:bookmarkEnd w:id="723"/>
      <w:bookmarkEnd w:id="724"/>
      <w:bookmarkEnd w:id="725"/>
      <w:bookmarkEnd w:id="726"/>
      <w:bookmarkEnd w:id="727"/>
      <w:bookmarkEnd w:id="728"/>
      <w:bookmarkEnd w:id="729"/>
      <w:bookmarkEnd w:id="730"/>
      <w:bookmarkEnd w:id="731"/>
      <w:bookmarkEnd w:id="732"/>
      <w:bookmarkEnd w:id="733"/>
      <w:bookmarkEnd w:id="734"/>
      <w:bookmarkEnd w:id="735"/>
      <w:bookmarkEnd w:id="736"/>
      <w:bookmarkEnd w:id="737"/>
      <w:bookmarkEnd w:id="738"/>
      <w:bookmarkEnd w:id="739"/>
      <w:bookmarkEnd w:id="740"/>
      <w:bookmarkEnd w:id="741"/>
      <w:bookmarkEnd w:id="742"/>
      <w:bookmarkEnd w:id="743"/>
      <w:bookmarkEnd w:id="744"/>
      <w:bookmarkEnd w:id="745"/>
      <w:bookmarkEnd w:id="746"/>
      <w:bookmarkEnd w:id="747"/>
      <w:bookmarkEnd w:id="748"/>
      <w:bookmarkEnd w:id="749"/>
      <w:bookmarkEnd w:id="750"/>
      <w:bookmarkEnd w:id="751"/>
      <w:bookmarkEnd w:id="752"/>
      <w:bookmarkEnd w:id="753"/>
      <w:r>
        <w:rPr>
          <w:rFonts w:ascii="Times New Roman;Times;serif" w:hAnsi="Times New Roman;Times;serif"/>
          <w:b/>
          <w:sz w:val="20"/>
        </w:rPr>
        <w:t>Note 10 – Fair Value Measurements</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following tables present information about the Company’s assets and liabilities that are measured at fair value on a recurring basis as of March 31, 2024 and December 31, 2023 and indicate the fair value hierarchy of the valuation inputs utilized to determine such fair value:</w:t>
      </w:r>
    </w:p>
    <w:p>
      <w:pPr>
        <w:pStyle w:val="TextBody"/>
        <w:bidi w:val="0"/>
        <w:spacing w:before="0" w:after="0"/>
        <w:ind w:left="0" w:right="0" w:hanging="0"/>
        <w:jc w:val="left"/>
        <w:rPr/>
      </w:pPr>
      <w:r>
        <w:rPr/>
        <w:t>​</w:t>
      </w:r>
    </w:p>
    <w:tbl>
      <w:tblPr>
        <w:tblW w:w="5901" w:type="dxa"/>
        <w:jc w:val="left"/>
        <w:tblInd w:w="0" w:type="dxa"/>
        <w:tblLayout w:type="fixed"/>
        <w:tblCellMar>
          <w:top w:w="0" w:type="dxa"/>
          <w:left w:w="0" w:type="dxa"/>
          <w:bottom w:w="0" w:type="dxa"/>
          <w:right w:w="0" w:type="dxa"/>
        </w:tblCellMar>
      </w:tblPr>
      <w:tblGrid>
        <w:gridCol w:w="1516"/>
        <w:gridCol w:w="326"/>
        <w:gridCol w:w="211"/>
        <w:gridCol w:w="676"/>
        <w:gridCol w:w="326"/>
        <w:gridCol w:w="239"/>
        <w:gridCol w:w="391"/>
        <w:gridCol w:w="326"/>
        <w:gridCol w:w="211"/>
        <w:gridCol w:w="421"/>
        <w:gridCol w:w="326"/>
        <w:gridCol w:w="211"/>
        <w:gridCol w:w="721"/>
      </w:tblGrid>
      <w:tr>
        <w:trPr/>
        <w:tc>
          <w:tcPr>
            <w:tcW w:w="15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4">
                      <wp:simplePos x="0" y="0"/>
                      <wp:positionH relativeFrom="character">
                        <wp:align>left</wp:align>
                      </wp:positionH>
                      <wp:positionV relativeFrom="line">
                        <wp:posOffset>635</wp:posOffset>
                      </wp:positionV>
                      <wp:extent cx="962660" cy="175260"/>
                      <wp:effectExtent l="0" t="0" r="0" b="0"/>
                      <wp:wrapNone/>
                      <wp:docPr id="133" name="Frame133"/>
                      <a:graphic xmlns:a="http://schemas.openxmlformats.org/drawingml/2006/main">
                        <a:graphicData uri="http://schemas.microsoft.com/office/word/2010/wordprocessingShape">
                          <wps:wsp>
                            <wps:cNvSpPr txBox="1"/>
                            <wps:spPr>
                              <a:xfrm>
                                <a:off x="0" y="0"/>
                                <a:ext cx="962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5">
                      <wp:simplePos x="0" y="0"/>
                      <wp:positionH relativeFrom="character">
                        <wp:align>left</wp:align>
                      </wp:positionH>
                      <wp:positionV relativeFrom="line">
                        <wp:posOffset>635</wp:posOffset>
                      </wp:positionV>
                      <wp:extent cx="207010" cy="175260"/>
                      <wp:effectExtent l="0" t="0" r="0" b="0"/>
                      <wp:wrapNone/>
                      <wp:docPr id="134" name="Frame13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6">
                      <wp:simplePos x="0" y="0"/>
                      <wp:positionH relativeFrom="character">
                        <wp:align>left</wp:align>
                      </wp:positionH>
                      <wp:positionV relativeFrom="line">
                        <wp:posOffset>635</wp:posOffset>
                      </wp:positionV>
                      <wp:extent cx="133985" cy="175260"/>
                      <wp:effectExtent l="0" t="0" r="0" b="0"/>
                      <wp:wrapNone/>
                      <wp:docPr id="135" name="Frame13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7">
                      <wp:simplePos x="0" y="0"/>
                      <wp:positionH relativeFrom="character">
                        <wp:align>left</wp:align>
                      </wp:positionH>
                      <wp:positionV relativeFrom="line">
                        <wp:posOffset>635</wp:posOffset>
                      </wp:positionV>
                      <wp:extent cx="429260" cy="175260"/>
                      <wp:effectExtent l="0" t="0" r="0" b="0"/>
                      <wp:wrapNone/>
                      <wp:docPr id="136" name="Frame136"/>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8">
                      <wp:simplePos x="0" y="0"/>
                      <wp:positionH relativeFrom="character">
                        <wp:align>left</wp:align>
                      </wp:positionH>
                      <wp:positionV relativeFrom="line">
                        <wp:posOffset>635</wp:posOffset>
                      </wp:positionV>
                      <wp:extent cx="207010" cy="175260"/>
                      <wp:effectExtent l="0" t="0" r="0" b="0"/>
                      <wp:wrapNone/>
                      <wp:docPr id="137" name="Frame13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3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9">
                      <wp:simplePos x="0" y="0"/>
                      <wp:positionH relativeFrom="character">
                        <wp:align>left</wp:align>
                      </wp:positionH>
                      <wp:positionV relativeFrom="line">
                        <wp:posOffset>635</wp:posOffset>
                      </wp:positionV>
                      <wp:extent cx="151765" cy="175260"/>
                      <wp:effectExtent l="0" t="0" r="0" b="0"/>
                      <wp:wrapNone/>
                      <wp:docPr id="138" name="Frame138"/>
                      <a:graphic xmlns:a="http://schemas.openxmlformats.org/drawingml/2006/main">
                        <a:graphicData uri="http://schemas.microsoft.com/office/word/2010/wordprocessingShape">
                          <wps:wsp>
                            <wps:cNvSpPr txBox="1"/>
                            <wps:spPr>
                              <a:xfrm>
                                <a:off x="0" y="0"/>
                                <a:ext cx="1517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0">
                      <wp:simplePos x="0" y="0"/>
                      <wp:positionH relativeFrom="character">
                        <wp:align>left</wp:align>
                      </wp:positionH>
                      <wp:positionV relativeFrom="line">
                        <wp:posOffset>635</wp:posOffset>
                      </wp:positionV>
                      <wp:extent cx="248285" cy="175260"/>
                      <wp:effectExtent l="0" t="0" r="0" b="0"/>
                      <wp:wrapNone/>
                      <wp:docPr id="139" name="Frame139"/>
                      <a:graphic xmlns:a="http://schemas.openxmlformats.org/drawingml/2006/main">
                        <a:graphicData uri="http://schemas.microsoft.com/office/word/2010/wordprocessingShape">
                          <wps:wsp>
                            <wps:cNvSpPr txBox="1"/>
                            <wps:spPr>
                              <a:xfrm>
                                <a:off x="0" y="0"/>
                                <a:ext cx="248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1">
                      <wp:simplePos x="0" y="0"/>
                      <wp:positionH relativeFrom="character">
                        <wp:align>left</wp:align>
                      </wp:positionH>
                      <wp:positionV relativeFrom="line">
                        <wp:posOffset>635</wp:posOffset>
                      </wp:positionV>
                      <wp:extent cx="207010" cy="175260"/>
                      <wp:effectExtent l="0" t="0" r="0" b="0"/>
                      <wp:wrapNone/>
                      <wp:docPr id="140" name="Frame14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2">
                      <wp:simplePos x="0" y="0"/>
                      <wp:positionH relativeFrom="character">
                        <wp:align>left</wp:align>
                      </wp:positionH>
                      <wp:positionV relativeFrom="line">
                        <wp:posOffset>635</wp:posOffset>
                      </wp:positionV>
                      <wp:extent cx="133985" cy="175260"/>
                      <wp:effectExtent l="0" t="0" r="0" b="0"/>
                      <wp:wrapNone/>
                      <wp:docPr id="141" name="Frame14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3">
                      <wp:simplePos x="0" y="0"/>
                      <wp:positionH relativeFrom="character">
                        <wp:align>left</wp:align>
                      </wp:positionH>
                      <wp:positionV relativeFrom="line">
                        <wp:posOffset>635</wp:posOffset>
                      </wp:positionV>
                      <wp:extent cx="267335" cy="175260"/>
                      <wp:effectExtent l="0" t="0" r="0" b="0"/>
                      <wp:wrapNone/>
                      <wp:docPr id="142" name="Frame142"/>
                      <a:graphic xmlns:a="http://schemas.openxmlformats.org/drawingml/2006/main">
                        <a:graphicData uri="http://schemas.microsoft.com/office/word/2010/wordprocessingShape">
                          <wps:wsp>
                            <wps:cNvSpPr txBox="1"/>
                            <wps:spPr>
                              <a:xfrm>
                                <a:off x="0" y="0"/>
                                <a:ext cx="2673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4">
                      <wp:simplePos x="0" y="0"/>
                      <wp:positionH relativeFrom="character">
                        <wp:align>left</wp:align>
                      </wp:positionH>
                      <wp:positionV relativeFrom="line">
                        <wp:posOffset>635</wp:posOffset>
                      </wp:positionV>
                      <wp:extent cx="207010" cy="175260"/>
                      <wp:effectExtent l="0" t="0" r="0" b="0"/>
                      <wp:wrapNone/>
                      <wp:docPr id="143" name="Frame14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5">
                      <wp:simplePos x="0" y="0"/>
                      <wp:positionH relativeFrom="character">
                        <wp:align>left</wp:align>
                      </wp:positionH>
                      <wp:positionV relativeFrom="line">
                        <wp:posOffset>635</wp:posOffset>
                      </wp:positionV>
                      <wp:extent cx="133985" cy="175260"/>
                      <wp:effectExtent l="0" t="0" r="0" b="0"/>
                      <wp:wrapNone/>
                      <wp:docPr id="144" name="Frame14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6">
                      <wp:simplePos x="0" y="0"/>
                      <wp:positionH relativeFrom="character">
                        <wp:align>left</wp:align>
                      </wp:positionH>
                      <wp:positionV relativeFrom="line">
                        <wp:posOffset>635</wp:posOffset>
                      </wp:positionV>
                      <wp:extent cx="457835" cy="175260"/>
                      <wp:effectExtent l="0" t="0" r="0" b="0"/>
                      <wp:wrapNone/>
                      <wp:docPr id="145" name="Frame145"/>
                      <a:graphic xmlns:a="http://schemas.openxmlformats.org/drawingml/2006/main">
                        <a:graphicData uri="http://schemas.microsoft.com/office/word/2010/wordprocessingShape">
                          <wps:wsp>
                            <wps:cNvSpPr txBox="1"/>
                            <wps:spPr>
                              <a:xfrm>
                                <a:off x="0" y="0"/>
                                <a:ext cx="4578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51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4059" w:type="dxa"/>
            <w:gridSpan w:val="11"/>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Balance as of March 31, 2024</w:t>
            </w:r>
          </w:p>
        </w:tc>
      </w:tr>
      <w:tr>
        <w:trPr/>
        <w:tc>
          <w:tcPr>
            <w:tcW w:w="151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Level 1</w:t>
            </w:r>
          </w:p>
        </w:tc>
        <w:tc>
          <w:tcPr>
            <w:tcW w:w="326" w:type="dxa"/>
            <w:tcBorders/>
            <w:vAlign w:val="center"/>
          </w:tcPr>
          <w:p>
            <w:pPr>
              <w:pStyle w:val="TableContents"/>
              <w:bidi w:val="0"/>
              <w:spacing w:before="0" w:after="0"/>
              <w:ind w:left="0" w:right="0" w:hanging="0"/>
              <w:jc w:val="center"/>
              <w:rPr/>
            </w:pPr>
            <w:r>
              <w:rPr/>
              <w:t>    </w:t>
            </w:r>
          </w:p>
        </w:tc>
        <w:tc>
          <w:tcPr>
            <w:tcW w:w="63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Level 2</w:t>
            </w:r>
          </w:p>
        </w:tc>
        <w:tc>
          <w:tcPr>
            <w:tcW w:w="326" w:type="dxa"/>
            <w:tcBorders/>
            <w:vAlign w:val="center"/>
          </w:tcPr>
          <w:p>
            <w:pPr>
              <w:pStyle w:val="TableContents"/>
              <w:bidi w:val="0"/>
              <w:spacing w:before="0" w:after="0"/>
              <w:ind w:left="0" w:right="0" w:hanging="0"/>
              <w:jc w:val="center"/>
              <w:rPr/>
            </w:pPr>
            <w:r>
              <w:rPr/>
              <w:t>    </w:t>
            </w:r>
          </w:p>
        </w:tc>
        <w:tc>
          <w:tcPr>
            <w:tcW w:w="63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Level 3</w:t>
            </w:r>
          </w:p>
        </w:tc>
        <w:tc>
          <w:tcPr>
            <w:tcW w:w="326" w:type="dxa"/>
            <w:tcBorders/>
            <w:vAlign w:val="center"/>
          </w:tcPr>
          <w:p>
            <w:pPr>
              <w:pStyle w:val="TableContents"/>
              <w:bidi w:val="0"/>
              <w:spacing w:before="0" w:after="0"/>
              <w:ind w:left="0" w:right="0" w:hanging="0"/>
              <w:jc w:val="center"/>
              <w:rPr/>
            </w:pPr>
            <w:r>
              <w:rPr/>
              <w:t>    </w:t>
            </w:r>
          </w:p>
        </w:tc>
        <w:tc>
          <w:tcPr>
            <w:tcW w:w="93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15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Assets:</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 </w:t>
            </w:r>
          </w:p>
        </w:tc>
        <w:tc>
          <w:tcPr>
            <w:tcW w:w="239" w:type="dxa"/>
            <w:tcBorders/>
            <w:shd w:fill="CCEEFF" w:val="clear"/>
            <w:vAlign w:val="center"/>
          </w:tcPr>
          <w:p>
            <w:pPr>
              <w:pStyle w:val="TableContents"/>
              <w:bidi w:val="0"/>
              <w:spacing w:before="0" w:after="0"/>
              <w:ind w:left="0" w:right="0" w:hanging="0"/>
              <w:jc w:val="left"/>
              <w:rPr/>
            </w:pPr>
            <w:r>
              <w:rPr/>
              <w:t>​</w:t>
            </w:r>
          </w:p>
        </w:tc>
        <w:tc>
          <w:tcPr>
            <w:tcW w:w="391"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421"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pPr>
            <w:r>
              <w:rPr/>
              <w:t>  </w:t>
            </w:r>
          </w:p>
        </w:tc>
      </w:tr>
      <w:tr>
        <w:trPr/>
        <w:tc>
          <w:tcPr>
            <w:tcW w:w="15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equivalents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10,110</w:t>
            </w:r>
          </w:p>
        </w:tc>
        <w:tc>
          <w:tcPr>
            <w:tcW w:w="326" w:type="dxa"/>
            <w:tcBorders/>
            <w:vAlign w:val="center"/>
          </w:tcPr>
          <w:p>
            <w:pPr>
              <w:pStyle w:val="TableContents"/>
              <w:bidi w:val="0"/>
              <w:spacing w:before="0" w:after="0"/>
              <w:ind w:left="0" w:right="0" w:hanging="0"/>
              <w:jc w:val="left"/>
              <w:rPr/>
            </w:pPr>
            <w:r>
              <w:rPr/>
              <w:t>​</w:t>
            </w:r>
          </w:p>
        </w:tc>
        <w:tc>
          <w:tcPr>
            <w:tcW w:w="23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39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2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10,110</w:t>
            </w:r>
          </w:p>
        </w:tc>
      </w:tr>
      <w:tr>
        <w:trPr/>
        <w:tc>
          <w:tcPr>
            <w:tcW w:w="15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Liabilities: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76"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w:t>
            </w:r>
          </w:p>
        </w:tc>
        <w:tc>
          <w:tcPr>
            <w:tcW w:w="239" w:type="dxa"/>
            <w:tcBorders/>
            <w:shd w:fill="CCEEFF" w:val="clear"/>
            <w:vAlign w:val="center"/>
          </w:tcPr>
          <w:p>
            <w:pPr>
              <w:pStyle w:val="TableContents"/>
              <w:bidi w:val="0"/>
              <w:spacing w:before="0" w:after="0"/>
              <w:ind w:left="0" w:right="0" w:hanging="0"/>
              <w:jc w:val="left"/>
              <w:rPr/>
            </w:pPr>
            <w:r>
              <w:rPr/>
              <w:t> </w:t>
            </w:r>
          </w:p>
        </w:tc>
        <w:tc>
          <w:tcPr>
            <w:tcW w:w="391"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421"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21" w:type="dxa"/>
            <w:tcBorders/>
            <w:shd w:fill="CCEEFF" w:val="clear"/>
            <w:vAlign w:val="center"/>
          </w:tcPr>
          <w:p>
            <w:pPr>
              <w:pStyle w:val="TableContents"/>
              <w:bidi w:val="0"/>
              <w:spacing w:before="0" w:after="0"/>
              <w:ind w:left="0" w:right="0" w:hanging="0"/>
              <w:jc w:val="right"/>
              <w:rPr/>
            </w:pPr>
            <w:r>
              <w:rPr/>
              <w:t>  </w:t>
            </w:r>
          </w:p>
        </w:tc>
      </w:tr>
      <w:tr>
        <w:trPr/>
        <w:tc>
          <w:tcPr>
            <w:tcW w:w="15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Warrant liability</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3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39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702</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21" w:type="dxa"/>
            <w:tcBorders/>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702</w:t>
            </w:r>
          </w:p>
        </w:tc>
      </w:tr>
    </w:tbl>
    <w:p>
      <w:pPr>
        <w:pStyle w:val="TextBody"/>
        <w:bidi w:val="0"/>
        <w:spacing w:before="0" w:after="0"/>
        <w:ind w:left="0" w:right="0" w:hanging="0"/>
        <w:jc w:val="center"/>
        <w:rPr/>
      </w:pPr>
      <w:r>
        <w:rPr/>
        <w:t>​</w:t>
      </w:r>
    </w:p>
    <w:tbl>
      <w:tblPr>
        <w:tblW w:w="5901" w:type="dxa"/>
        <w:jc w:val="left"/>
        <w:tblInd w:w="0" w:type="dxa"/>
        <w:tblLayout w:type="fixed"/>
        <w:tblCellMar>
          <w:top w:w="0" w:type="dxa"/>
          <w:left w:w="0" w:type="dxa"/>
          <w:bottom w:w="0" w:type="dxa"/>
          <w:right w:w="0" w:type="dxa"/>
        </w:tblCellMar>
      </w:tblPr>
      <w:tblGrid>
        <w:gridCol w:w="1516"/>
        <w:gridCol w:w="326"/>
        <w:gridCol w:w="211"/>
        <w:gridCol w:w="676"/>
        <w:gridCol w:w="326"/>
        <w:gridCol w:w="239"/>
        <w:gridCol w:w="391"/>
        <w:gridCol w:w="326"/>
        <w:gridCol w:w="211"/>
        <w:gridCol w:w="421"/>
        <w:gridCol w:w="326"/>
        <w:gridCol w:w="211"/>
        <w:gridCol w:w="721"/>
      </w:tblGrid>
      <w:tr>
        <w:trPr/>
        <w:tc>
          <w:tcPr>
            <w:tcW w:w="15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7">
                      <wp:simplePos x="0" y="0"/>
                      <wp:positionH relativeFrom="character">
                        <wp:align>left</wp:align>
                      </wp:positionH>
                      <wp:positionV relativeFrom="line">
                        <wp:posOffset>635</wp:posOffset>
                      </wp:positionV>
                      <wp:extent cx="962660" cy="175260"/>
                      <wp:effectExtent l="0" t="0" r="0" b="0"/>
                      <wp:wrapNone/>
                      <wp:docPr id="146" name="Frame146"/>
                      <a:graphic xmlns:a="http://schemas.openxmlformats.org/drawingml/2006/main">
                        <a:graphicData uri="http://schemas.microsoft.com/office/word/2010/wordprocessingShape">
                          <wps:wsp>
                            <wps:cNvSpPr txBox="1"/>
                            <wps:spPr>
                              <a:xfrm>
                                <a:off x="0" y="0"/>
                                <a:ext cx="9626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8">
                      <wp:simplePos x="0" y="0"/>
                      <wp:positionH relativeFrom="character">
                        <wp:align>left</wp:align>
                      </wp:positionH>
                      <wp:positionV relativeFrom="line">
                        <wp:posOffset>635</wp:posOffset>
                      </wp:positionV>
                      <wp:extent cx="207010" cy="175260"/>
                      <wp:effectExtent l="0" t="0" r="0" b="0"/>
                      <wp:wrapNone/>
                      <wp:docPr id="147" name="Frame14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9">
                      <wp:simplePos x="0" y="0"/>
                      <wp:positionH relativeFrom="character">
                        <wp:align>left</wp:align>
                      </wp:positionH>
                      <wp:positionV relativeFrom="line">
                        <wp:posOffset>635</wp:posOffset>
                      </wp:positionV>
                      <wp:extent cx="133985" cy="175260"/>
                      <wp:effectExtent l="0" t="0" r="0" b="0"/>
                      <wp:wrapNone/>
                      <wp:docPr id="148" name="Frame14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0">
                      <wp:simplePos x="0" y="0"/>
                      <wp:positionH relativeFrom="character">
                        <wp:align>left</wp:align>
                      </wp:positionH>
                      <wp:positionV relativeFrom="line">
                        <wp:posOffset>635</wp:posOffset>
                      </wp:positionV>
                      <wp:extent cx="429260" cy="175260"/>
                      <wp:effectExtent l="0" t="0" r="0" b="0"/>
                      <wp:wrapNone/>
                      <wp:docPr id="149" name="Frame149"/>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1">
                      <wp:simplePos x="0" y="0"/>
                      <wp:positionH relativeFrom="character">
                        <wp:align>left</wp:align>
                      </wp:positionH>
                      <wp:positionV relativeFrom="line">
                        <wp:posOffset>635</wp:posOffset>
                      </wp:positionV>
                      <wp:extent cx="207010" cy="175260"/>
                      <wp:effectExtent l="0" t="0" r="0" b="0"/>
                      <wp:wrapNone/>
                      <wp:docPr id="150" name="Frame15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3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2">
                      <wp:simplePos x="0" y="0"/>
                      <wp:positionH relativeFrom="character">
                        <wp:align>left</wp:align>
                      </wp:positionH>
                      <wp:positionV relativeFrom="line">
                        <wp:posOffset>635</wp:posOffset>
                      </wp:positionV>
                      <wp:extent cx="151765" cy="175260"/>
                      <wp:effectExtent l="0" t="0" r="0" b="0"/>
                      <wp:wrapNone/>
                      <wp:docPr id="151" name="Frame151"/>
                      <a:graphic xmlns:a="http://schemas.openxmlformats.org/drawingml/2006/main">
                        <a:graphicData uri="http://schemas.microsoft.com/office/word/2010/wordprocessingShape">
                          <wps:wsp>
                            <wps:cNvSpPr txBox="1"/>
                            <wps:spPr>
                              <a:xfrm>
                                <a:off x="0" y="0"/>
                                <a:ext cx="15176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3">
                      <wp:simplePos x="0" y="0"/>
                      <wp:positionH relativeFrom="character">
                        <wp:align>left</wp:align>
                      </wp:positionH>
                      <wp:positionV relativeFrom="line">
                        <wp:posOffset>635</wp:posOffset>
                      </wp:positionV>
                      <wp:extent cx="248285" cy="175260"/>
                      <wp:effectExtent l="0" t="0" r="0" b="0"/>
                      <wp:wrapNone/>
                      <wp:docPr id="152" name="Frame152"/>
                      <a:graphic xmlns:a="http://schemas.openxmlformats.org/drawingml/2006/main">
                        <a:graphicData uri="http://schemas.microsoft.com/office/word/2010/wordprocessingShape">
                          <wps:wsp>
                            <wps:cNvSpPr txBox="1"/>
                            <wps:spPr>
                              <a:xfrm>
                                <a:off x="0" y="0"/>
                                <a:ext cx="2482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4">
                      <wp:simplePos x="0" y="0"/>
                      <wp:positionH relativeFrom="character">
                        <wp:align>left</wp:align>
                      </wp:positionH>
                      <wp:positionV relativeFrom="line">
                        <wp:posOffset>635</wp:posOffset>
                      </wp:positionV>
                      <wp:extent cx="207010" cy="175260"/>
                      <wp:effectExtent l="0" t="0" r="0" b="0"/>
                      <wp:wrapNone/>
                      <wp:docPr id="153" name="Frame15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5">
                      <wp:simplePos x="0" y="0"/>
                      <wp:positionH relativeFrom="character">
                        <wp:align>left</wp:align>
                      </wp:positionH>
                      <wp:positionV relativeFrom="line">
                        <wp:posOffset>635</wp:posOffset>
                      </wp:positionV>
                      <wp:extent cx="133985" cy="175260"/>
                      <wp:effectExtent l="0" t="0" r="0" b="0"/>
                      <wp:wrapNone/>
                      <wp:docPr id="154" name="Frame15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6">
                      <wp:simplePos x="0" y="0"/>
                      <wp:positionH relativeFrom="character">
                        <wp:align>left</wp:align>
                      </wp:positionH>
                      <wp:positionV relativeFrom="line">
                        <wp:posOffset>635</wp:posOffset>
                      </wp:positionV>
                      <wp:extent cx="267335" cy="175260"/>
                      <wp:effectExtent l="0" t="0" r="0" b="0"/>
                      <wp:wrapNone/>
                      <wp:docPr id="155" name="Frame155"/>
                      <a:graphic xmlns:a="http://schemas.openxmlformats.org/drawingml/2006/main">
                        <a:graphicData uri="http://schemas.microsoft.com/office/word/2010/wordprocessingShape">
                          <wps:wsp>
                            <wps:cNvSpPr txBox="1"/>
                            <wps:spPr>
                              <a:xfrm>
                                <a:off x="0" y="0"/>
                                <a:ext cx="2673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7">
                      <wp:simplePos x="0" y="0"/>
                      <wp:positionH relativeFrom="character">
                        <wp:align>left</wp:align>
                      </wp:positionH>
                      <wp:positionV relativeFrom="line">
                        <wp:posOffset>635</wp:posOffset>
                      </wp:positionV>
                      <wp:extent cx="207010" cy="175260"/>
                      <wp:effectExtent l="0" t="0" r="0" b="0"/>
                      <wp:wrapNone/>
                      <wp:docPr id="156" name="Frame15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8">
                      <wp:simplePos x="0" y="0"/>
                      <wp:positionH relativeFrom="character">
                        <wp:align>left</wp:align>
                      </wp:positionH>
                      <wp:positionV relativeFrom="line">
                        <wp:posOffset>635</wp:posOffset>
                      </wp:positionV>
                      <wp:extent cx="133985" cy="175260"/>
                      <wp:effectExtent l="0" t="0" r="0" b="0"/>
                      <wp:wrapNone/>
                      <wp:docPr id="157" name="Frame15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9">
                      <wp:simplePos x="0" y="0"/>
                      <wp:positionH relativeFrom="character">
                        <wp:align>left</wp:align>
                      </wp:positionH>
                      <wp:positionV relativeFrom="line">
                        <wp:posOffset>635</wp:posOffset>
                      </wp:positionV>
                      <wp:extent cx="457835" cy="175260"/>
                      <wp:effectExtent l="0" t="0" r="0" b="0"/>
                      <wp:wrapNone/>
                      <wp:docPr id="158" name="Frame158"/>
                      <a:graphic xmlns:a="http://schemas.openxmlformats.org/drawingml/2006/main">
                        <a:graphicData uri="http://schemas.microsoft.com/office/word/2010/wordprocessingShape">
                          <wps:wsp>
                            <wps:cNvSpPr txBox="1"/>
                            <wps:spPr>
                              <a:xfrm>
                                <a:off x="0" y="0"/>
                                <a:ext cx="4578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151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    </w:t>
            </w:r>
          </w:p>
        </w:tc>
        <w:tc>
          <w:tcPr>
            <w:tcW w:w="4059" w:type="dxa"/>
            <w:gridSpan w:val="11"/>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Balance as of December 31, 2023</w:t>
            </w:r>
          </w:p>
        </w:tc>
      </w:tr>
      <w:tr>
        <w:trPr/>
        <w:tc>
          <w:tcPr>
            <w:tcW w:w="151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    </w:t>
            </w:r>
          </w:p>
        </w:tc>
        <w:tc>
          <w:tcPr>
            <w:tcW w:w="88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Level 1</w:t>
            </w:r>
          </w:p>
        </w:tc>
        <w:tc>
          <w:tcPr>
            <w:tcW w:w="326" w:type="dxa"/>
            <w:tcBorders/>
            <w:vAlign w:val="center"/>
          </w:tcPr>
          <w:p>
            <w:pPr>
              <w:pStyle w:val="TableContents"/>
              <w:bidi w:val="0"/>
              <w:spacing w:before="0" w:after="1"/>
              <w:ind w:left="0" w:right="0" w:hanging="0"/>
              <w:jc w:val="center"/>
              <w:rPr/>
            </w:pPr>
            <w:r>
              <w:rPr/>
              <w:t>    </w:t>
            </w:r>
          </w:p>
        </w:tc>
        <w:tc>
          <w:tcPr>
            <w:tcW w:w="63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Level 2</w:t>
            </w:r>
          </w:p>
        </w:tc>
        <w:tc>
          <w:tcPr>
            <w:tcW w:w="326" w:type="dxa"/>
            <w:tcBorders/>
            <w:vAlign w:val="center"/>
          </w:tcPr>
          <w:p>
            <w:pPr>
              <w:pStyle w:val="TableContents"/>
              <w:bidi w:val="0"/>
              <w:spacing w:before="0" w:after="1"/>
              <w:ind w:left="0" w:right="0" w:hanging="0"/>
              <w:jc w:val="center"/>
              <w:rPr/>
            </w:pPr>
            <w:r>
              <w:rPr/>
              <w:t>    </w:t>
            </w:r>
          </w:p>
        </w:tc>
        <w:tc>
          <w:tcPr>
            <w:tcW w:w="63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Level 3</w:t>
            </w:r>
          </w:p>
        </w:tc>
        <w:tc>
          <w:tcPr>
            <w:tcW w:w="326" w:type="dxa"/>
            <w:tcBorders/>
            <w:vAlign w:val="center"/>
          </w:tcPr>
          <w:p>
            <w:pPr>
              <w:pStyle w:val="TableContents"/>
              <w:bidi w:val="0"/>
              <w:spacing w:before="0" w:after="1"/>
              <w:ind w:left="0" w:right="0" w:hanging="0"/>
              <w:jc w:val="center"/>
              <w:rPr/>
            </w:pPr>
            <w:r>
              <w:rPr/>
              <w:t>    </w:t>
            </w:r>
          </w:p>
        </w:tc>
        <w:tc>
          <w:tcPr>
            <w:tcW w:w="93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15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Assets:</w:t>
            </w:r>
          </w:p>
        </w:tc>
        <w:tc>
          <w:tcPr>
            <w:tcW w:w="32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pPr>
            <w:r>
              <w:rPr/>
              <w:t>​</w:t>
            </w:r>
          </w:p>
        </w:tc>
        <w:tc>
          <w:tcPr>
            <w:tcW w:w="676" w:type="dxa"/>
            <w:tcBorders/>
            <w:shd w:fill="CCEEFF" w:val="clear"/>
            <w:vAlign w:val="center"/>
          </w:tcPr>
          <w:p>
            <w:pPr>
              <w:pStyle w:val="TableContents"/>
              <w:bidi w:val="0"/>
              <w:spacing w:before="0" w:after="1"/>
              <w:ind w:left="0" w:right="0" w:hanging="0"/>
              <w:jc w:val="right"/>
              <w:rPr/>
            </w:pPr>
            <w:r>
              <w:rPr/>
              <w:t>  </w:t>
            </w:r>
          </w:p>
        </w:tc>
        <w:tc>
          <w:tcPr>
            <w:tcW w:w="326" w:type="dxa"/>
            <w:tcBorders/>
            <w:shd w:fill="CCEEFF" w:val="clear"/>
            <w:vAlign w:val="center"/>
          </w:tcPr>
          <w:p>
            <w:pPr>
              <w:pStyle w:val="TableContents"/>
              <w:bidi w:val="0"/>
              <w:spacing w:before="0" w:after="1"/>
              <w:ind w:left="0" w:right="0" w:hanging="0"/>
              <w:jc w:val="left"/>
              <w:rPr/>
            </w:pPr>
            <w:r>
              <w:rPr/>
              <w:t> </w:t>
            </w:r>
          </w:p>
        </w:tc>
        <w:tc>
          <w:tcPr>
            <w:tcW w:w="239" w:type="dxa"/>
            <w:tcBorders/>
            <w:shd w:fill="CCEEFF" w:val="clear"/>
            <w:vAlign w:val="center"/>
          </w:tcPr>
          <w:p>
            <w:pPr>
              <w:pStyle w:val="TableContents"/>
              <w:bidi w:val="0"/>
              <w:spacing w:before="0" w:after="1"/>
              <w:ind w:left="0" w:right="0" w:hanging="0"/>
              <w:jc w:val="left"/>
              <w:rPr/>
            </w:pPr>
            <w:r>
              <w:rPr/>
              <w:t>​</w:t>
            </w:r>
          </w:p>
        </w:tc>
        <w:tc>
          <w:tcPr>
            <w:tcW w:w="391" w:type="dxa"/>
            <w:tcBorders/>
            <w:shd w:fill="CCEEFF" w:val="clear"/>
            <w:vAlign w:val="center"/>
          </w:tcPr>
          <w:p>
            <w:pPr>
              <w:pStyle w:val="TableContents"/>
              <w:bidi w:val="0"/>
              <w:spacing w:before="0" w:after="1"/>
              <w:ind w:left="0" w:right="0" w:hanging="0"/>
              <w:jc w:val="right"/>
              <w:rPr/>
            </w:pPr>
            <w:r>
              <w:rPr/>
              <w:t>  </w:t>
            </w:r>
          </w:p>
        </w:tc>
        <w:tc>
          <w:tcPr>
            <w:tcW w:w="32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pPr>
            <w:r>
              <w:rPr/>
              <w:t>​</w:t>
            </w:r>
          </w:p>
        </w:tc>
        <w:tc>
          <w:tcPr>
            <w:tcW w:w="421" w:type="dxa"/>
            <w:tcBorders/>
            <w:shd w:fill="CCEEFF" w:val="clear"/>
            <w:vAlign w:val="center"/>
          </w:tcPr>
          <w:p>
            <w:pPr>
              <w:pStyle w:val="TableContents"/>
              <w:bidi w:val="0"/>
              <w:spacing w:before="0" w:after="1"/>
              <w:ind w:left="0" w:right="0" w:hanging="0"/>
              <w:jc w:val="right"/>
              <w:rPr/>
            </w:pPr>
            <w:r>
              <w:rPr/>
              <w:t>  </w:t>
            </w:r>
          </w:p>
        </w:tc>
        <w:tc>
          <w:tcPr>
            <w:tcW w:w="32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pPr>
            <w:r>
              <w:rPr/>
              <w:t>​</w:t>
            </w:r>
          </w:p>
        </w:tc>
        <w:tc>
          <w:tcPr>
            <w:tcW w:w="721" w:type="dxa"/>
            <w:tcBorders/>
            <w:shd w:fill="CCEEFF" w:val="clear"/>
            <w:vAlign w:val="center"/>
          </w:tcPr>
          <w:p>
            <w:pPr>
              <w:pStyle w:val="TableContents"/>
              <w:bidi w:val="0"/>
              <w:spacing w:before="0" w:after="1"/>
              <w:ind w:left="0" w:right="0" w:hanging="0"/>
              <w:jc w:val="right"/>
              <w:rPr/>
            </w:pPr>
            <w:r>
              <w:rPr/>
              <w:t>  </w:t>
            </w:r>
          </w:p>
        </w:tc>
      </w:tr>
      <w:tr>
        <w:trPr/>
        <w:tc>
          <w:tcPr>
            <w:tcW w:w="15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Cash equivalents</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12,567</w:t>
            </w:r>
          </w:p>
        </w:tc>
        <w:tc>
          <w:tcPr>
            <w:tcW w:w="326" w:type="dxa"/>
            <w:tcBorders/>
            <w:vAlign w:val="center"/>
          </w:tcPr>
          <w:p>
            <w:pPr>
              <w:pStyle w:val="TableContents"/>
              <w:bidi w:val="0"/>
              <w:spacing w:before="0" w:after="1"/>
              <w:ind w:left="0" w:right="0" w:hanging="0"/>
              <w:jc w:val="left"/>
              <w:rPr/>
            </w:pPr>
            <w:r>
              <w:rPr/>
              <w:t>​</w:t>
            </w:r>
          </w:p>
        </w:tc>
        <w:tc>
          <w:tcPr>
            <w:tcW w:w="239"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39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42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2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12,567</w:t>
            </w:r>
          </w:p>
        </w:tc>
      </w:tr>
      <w:tr>
        <w:trPr/>
        <w:tc>
          <w:tcPr>
            <w:tcW w:w="15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Liabilities: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676" w:type="dxa"/>
            <w:tcBorders/>
            <w:shd w:fill="CCEEFF" w:val="clear"/>
            <w:vAlign w:val="center"/>
          </w:tcPr>
          <w:p>
            <w:pPr>
              <w:pStyle w:val="TableContents"/>
              <w:bidi w:val="0"/>
              <w:spacing w:before="0" w:after="1"/>
              <w:ind w:left="0" w:right="0" w:hanging="0"/>
              <w:jc w:val="right"/>
              <w:rPr/>
            </w:pPr>
            <w:r>
              <w:rPr/>
              <w:t>  </w:t>
            </w:r>
          </w:p>
        </w:tc>
        <w:tc>
          <w:tcPr>
            <w:tcW w:w="326" w:type="dxa"/>
            <w:tcBorders/>
            <w:shd w:fill="CCEEFF" w:val="clear"/>
            <w:vAlign w:val="center"/>
          </w:tcPr>
          <w:p>
            <w:pPr>
              <w:pStyle w:val="TableContents"/>
              <w:bidi w:val="0"/>
              <w:spacing w:before="0" w:after="1"/>
              <w:ind w:left="0" w:right="0" w:hanging="0"/>
              <w:jc w:val="left"/>
              <w:rPr/>
            </w:pPr>
            <w:r>
              <w:rPr/>
              <w:t>​</w:t>
            </w:r>
          </w:p>
        </w:tc>
        <w:tc>
          <w:tcPr>
            <w:tcW w:w="239" w:type="dxa"/>
            <w:tcBorders/>
            <w:shd w:fill="CCEEFF" w:val="clear"/>
            <w:vAlign w:val="center"/>
          </w:tcPr>
          <w:p>
            <w:pPr>
              <w:pStyle w:val="TableContents"/>
              <w:bidi w:val="0"/>
              <w:spacing w:before="0" w:after="1"/>
              <w:ind w:left="0" w:right="0" w:hanging="0"/>
              <w:jc w:val="left"/>
              <w:rPr/>
            </w:pPr>
            <w:r>
              <w:rPr/>
              <w:t> </w:t>
            </w:r>
          </w:p>
        </w:tc>
        <w:tc>
          <w:tcPr>
            <w:tcW w:w="391" w:type="dxa"/>
            <w:tcBorders/>
            <w:shd w:fill="CCEEFF" w:val="clear"/>
            <w:vAlign w:val="center"/>
          </w:tcPr>
          <w:p>
            <w:pPr>
              <w:pStyle w:val="TableContents"/>
              <w:bidi w:val="0"/>
              <w:spacing w:before="0" w:after="1"/>
              <w:ind w:left="0" w:right="0" w:hanging="0"/>
              <w:jc w:val="right"/>
              <w:rPr/>
            </w:pPr>
            <w:r>
              <w:rPr/>
              <w:t>  </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421" w:type="dxa"/>
            <w:tcBorders/>
            <w:shd w:fill="CCEEFF" w:val="clear"/>
            <w:vAlign w:val="center"/>
          </w:tcPr>
          <w:p>
            <w:pPr>
              <w:pStyle w:val="TableContents"/>
              <w:bidi w:val="0"/>
              <w:spacing w:before="0" w:after="1"/>
              <w:ind w:left="0" w:right="0" w:hanging="0"/>
              <w:jc w:val="right"/>
              <w:rPr/>
            </w:pPr>
            <w:r>
              <w:rPr/>
              <w:t>  </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21" w:type="dxa"/>
            <w:tcBorders/>
            <w:shd w:fill="CCEEFF" w:val="clear"/>
            <w:vAlign w:val="center"/>
          </w:tcPr>
          <w:p>
            <w:pPr>
              <w:pStyle w:val="TableContents"/>
              <w:bidi w:val="0"/>
              <w:spacing w:before="0" w:after="1"/>
              <w:ind w:left="0" w:right="0" w:hanging="0"/>
              <w:jc w:val="right"/>
              <w:rPr/>
            </w:pPr>
            <w:r>
              <w:rPr/>
              <w:t>  </w:t>
            </w:r>
          </w:p>
        </w:tc>
      </w:tr>
      <w:tr>
        <w:trPr/>
        <w:tc>
          <w:tcPr>
            <w:tcW w:w="15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Warrant liability</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39"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39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42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620</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21" w:type="dxa"/>
            <w:tcBorders/>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620</w:t>
            </w:r>
          </w:p>
        </w:tc>
      </w:tr>
    </w:tbl>
    <w:p>
      <w:pPr>
        <w:pStyle w:val="TextBody"/>
        <w:bidi w:val="0"/>
        <w:spacing w:before="0" w:after="24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There were no transfers among Level 1, Level 2, or Level 3 categories during the periods presented.</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2023 Warrants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Company utilizes a Monte Carlo simulation model for the 2023 Warrants at each reporting period, with changes in fair value recognized in the statements of operations. The estimated fair value of the 2023 Warrant liability is determined using Level 3 inputs. Inherent in a Monte Carlo simulation model are assumptions related to expected share-price volatility, expected life, risk-free interest rate, and dividend yield.</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key inputs into the Monte Carlo simulation model for the 2023 Warrants are as follows:</w:t>
      </w:r>
    </w:p>
    <w:p>
      <w:pPr>
        <w:pStyle w:val="TextBody"/>
        <w:bidi w:val="0"/>
        <w:spacing w:before="0" w:after="0"/>
        <w:ind w:left="0" w:right="0" w:hanging="0"/>
        <w:jc w:val="left"/>
        <w:rPr/>
      </w:pPr>
      <w:r>
        <w:rPr/>
        <w:t>​</w:t>
      </w:r>
    </w:p>
    <w:tbl>
      <w:tblPr>
        <w:tblW w:w="3778" w:type="dxa"/>
        <w:jc w:val="left"/>
        <w:tblInd w:w="0" w:type="dxa"/>
        <w:tblLayout w:type="fixed"/>
        <w:tblCellMar>
          <w:top w:w="0" w:type="dxa"/>
          <w:left w:w="0" w:type="dxa"/>
          <w:bottom w:w="0" w:type="dxa"/>
          <w:right w:w="0" w:type="dxa"/>
        </w:tblCellMar>
      </w:tblPr>
      <w:tblGrid>
        <w:gridCol w:w="1351"/>
        <w:gridCol w:w="326"/>
        <w:gridCol w:w="211"/>
        <w:gridCol w:w="466"/>
        <w:gridCol w:w="326"/>
        <w:gridCol w:w="211"/>
        <w:gridCol w:w="571"/>
        <w:gridCol w:w="316"/>
      </w:tblGrid>
      <w:tr>
        <w:trPr/>
        <w:tc>
          <w:tcPr>
            <w:tcW w:w="13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0">
                      <wp:simplePos x="0" y="0"/>
                      <wp:positionH relativeFrom="character">
                        <wp:align>left</wp:align>
                      </wp:positionH>
                      <wp:positionV relativeFrom="line">
                        <wp:posOffset>635</wp:posOffset>
                      </wp:positionV>
                      <wp:extent cx="857885" cy="175260"/>
                      <wp:effectExtent l="0" t="0" r="0" b="0"/>
                      <wp:wrapNone/>
                      <wp:docPr id="159" name="Frame159"/>
                      <a:graphic xmlns:a="http://schemas.openxmlformats.org/drawingml/2006/main">
                        <a:graphicData uri="http://schemas.microsoft.com/office/word/2010/wordprocessingShape">
                          <wps:wsp>
                            <wps:cNvSpPr txBox="1"/>
                            <wps:spPr>
                              <a:xfrm>
                                <a:off x="0" y="0"/>
                                <a:ext cx="8578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7.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1">
                      <wp:simplePos x="0" y="0"/>
                      <wp:positionH relativeFrom="character">
                        <wp:align>left</wp:align>
                      </wp:positionH>
                      <wp:positionV relativeFrom="line">
                        <wp:posOffset>635</wp:posOffset>
                      </wp:positionV>
                      <wp:extent cx="207010" cy="175260"/>
                      <wp:effectExtent l="0" t="0" r="0" b="0"/>
                      <wp:wrapNone/>
                      <wp:docPr id="160" name="Frame16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2">
                      <wp:simplePos x="0" y="0"/>
                      <wp:positionH relativeFrom="character">
                        <wp:align>left</wp:align>
                      </wp:positionH>
                      <wp:positionV relativeFrom="line">
                        <wp:posOffset>635</wp:posOffset>
                      </wp:positionV>
                      <wp:extent cx="133985" cy="175260"/>
                      <wp:effectExtent l="0" t="0" r="0" b="0"/>
                      <wp:wrapNone/>
                      <wp:docPr id="161" name="Frame16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3">
                      <wp:simplePos x="0" y="0"/>
                      <wp:positionH relativeFrom="character">
                        <wp:align>left</wp:align>
                      </wp:positionH>
                      <wp:positionV relativeFrom="line">
                        <wp:posOffset>635</wp:posOffset>
                      </wp:positionV>
                      <wp:extent cx="295910" cy="175260"/>
                      <wp:effectExtent l="0" t="0" r="0" b="0"/>
                      <wp:wrapNone/>
                      <wp:docPr id="162" name="Frame162"/>
                      <a:graphic xmlns:a="http://schemas.openxmlformats.org/drawingml/2006/main">
                        <a:graphicData uri="http://schemas.microsoft.com/office/word/2010/wordprocessingShape">
                          <wps:wsp>
                            <wps:cNvSpPr txBox="1"/>
                            <wps:spPr>
                              <a:xfrm>
                                <a:off x="0" y="0"/>
                                <a:ext cx="2959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4">
                      <wp:simplePos x="0" y="0"/>
                      <wp:positionH relativeFrom="character">
                        <wp:align>left</wp:align>
                      </wp:positionH>
                      <wp:positionV relativeFrom="line">
                        <wp:posOffset>635</wp:posOffset>
                      </wp:positionV>
                      <wp:extent cx="207010" cy="175260"/>
                      <wp:effectExtent l="0" t="0" r="0" b="0"/>
                      <wp:wrapNone/>
                      <wp:docPr id="163" name="Frame16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5">
                      <wp:simplePos x="0" y="0"/>
                      <wp:positionH relativeFrom="character">
                        <wp:align>left</wp:align>
                      </wp:positionH>
                      <wp:positionV relativeFrom="line">
                        <wp:posOffset>635</wp:posOffset>
                      </wp:positionV>
                      <wp:extent cx="133985" cy="175260"/>
                      <wp:effectExtent l="0" t="0" r="0" b="0"/>
                      <wp:wrapNone/>
                      <wp:docPr id="164" name="Frame16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6">
                      <wp:simplePos x="0" y="0"/>
                      <wp:positionH relativeFrom="character">
                        <wp:align>left</wp:align>
                      </wp:positionH>
                      <wp:positionV relativeFrom="line">
                        <wp:posOffset>635</wp:posOffset>
                      </wp:positionV>
                      <wp:extent cx="362585" cy="175260"/>
                      <wp:effectExtent l="0" t="0" r="0" b="0"/>
                      <wp:wrapNone/>
                      <wp:docPr id="165" name="Frame165"/>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7">
                      <wp:simplePos x="0" y="0"/>
                      <wp:positionH relativeFrom="character">
                        <wp:align>left</wp:align>
                      </wp:positionH>
                      <wp:positionV relativeFrom="line">
                        <wp:posOffset>635</wp:posOffset>
                      </wp:positionV>
                      <wp:extent cx="200660" cy="175260"/>
                      <wp:effectExtent l="0" t="0" r="0" b="0"/>
                      <wp:wrapNone/>
                      <wp:docPr id="166" name="Frame166"/>
                      <a:graphic xmlns:a="http://schemas.openxmlformats.org/drawingml/2006/main">
                        <a:graphicData uri="http://schemas.microsoft.com/office/word/2010/wordprocessingShape">
                          <wps:wsp>
                            <wps:cNvSpPr txBox="1"/>
                            <wps:spPr>
                              <a:xfrm>
                                <a:off x="0" y="0"/>
                                <a:ext cx="2006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135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    </w:t>
            </w:r>
          </w:p>
        </w:tc>
        <w:tc>
          <w:tcPr>
            <w:tcW w:w="1785"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As of March 31,</w:t>
            </w:r>
          </w:p>
        </w:tc>
        <w:tc>
          <w:tcPr>
            <w:tcW w:w="316" w:type="dxa"/>
            <w:tcBorders/>
            <w:vAlign w:val="center"/>
          </w:tcPr>
          <w:p>
            <w:pPr>
              <w:pStyle w:val="TableContents"/>
              <w:bidi w:val="0"/>
              <w:spacing w:before="0" w:after="1"/>
              <w:ind w:left="0" w:right="0" w:hanging="0"/>
              <w:jc w:val="left"/>
              <w:rPr/>
            </w:pPr>
            <w:r>
              <w:rPr/>
              <w:t> </w:t>
            </w:r>
          </w:p>
        </w:tc>
      </w:tr>
      <w:tr>
        <w:trPr/>
        <w:tc>
          <w:tcPr>
            <w:tcW w:w="135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67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26" w:type="dxa"/>
            <w:tcBorders/>
            <w:vAlign w:val="center"/>
          </w:tcPr>
          <w:p>
            <w:pPr>
              <w:pStyle w:val="TableContents"/>
              <w:bidi w:val="0"/>
              <w:spacing w:before="0" w:after="1"/>
              <w:ind w:left="0" w:right="0" w:hanging="0"/>
              <w:jc w:val="left"/>
              <w:rPr/>
            </w:pPr>
            <w:r>
              <w:rPr/>
              <w:t>    </w:t>
            </w:r>
          </w:p>
        </w:tc>
        <w:tc>
          <w:tcPr>
            <w:tcW w:w="78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16" w:type="dxa"/>
            <w:tcBorders/>
            <w:vAlign w:val="center"/>
          </w:tcPr>
          <w:p>
            <w:pPr>
              <w:pStyle w:val="TableContents"/>
              <w:bidi w:val="0"/>
              <w:spacing w:before="0" w:after="1"/>
              <w:ind w:left="0" w:right="0" w:hanging="0"/>
              <w:jc w:val="left"/>
              <w:rPr/>
            </w:pPr>
            <w:r>
              <w:rPr/>
              <w:t>​</w:t>
            </w:r>
          </w:p>
        </w:tc>
      </w:tr>
      <w:tr>
        <w:trPr/>
        <w:tc>
          <w:tcPr>
            <w:tcW w:w="135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Share price</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46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2.03</w:t>
            </w:r>
          </w:p>
        </w:tc>
        <w:tc>
          <w:tcPr>
            <w:tcW w:w="32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10.80</w:t>
            </w:r>
          </w:p>
        </w:tc>
        <w:tc>
          <w:tcPr>
            <w:tcW w:w="316" w:type="dxa"/>
            <w:tcBorders/>
            <w:shd w:fill="CCEEFF" w:val="clear"/>
            <w:vAlign w:val="center"/>
          </w:tcPr>
          <w:p>
            <w:pPr>
              <w:pStyle w:val="TableContents"/>
              <w:bidi w:val="0"/>
              <w:spacing w:before="0" w:after="1"/>
              <w:ind w:left="0" w:right="0" w:hanging="0"/>
              <w:jc w:val="left"/>
              <w:rPr/>
            </w:pPr>
            <w:r>
              <w:rPr/>
              <w:t>​</w:t>
            </w:r>
          </w:p>
        </w:tc>
      </w:tr>
      <w:tr>
        <w:trPr/>
        <w:tc>
          <w:tcPr>
            <w:tcW w:w="135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Exercise price</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46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1.66</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8.00</w:t>
            </w:r>
          </w:p>
        </w:tc>
        <w:tc>
          <w:tcPr>
            <w:tcW w:w="316" w:type="dxa"/>
            <w:tcBorders/>
            <w:vAlign w:val="center"/>
          </w:tcPr>
          <w:p>
            <w:pPr>
              <w:pStyle w:val="TableContents"/>
              <w:bidi w:val="0"/>
              <w:spacing w:before="0" w:after="1"/>
              <w:ind w:left="0" w:right="0" w:hanging="0"/>
              <w:jc w:val="left"/>
              <w:rPr/>
            </w:pPr>
            <w:r>
              <w:rPr/>
              <w:t>​</w:t>
            </w:r>
          </w:p>
        </w:tc>
      </w:tr>
      <w:tr>
        <w:trPr/>
        <w:tc>
          <w:tcPr>
            <w:tcW w:w="135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Term (in years)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466" w:type="dxa"/>
            <w:tcBorders/>
            <w:shd w:fill="CCEEFF" w:val="clear"/>
            <w:vAlign w:val="center"/>
          </w:tcPr>
          <w:p>
            <w:pPr>
              <w:pStyle w:val="TableContents"/>
              <w:bidi w:val="0"/>
              <w:spacing w:before="0" w:after="1"/>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5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6.0</w:t>
            </w:r>
          </w:p>
        </w:tc>
        <w:tc>
          <w:tcPr>
            <w:tcW w:w="316" w:type="dxa"/>
            <w:tcBorders/>
            <w:shd w:fill="CCEEFF" w:val="clear"/>
            <w:vAlign w:val="center"/>
          </w:tcPr>
          <w:p>
            <w:pPr>
              <w:pStyle w:val="TableContents"/>
              <w:bidi w:val="0"/>
              <w:spacing w:before="0" w:after="1"/>
              <w:ind w:left="0" w:right="0" w:hanging="0"/>
              <w:jc w:val="left"/>
              <w:rPr/>
            </w:pPr>
            <w:r>
              <w:rPr/>
              <w:t>​</w:t>
            </w:r>
          </w:p>
        </w:tc>
      </w:tr>
      <w:tr>
        <w:trPr/>
        <w:tc>
          <w:tcPr>
            <w:tcW w:w="135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Volatility</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46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85</w:t>
            </w:r>
          </w:p>
        </w:tc>
        <w:tc>
          <w:tcPr>
            <w:tcW w:w="32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211" w:type="dxa"/>
            <w:tcBorders/>
            <w:vAlign w:val="center"/>
          </w:tcPr>
          <w:p>
            <w:pPr>
              <w:pStyle w:val="TableContents"/>
              <w:bidi w:val="0"/>
              <w:spacing w:before="0" w:after="1"/>
              <w:ind w:left="0" w:right="0" w:hanging="0"/>
              <w:jc w:val="left"/>
              <w:rPr/>
            </w:pPr>
            <w:r>
              <w:rPr/>
              <w:t>​</w:t>
            </w:r>
          </w:p>
        </w:tc>
        <w:tc>
          <w:tcPr>
            <w:tcW w:w="57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65</w:t>
            </w:r>
          </w:p>
        </w:tc>
        <w:tc>
          <w:tcPr>
            <w:tcW w:w="3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135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Risk-free rate</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46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4.2</w:t>
            </w:r>
          </w:p>
        </w:tc>
        <w:tc>
          <w:tcPr>
            <w:tcW w:w="32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211" w:type="dxa"/>
            <w:tcBorders/>
            <w:shd w:fill="CCEEFF" w:val="clear"/>
            <w:vAlign w:val="center"/>
          </w:tcPr>
          <w:p>
            <w:pPr>
              <w:pStyle w:val="TableContents"/>
              <w:bidi w:val="0"/>
              <w:spacing w:before="0" w:after="1"/>
              <w:ind w:left="0" w:right="0" w:hanging="0"/>
              <w:jc w:val="left"/>
              <w:rPr/>
            </w:pPr>
            <w:r>
              <w:rPr/>
              <w:t>​</w:t>
            </w:r>
          </w:p>
        </w:tc>
        <w:tc>
          <w:tcPr>
            <w:tcW w:w="5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3.6</w:t>
            </w:r>
          </w:p>
        </w:tc>
        <w:tc>
          <w:tcPr>
            <w:tcW w:w="3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135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Dividend yield</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46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w:t>
            </w:r>
          </w:p>
        </w:tc>
        <w:tc>
          <w:tcPr>
            <w:tcW w:w="32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211" w:type="dxa"/>
            <w:tcBorders/>
            <w:vAlign w:val="center"/>
          </w:tcPr>
          <w:p>
            <w:pPr>
              <w:pStyle w:val="TableContents"/>
              <w:bidi w:val="0"/>
              <w:spacing w:before="0" w:after="1"/>
              <w:ind w:left="0" w:right="0" w:hanging="0"/>
              <w:jc w:val="left"/>
              <w:rPr/>
            </w:pPr>
            <w:r>
              <w:rPr/>
              <w:t>​</w:t>
            </w:r>
          </w:p>
        </w:tc>
        <w:tc>
          <w:tcPr>
            <w:tcW w:w="57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w:t>
            </w:r>
          </w:p>
        </w:tc>
        <w:tc>
          <w:tcPr>
            <w:tcW w:w="3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24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change in the fair value of the 2023 Warrant liability was determined to be $0.1 million during the three months ended March 31, 2024. There was no change in fair value of the 2023 Warrant liability for the three months ended March 31, 2023 (see Note 9 – Warrant Liability).</w:t>
      </w:r>
    </w:p>
    <w:p>
      <w:pPr>
        <w:pStyle w:val="TextBody"/>
        <w:bidi w:val="0"/>
        <w:spacing w:before="480" w:after="0"/>
        <w:ind w:left="0" w:right="0" w:hanging="0"/>
        <w:jc w:val="right"/>
        <w:rPr>
          <w:rFonts w:ascii="Times New Roman;Times;serif" w:hAnsi="Times New Roman;Times;serif"/>
          <w:sz w:val="20"/>
        </w:rPr>
      </w:pPr>
      <w:r>
        <w:rPr>
          <w:rFonts w:ascii="Times New Roman;Times;serif" w:hAnsi="Times New Roman;Times;serif"/>
          <w:sz w:val="20"/>
        </w:rPr>
        <w:t>23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Note 11 – Related Party Transactions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In November 2016, the Company and Dialog entered into the Alliance Agreement for the manufacture, distribution and commercialization of products incorporating the Company’s wire-free charging technology (See Note 6 – Commitments and Contingencies, </w:t>
      </w:r>
      <w:r>
        <w:rPr>
          <w:rFonts w:ascii="Times New Roman;Times;serif" w:hAnsi="Times New Roman;Times;serif"/>
          <w:i/>
          <w:sz w:val="20"/>
        </w:rPr>
        <w:t>Strategic Alliance Agreement</w:t>
      </w:r>
      <w:r>
        <w:rPr>
          <w:rFonts w:ascii="Times New Roman;Times;serif" w:hAnsi="Times New Roman;Times;serif"/>
          <w:sz w:val="20"/>
        </w:rPr>
        <w:t>). On November 7, 2016 and June 28, 2017, the Company and Dialog entered into securities purchase agreements under which Dialog acquired a total of 86,985 shares of common stock and received warrants to purchase up to 70,878 shares of common stock. As of March 31, 2024, none of the warrants remain outstanding. As of March 31, 2024, Renesas owns approximately 1.4% of the Company’s outstanding common stock. The Company did not record any revenue during the three months ended March 31, 2024 and 2023 under the Alliance Agreement. The Company incurred $0 and $0.1 million in chip test development expense from Renesas, which acquired Dialog in August 2021, during the three months ended March 31, 2024 and 2023, respectively.</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On September 20, 2021, the Company was notified by Dialog that it was terminating the Alliance Agreement between the Company and Dialog.</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Note 12 – Customer Concentrations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Four customers accounted for approximately 87% of the Company’s revenue for the three months ended March 31, 2024, and two customers accounted for approximately 84% of the Company’s revenue for the three months ended March 31, 2023. Two customers accounted for approximately 92% of the Company’s accounts receivable balance as of March 31, 2024, and two customers accounted for approximately 88% of the Company’s accounts receivable balance as of December 31, 2023.</w:t>
      </w:r>
    </w:p>
    <w:p>
      <w:pPr>
        <w:pStyle w:val="TextBody"/>
        <w:bidi w:val="0"/>
        <w:spacing w:before="0" w:after="0"/>
        <w:ind w:left="0" w:right="0" w:hanging="0"/>
        <w:jc w:val="left"/>
        <w:rPr/>
      </w:pPr>
      <w:r>
        <w:rPr/>
        <w:t>​</w:t>
      </w:r>
    </w:p>
    <w:p>
      <w:pPr>
        <w:pStyle w:val="TextBody"/>
        <w:bidi w:val="0"/>
        <w:spacing w:before="480" w:after="0"/>
        <w:ind w:left="0" w:right="0" w:hanging="0"/>
        <w:jc w:val="right"/>
        <w:rPr>
          <w:rFonts w:ascii="Times New Roman;Times;serif" w:hAnsi="Times New Roman;Times;serif"/>
          <w:sz w:val="20"/>
        </w:rPr>
      </w:pPr>
      <w:r>
        <w:rPr>
          <w:rFonts w:ascii="Times New Roman;Times;serif" w:hAnsi="Times New Roman;Times;serif"/>
          <w:sz w:val="20"/>
        </w:rPr>
        <w:t>24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bookmarkStart w:id="754" w:name="Item2ManagementsDiscussionandAnalysisofF"/>
      <w:bookmarkStart w:id="755" w:name="_3689609e_94e7_4d92_b418_8c006f309e1d"/>
      <w:bookmarkEnd w:id="754"/>
      <w:bookmarkEnd w:id="755"/>
      <w:r>
        <w:rPr>
          <w:rFonts w:ascii="Times New Roman;Times;serif" w:hAnsi="Times New Roman;Times;serif"/>
          <w:b/>
          <w:sz w:val="20"/>
        </w:rPr>
        <w:t>Item 2. Management’s Discussion and Analysis of Financial Condition and Results of Operations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Forward-Looking Statements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As used in this Quarterly Report on Form 10-Q, unless the context otherwise requires the terms “we,” “us,” “our,” and “Energous” refer to Energous Corporation, a Delaware corporation. This report contains forward-looking statements within the meaning of Section 27A of the Securities Act of 1933, as amended (the “Securities Act”), and Section 21E of the Securities Exchange Act of 1934, as amended (the “Exchange Act”), that are intended to be covered by the “safe harbor” created by those sections. Forward-looking statements, which are based on certain assumptions and describe our future plans, strategies and expectations, can generally be identified by the use of forward-looking terms such as “believe,” “expect,” “may,” “will,” “would,” “should,” “could,” “seek,” “intend,” “plan,” “continue,” “estimate,” “anticipate” or other comparable terms. All statements other than statements of historical facts included in this report regarding our strategies, prospects, financial condition, operations, costs, plans and objectives are forward-looking statements. Examples of forward-looking statements include, among others, statements we make regarding proposed business strategy; market opportunities; regulatory approval; expectations for current and potential business relationships; and expectations for revenues, liquidity cash flows and financial performance, the anticipated results of our research and development efforts, the timing for receipt of required regulatory approvals and product launches; and the impact of geopolitical, macroeconomic, health and other world events. Forward-looking statements are neither historical facts nor assurances of future performance. Instead, they are based only on our current beliefs, expectations and assumptions regarding the future of our business, future plans and strategies, projections, anticipated events and trends, the economy and other future conditions. Forward-looking statements relate to the future and are subject to inherent uncertainties, risks and changes in circumstances that are difficult to predict and generally outside of our control, so actual results and financial condition may differ materially from those indicated in the forward-looking statements. Important factors that could cause our actual results and financial condition to differ materially from those indicated in the forward-looking statements include, among others: our ability to develop commercially feasible technology; timing of customer implementations of our technology in consumer products; timing and receipt of regulatory approvals in the United States and internationally; our ability to find and maintain development partners; market acceptance of our technology; competition in our industry; our ability to protect our intellectual property; competition; and other risks and uncertainties described in the Risk Factors and in Management’s Discussion and Analysis sections of our most recently filed Annual Report on Form 10-K and subsequently filed Quarterly Reports on Form 10-Q, including this Quarterly Report on Form 10-Q. We undertake no obligation to publicly update any of our forward-looking statements, whether as a result of new information, future developments or otherwise.</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Overview</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We have developed our wireless power networks technology (“WPNT”), consisting of semiconductor chipsets, software controls, hardware designs and antennas, that enable radio frequency (“RF”) based charging for Internet of Things (“IoT”) devices. Our WPNT has a broad spectrum of capabilities to enable the next generation of wireless power networks, delivering power and data in a seamless device portfolio. This includes near field and at-a-distance wireless charging, with multiple power levels at various distances. We believe our WPNTs will facilitate the deployment of the growing universe of IoT applications. According to Statista 2024, the number of IoT connected devices worldwide is forecasted to grow to 29.4 billion units by 2030. The initial IoT applications we are targeting are RF tags for asset tracking and cold chain applications, electronic shelf labeling (“ESL”), and IoT sensors for retail, industrial, healthcare, and logistics markets.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We believe our technology is innovative in its approach, in that we are developing solutions that charge IoT devices using RF technology. To date, we have developed and released to production multiple transmitters and receivers, including prototypes and partner production designs. The transmitters vary based on form factor and power specifications and frequencies, while the receivers are designed to support a myriad of wireless charging applications, including:</w:t>
      </w:r>
    </w:p>
    <w:tbl>
      <w:tblPr>
        <w:tblW w:w="5552" w:type="dxa"/>
        <w:jc w:val="left"/>
        <w:tblInd w:w="0" w:type="dxa"/>
        <w:tblLayout w:type="fixed"/>
        <w:tblCellMar>
          <w:top w:w="0" w:type="dxa"/>
          <w:left w:w="0" w:type="dxa"/>
          <w:bottom w:w="0" w:type="dxa"/>
          <w:right w:w="0" w:type="dxa"/>
        </w:tblCellMar>
      </w:tblPr>
      <w:tblGrid>
        <w:gridCol w:w="2056"/>
        <w:gridCol w:w="3496"/>
      </w:tblGrid>
      <w:tr>
        <w:trPr/>
        <w:tc>
          <w:tcPr>
            <w:tcW w:w="2056" w:type="dxa"/>
            <w:tcBorders/>
            <w:vAlign w:val="center"/>
          </w:tcPr>
          <w:p>
            <w:pPr>
              <w:pStyle w:val="TableContents"/>
              <w:bidi w:val="0"/>
              <w:spacing w:before="0" w:after="0"/>
              <w:ind w:left="0" w:right="0" w:hanging="0"/>
              <w:jc w:val="left"/>
              <w:rPr/>
            </w:pPr>
            <w:r>
              <w:rPr/>
              <w:t>​</w:t>
            </w:r>
          </w:p>
        </w:tc>
        <w:tc>
          <w:tcPr>
            <w:tcW w:w="3496" w:type="dxa"/>
            <w:tcBorders/>
            <w:vAlign w:val="center"/>
          </w:tcPr>
          <w:p>
            <w:pPr>
              <w:pStyle w:val="TableContents"/>
              <w:bidi w:val="0"/>
              <w:spacing w:before="0" w:after="0"/>
              <w:ind w:left="0" w:right="0" w:hanging="0"/>
              <w:jc w:val="left"/>
              <w:rPr/>
            </w:pPr>
            <w:r>
              <w:rPr/>
              <w:t>​</w:t>
            </w:r>
          </w:p>
        </w:tc>
      </w:tr>
      <w:tr>
        <w:trPr/>
        <w:tc>
          <w:tcPr>
            <w:tcW w:w="2056" w:type="dxa"/>
            <w:tcBorders>
              <w:top w:val="single" w:sz="2" w:space="0" w:color="000000"/>
              <w:left w:val="single" w:sz="2" w:space="0" w:color="000000"/>
              <w:bottom w:val="single" w:sz="2" w:space="0" w:color="000000"/>
              <w:right w:val="single" w:sz="2" w:space="0" w:color="000000"/>
            </w:tcBorders>
            <w:tcMar>
              <w:top w:w="28" w:type="dxa"/>
              <w:left w:w="110" w:type="dxa"/>
              <w:bottom w:w="28" w:type="dxa"/>
              <w:right w:w="110"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Device Type</w:t>
            </w:r>
          </w:p>
        </w:tc>
        <w:tc>
          <w:tcPr>
            <w:tcW w:w="3496" w:type="dxa"/>
            <w:tcBorders>
              <w:top w:val="single" w:sz="2" w:space="0" w:color="000000"/>
              <w:left w:val="single" w:sz="2" w:space="0" w:color="000000"/>
              <w:bottom w:val="single" w:sz="2" w:space="0" w:color="000000"/>
              <w:right w:val="single" w:sz="2" w:space="0" w:color="000000"/>
            </w:tcBorders>
            <w:tcMar>
              <w:top w:w="28" w:type="dxa"/>
              <w:left w:w="110" w:type="dxa"/>
              <w:bottom w:w="28" w:type="dxa"/>
              <w:right w:w="110"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Application</w:t>
            </w:r>
          </w:p>
        </w:tc>
      </w:tr>
      <w:tr>
        <w:trPr/>
        <w:tc>
          <w:tcPr>
            <w:tcW w:w="2056" w:type="dxa"/>
            <w:tcBorders>
              <w:top w:val="single" w:sz="2" w:space="0" w:color="000000"/>
              <w:left w:val="single" w:sz="2" w:space="0" w:color="000000"/>
              <w:bottom w:val="single" w:sz="2" w:space="0" w:color="000000"/>
              <w:right w:val="single" w:sz="2" w:space="0" w:color="000000"/>
            </w:tcBorders>
            <w:tcMar>
              <w:top w:w="28" w:type="dxa"/>
              <w:left w:w="110" w:type="dxa"/>
              <w:bottom w:w="28" w:type="dxa"/>
              <w:right w:w="11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RF Tags </w:t>
            </w:r>
          </w:p>
        </w:tc>
        <w:tc>
          <w:tcPr>
            <w:tcW w:w="3496" w:type="dxa"/>
            <w:tcBorders>
              <w:top w:val="single" w:sz="2" w:space="0" w:color="000000"/>
              <w:left w:val="single" w:sz="2" w:space="0" w:color="000000"/>
              <w:bottom w:val="single" w:sz="2" w:space="0" w:color="000000"/>
              <w:right w:val="single" w:sz="2" w:space="0" w:color="000000"/>
            </w:tcBorders>
            <w:tcMar>
              <w:top w:w="28" w:type="dxa"/>
              <w:left w:w="110" w:type="dxa"/>
              <w:bottom w:w="28" w:type="dxa"/>
              <w:right w:w="11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Cold Chain, Asset Tracking, Medical IoT</w:t>
            </w:r>
          </w:p>
        </w:tc>
      </w:tr>
      <w:tr>
        <w:trPr/>
        <w:tc>
          <w:tcPr>
            <w:tcW w:w="2056" w:type="dxa"/>
            <w:tcBorders>
              <w:top w:val="single" w:sz="2" w:space="0" w:color="000000"/>
              <w:left w:val="single" w:sz="2" w:space="0" w:color="000000"/>
              <w:bottom w:val="single" w:sz="2" w:space="0" w:color="000000"/>
              <w:right w:val="single" w:sz="2" w:space="0" w:color="000000"/>
            </w:tcBorders>
            <w:tcMar>
              <w:top w:w="28" w:type="dxa"/>
              <w:left w:w="110" w:type="dxa"/>
              <w:bottom w:w="28" w:type="dxa"/>
              <w:right w:w="11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IoT Sensors </w:t>
            </w:r>
          </w:p>
        </w:tc>
        <w:tc>
          <w:tcPr>
            <w:tcW w:w="3496" w:type="dxa"/>
            <w:tcBorders>
              <w:top w:val="single" w:sz="2" w:space="0" w:color="000000"/>
              <w:left w:val="single" w:sz="2" w:space="0" w:color="000000"/>
              <w:bottom w:val="single" w:sz="2" w:space="0" w:color="000000"/>
              <w:right w:val="single" w:sz="2" w:space="0" w:color="000000"/>
            </w:tcBorders>
            <w:tcMar>
              <w:top w:w="28" w:type="dxa"/>
              <w:left w:w="110" w:type="dxa"/>
              <w:bottom w:w="28" w:type="dxa"/>
              <w:right w:w="11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Cold Chain, Logistics, Asset Tracking </w:t>
            </w:r>
          </w:p>
        </w:tc>
      </w:tr>
      <w:tr>
        <w:trPr/>
        <w:tc>
          <w:tcPr>
            <w:tcW w:w="2056" w:type="dxa"/>
            <w:tcBorders>
              <w:top w:val="single" w:sz="2" w:space="0" w:color="000000"/>
              <w:left w:val="single" w:sz="2" w:space="0" w:color="000000"/>
              <w:bottom w:val="single" w:sz="2" w:space="0" w:color="000000"/>
              <w:right w:val="single" w:sz="2" w:space="0" w:color="000000"/>
            </w:tcBorders>
            <w:tcMar>
              <w:top w:w="28" w:type="dxa"/>
              <w:left w:w="110" w:type="dxa"/>
              <w:bottom w:w="28" w:type="dxa"/>
              <w:right w:w="11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Electronic Shelf Labels </w:t>
            </w:r>
          </w:p>
        </w:tc>
        <w:tc>
          <w:tcPr>
            <w:tcW w:w="3496" w:type="dxa"/>
            <w:tcBorders>
              <w:top w:val="single" w:sz="2" w:space="0" w:color="000000"/>
              <w:left w:val="single" w:sz="2" w:space="0" w:color="000000"/>
              <w:bottom w:val="single" w:sz="2" w:space="0" w:color="000000"/>
              <w:right w:val="single" w:sz="2" w:space="0" w:color="000000"/>
            </w:tcBorders>
            <w:tcMar>
              <w:top w:w="28" w:type="dxa"/>
              <w:left w:w="110" w:type="dxa"/>
              <w:bottom w:w="28" w:type="dxa"/>
              <w:right w:w="11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Retail and Industrial IoT</w:t>
            </w:r>
          </w:p>
        </w:tc>
      </w:tr>
    </w:tbl>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first end product featuring our technology entered the market in 2019. We started shipping our first at-a-distance wireless PowerBridges for commercial IoT applications in the fourth quarter of 2021, and we expect additional wireless power enabled products to be released as we move our business forward.</w:t>
      </w:r>
    </w:p>
    <w:p>
      <w:pPr>
        <w:pStyle w:val="TextBody"/>
        <w:bidi w:val="0"/>
        <w:spacing w:before="480" w:after="0"/>
        <w:ind w:left="0" w:right="0" w:hanging="0"/>
        <w:jc w:val="right"/>
        <w:rPr>
          <w:rFonts w:ascii="Times New Roman;Times;serif" w:hAnsi="Times New Roman;Times;serif"/>
          <w:sz w:val="20"/>
        </w:rPr>
      </w:pPr>
      <w:r>
        <w:rPr>
          <w:rFonts w:ascii="Times New Roman;Times;serif" w:hAnsi="Times New Roman;Times;serif"/>
          <w:sz w:val="20"/>
        </w:rPr>
        <w:t>25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Critical Accounting Policies and Estimates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i/>
          <w:sz w:val="20"/>
        </w:rPr>
        <w:t xml:space="preserve">Use of Estimates. </w:t>
      </w:r>
      <w:r>
        <w:rPr>
          <w:rFonts w:ascii="Times New Roman;Times;serif" w:hAnsi="Times New Roman;Times;serif"/>
          <w:sz w:val="20"/>
        </w:rPr>
        <w:t>The preparation of financial statements in conformity with accounting principles generally accepted in the United States of America requires management to make estimates and assumptions that affect the reported amounts of assets and liabilities and the disclosure of contingent liabilities at the date of the financial statements as well as the reported expenses during the reporting periods.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Some of these judgments can be subjective and complex, and, consequently, actual results may differ from these estimates. Although we believe that its estimates and assumptions are reasonable, they are based upon information available at the time the estimates and assumptions were made. Actual results could differ from those estimates.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During the three months ended March 31, 2024, management believes there have been no significant changes to the items that we disclosed within our critical accounting policies and estimates in “Management’s Discussion and Analysis of Financial Condition and Results of Operations” in our Annual Report on Form 10-K for the year ended December 31, 2023.</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Results of Operations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Costs and Expenses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Cost of revenue consists of direct materials, direct labor and overhead for our production-level wireless charging systems. Research and development expenses include costs associated with our efforts to develop our technology, including personnel compensation, consulting, engineering supplies and components, intellectual property costs, regulatory expense and general office expenses specifically related to the research and development department. Sales and marketing expenses include costs associated with selling and marketing our technology to our customers, including personnel compensation, public relations, graphic design, tradeshow, engineering supplies utilized by the sales team and general office expenses specifically related to the sale and marketing department. General and administrative expenses include costs for general and corporate functions, including personnel compensation, facility fees, travel, telecommunications, insurance, professional fees, consulting fees, general office expenses, and other overhead.</w:t>
      </w:r>
    </w:p>
    <w:p>
      <w:pPr>
        <w:pStyle w:val="TextBody"/>
        <w:bidi w:val="0"/>
        <w:spacing w:before="0" w:after="0"/>
        <w:ind w:left="0" w:right="0" w:hanging="0"/>
        <w:jc w:val="left"/>
        <w:rPr/>
      </w:pPr>
      <w:r>
        <w:rPr/>
        <w:t>​</w:t>
      </w:r>
    </w:p>
    <w:p>
      <w:pPr>
        <w:pStyle w:val="TextBody"/>
        <w:bidi w:val="0"/>
        <w:spacing w:before="480" w:after="0"/>
        <w:ind w:left="0" w:right="0" w:hanging="0"/>
        <w:jc w:val="right"/>
        <w:rPr>
          <w:rFonts w:ascii="Times New Roman;Times;serif" w:hAnsi="Times New Roman;Times;serif"/>
          <w:sz w:val="20"/>
        </w:rPr>
      </w:pPr>
      <w:r>
        <w:rPr>
          <w:rFonts w:ascii="Times New Roman;Times;serif" w:hAnsi="Times New Roman;Times;serif"/>
          <w:sz w:val="20"/>
        </w:rPr>
        <w:t>26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Three Months Ended March 31, 2024 and 2023</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following table sets forth selected Condensed Statements of Operations data (in thousands) and such data as a percentage of revenue:</w:t>
      </w:r>
    </w:p>
    <w:p>
      <w:pPr>
        <w:pStyle w:val="TextBody"/>
        <w:bidi w:val="0"/>
        <w:spacing w:before="0" w:after="0"/>
        <w:ind w:left="0" w:right="0" w:hanging="0"/>
        <w:jc w:val="left"/>
        <w:rPr/>
      </w:pPr>
      <w:r>
        <w:rPr/>
        <w:t>​</w:t>
      </w:r>
    </w:p>
    <w:tbl>
      <w:tblPr>
        <w:tblW w:w="8352" w:type="dxa"/>
        <w:jc w:val="left"/>
        <w:tblInd w:w="0" w:type="dxa"/>
        <w:tblLayout w:type="fixed"/>
        <w:tblCellMar>
          <w:top w:w="0" w:type="dxa"/>
          <w:left w:w="0" w:type="dxa"/>
          <w:bottom w:w="0" w:type="dxa"/>
          <w:right w:w="0" w:type="dxa"/>
        </w:tblCellMar>
      </w:tblPr>
      <w:tblGrid>
        <w:gridCol w:w="3406"/>
        <w:gridCol w:w="326"/>
        <w:gridCol w:w="211"/>
        <w:gridCol w:w="691"/>
        <w:gridCol w:w="326"/>
        <w:gridCol w:w="796"/>
        <w:gridCol w:w="361"/>
        <w:gridCol w:w="211"/>
        <w:gridCol w:w="691"/>
        <w:gridCol w:w="326"/>
        <w:gridCol w:w="691"/>
        <w:gridCol w:w="316"/>
      </w:tblGrid>
      <w:tr>
        <w:trPr/>
        <w:tc>
          <w:tcPr>
            <w:tcW w:w="34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8">
                      <wp:simplePos x="0" y="0"/>
                      <wp:positionH relativeFrom="character">
                        <wp:align>left</wp:align>
                      </wp:positionH>
                      <wp:positionV relativeFrom="line">
                        <wp:posOffset>635</wp:posOffset>
                      </wp:positionV>
                      <wp:extent cx="2162810" cy="175260"/>
                      <wp:effectExtent l="0" t="0" r="0" b="0"/>
                      <wp:wrapNone/>
                      <wp:docPr id="167" name="Frame167"/>
                      <a:graphic xmlns:a="http://schemas.openxmlformats.org/drawingml/2006/main">
                        <a:graphicData uri="http://schemas.microsoft.com/office/word/2010/wordprocessingShape">
                          <wps:wsp>
                            <wps:cNvSpPr txBox="1"/>
                            <wps:spPr>
                              <a:xfrm>
                                <a:off x="0" y="0"/>
                                <a:ext cx="2162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9">
                      <wp:simplePos x="0" y="0"/>
                      <wp:positionH relativeFrom="character">
                        <wp:align>left</wp:align>
                      </wp:positionH>
                      <wp:positionV relativeFrom="line">
                        <wp:posOffset>635</wp:posOffset>
                      </wp:positionV>
                      <wp:extent cx="207010" cy="175260"/>
                      <wp:effectExtent l="0" t="0" r="0" b="0"/>
                      <wp:wrapNone/>
                      <wp:docPr id="168" name="Frame16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0">
                      <wp:simplePos x="0" y="0"/>
                      <wp:positionH relativeFrom="character">
                        <wp:align>left</wp:align>
                      </wp:positionH>
                      <wp:positionV relativeFrom="line">
                        <wp:posOffset>635</wp:posOffset>
                      </wp:positionV>
                      <wp:extent cx="133985" cy="175260"/>
                      <wp:effectExtent l="0" t="0" r="0" b="0"/>
                      <wp:wrapNone/>
                      <wp:docPr id="169" name="Frame16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1">
                      <wp:simplePos x="0" y="0"/>
                      <wp:positionH relativeFrom="character">
                        <wp:align>left</wp:align>
                      </wp:positionH>
                      <wp:positionV relativeFrom="line">
                        <wp:posOffset>635</wp:posOffset>
                      </wp:positionV>
                      <wp:extent cx="438785" cy="175260"/>
                      <wp:effectExtent l="0" t="0" r="0" b="0"/>
                      <wp:wrapNone/>
                      <wp:docPr id="170" name="Frame170"/>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2">
                      <wp:simplePos x="0" y="0"/>
                      <wp:positionH relativeFrom="character">
                        <wp:align>left</wp:align>
                      </wp:positionH>
                      <wp:positionV relativeFrom="line">
                        <wp:posOffset>635</wp:posOffset>
                      </wp:positionV>
                      <wp:extent cx="207010" cy="175260"/>
                      <wp:effectExtent l="0" t="0" r="0" b="0"/>
                      <wp:wrapNone/>
                      <wp:docPr id="171" name="Frame17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3">
                      <wp:simplePos x="0" y="0"/>
                      <wp:positionH relativeFrom="character">
                        <wp:align>left</wp:align>
                      </wp:positionH>
                      <wp:positionV relativeFrom="line">
                        <wp:posOffset>635</wp:posOffset>
                      </wp:positionV>
                      <wp:extent cx="505460" cy="175260"/>
                      <wp:effectExtent l="0" t="0" r="0" b="0"/>
                      <wp:wrapNone/>
                      <wp:docPr id="172" name="Frame172"/>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4">
                      <wp:simplePos x="0" y="0"/>
                      <wp:positionH relativeFrom="character">
                        <wp:align>left</wp:align>
                      </wp:positionH>
                      <wp:positionV relativeFrom="line">
                        <wp:posOffset>635</wp:posOffset>
                      </wp:positionV>
                      <wp:extent cx="229235" cy="175260"/>
                      <wp:effectExtent l="0" t="0" r="0" b="0"/>
                      <wp:wrapNone/>
                      <wp:docPr id="173" name="Frame173"/>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5">
                      <wp:simplePos x="0" y="0"/>
                      <wp:positionH relativeFrom="character">
                        <wp:align>left</wp:align>
                      </wp:positionH>
                      <wp:positionV relativeFrom="line">
                        <wp:posOffset>635</wp:posOffset>
                      </wp:positionV>
                      <wp:extent cx="133985" cy="175260"/>
                      <wp:effectExtent l="0" t="0" r="0" b="0"/>
                      <wp:wrapNone/>
                      <wp:docPr id="174" name="Frame17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6">
                      <wp:simplePos x="0" y="0"/>
                      <wp:positionH relativeFrom="character">
                        <wp:align>left</wp:align>
                      </wp:positionH>
                      <wp:positionV relativeFrom="line">
                        <wp:posOffset>635</wp:posOffset>
                      </wp:positionV>
                      <wp:extent cx="438785" cy="175260"/>
                      <wp:effectExtent l="0" t="0" r="0" b="0"/>
                      <wp:wrapNone/>
                      <wp:docPr id="175" name="Frame175"/>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7">
                      <wp:simplePos x="0" y="0"/>
                      <wp:positionH relativeFrom="character">
                        <wp:align>left</wp:align>
                      </wp:positionH>
                      <wp:positionV relativeFrom="line">
                        <wp:posOffset>635</wp:posOffset>
                      </wp:positionV>
                      <wp:extent cx="207010" cy="175260"/>
                      <wp:effectExtent l="0" t="0" r="0" b="0"/>
                      <wp:wrapNone/>
                      <wp:docPr id="176" name="Frame17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8">
                      <wp:simplePos x="0" y="0"/>
                      <wp:positionH relativeFrom="character">
                        <wp:align>left</wp:align>
                      </wp:positionH>
                      <wp:positionV relativeFrom="line">
                        <wp:posOffset>635</wp:posOffset>
                      </wp:positionV>
                      <wp:extent cx="438785" cy="175260"/>
                      <wp:effectExtent l="0" t="0" r="0" b="0"/>
                      <wp:wrapNone/>
                      <wp:docPr id="177" name="Frame177"/>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9">
                      <wp:simplePos x="0" y="0"/>
                      <wp:positionH relativeFrom="character">
                        <wp:align>left</wp:align>
                      </wp:positionH>
                      <wp:positionV relativeFrom="line">
                        <wp:posOffset>635</wp:posOffset>
                      </wp:positionV>
                      <wp:extent cx="200660" cy="175260"/>
                      <wp:effectExtent l="0" t="0" r="0" b="0"/>
                      <wp:wrapNone/>
                      <wp:docPr id="178" name="Frame178"/>
                      <a:graphic xmlns:a="http://schemas.openxmlformats.org/drawingml/2006/main">
                        <a:graphicData uri="http://schemas.microsoft.com/office/word/2010/wordprocessingShape">
                          <wps:wsp>
                            <wps:cNvSpPr txBox="1"/>
                            <wps:spPr>
                              <a:xfrm>
                                <a:off x="0" y="0"/>
                                <a:ext cx="200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40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4304" w:type="dxa"/>
            <w:gridSpan w:val="9"/>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Three months ended March 31,</w:t>
            </w:r>
          </w:p>
        </w:tc>
        <w:tc>
          <w:tcPr>
            <w:tcW w:w="316" w:type="dxa"/>
            <w:tcBorders/>
            <w:vAlign w:val="center"/>
          </w:tcPr>
          <w:p>
            <w:pPr>
              <w:pStyle w:val="TableContents"/>
              <w:bidi w:val="0"/>
              <w:spacing w:before="0" w:after="0"/>
              <w:ind w:left="0" w:right="0" w:hanging="0"/>
              <w:jc w:val="left"/>
              <w:rPr/>
            </w:pPr>
            <w:r>
              <w:rPr/>
              <w:t>​</w:t>
            </w:r>
          </w:p>
        </w:tc>
      </w:tr>
      <w:tr>
        <w:trPr/>
        <w:tc>
          <w:tcPr>
            <w:tcW w:w="340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90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26"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center"/>
              <w:rPr/>
            </w:pPr>
            <w:r>
              <w:rPr/>
              <w:t>​</w:t>
            </w:r>
          </w:p>
        </w:tc>
        <w:tc>
          <w:tcPr>
            <w:tcW w:w="361" w:type="dxa"/>
            <w:tcBorders/>
            <w:vAlign w:val="center"/>
          </w:tcPr>
          <w:p>
            <w:pPr>
              <w:pStyle w:val="TableContents"/>
              <w:bidi w:val="0"/>
              <w:spacing w:before="0" w:after="0"/>
              <w:ind w:left="0" w:right="0" w:hanging="0"/>
              <w:jc w:val="left"/>
              <w:rPr/>
            </w:pPr>
            <w:r>
              <w:rPr/>
              <w:t>  </w:t>
            </w:r>
          </w:p>
        </w:tc>
        <w:tc>
          <w:tcPr>
            <w:tcW w:w="90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center"/>
              <w:rPr/>
            </w:pPr>
            <w:r>
              <w:rPr/>
              <w:t>​</w:t>
            </w:r>
          </w:p>
        </w:tc>
        <w:tc>
          <w:tcPr>
            <w:tcW w:w="316" w:type="dxa"/>
            <w:tcBorders/>
            <w:vAlign w:val="center"/>
          </w:tcPr>
          <w:p>
            <w:pPr>
              <w:pStyle w:val="TableContents"/>
              <w:bidi w:val="0"/>
              <w:spacing w:before="0" w:after="0"/>
              <w:ind w:left="0" w:right="0" w:hanging="0"/>
              <w:jc w:val="left"/>
              <w:rPr/>
            </w:pPr>
            <w:r>
              <w:rPr/>
              <w:t> </w:t>
            </w:r>
          </w:p>
        </w:tc>
      </w:tr>
      <w:tr>
        <w:trPr/>
        <w:tc>
          <w:tcPr>
            <w:tcW w:w="34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Revenue</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64</w:t>
            </w:r>
          </w:p>
        </w:tc>
        <w:tc>
          <w:tcPr>
            <w:tcW w:w="326"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w:t>
            </w:r>
          </w:p>
        </w:tc>
        <w:tc>
          <w:tcPr>
            <w:tcW w:w="3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97</w:t>
            </w:r>
          </w:p>
        </w:tc>
        <w:tc>
          <w:tcPr>
            <w:tcW w:w="326"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4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Costs and expenses: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pPr>
            <w:r>
              <w:rPr/>
              <w:t>  </w:t>
            </w:r>
          </w:p>
        </w:tc>
        <w:tc>
          <w:tcPr>
            <w:tcW w:w="326"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pPr>
            <w:r>
              <w:rPr/>
              <w:t>  </w:t>
            </w:r>
          </w:p>
        </w:tc>
        <w:tc>
          <w:tcPr>
            <w:tcW w:w="361"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pPr>
            <w:r>
              <w:rPr/>
              <w:t>  </w:t>
            </w:r>
          </w:p>
        </w:tc>
        <w:tc>
          <w:tcPr>
            <w:tcW w:w="32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pPr>
            <w:r>
              <w:rPr/>
              <w:t>  </w:t>
            </w:r>
          </w:p>
        </w:tc>
        <w:tc>
          <w:tcPr>
            <w:tcW w:w="316" w:type="dxa"/>
            <w:tcBorders/>
            <w:vAlign w:val="center"/>
          </w:tcPr>
          <w:p>
            <w:pPr>
              <w:pStyle w:val="TableContents"/>
              <w:bidi w:val="0"/>
              <w:spacing w:before="0" w:after="0"/>
              <w:ind w:left="0" w:right="0" w:hanging="0"/>
              <w:jc w:val="left"/>
              <w:rPr/>
            </w:pPr>
            <w:r>
              <w:rPr/>
              <w:t>​</w:t>
            </w:r>
          </w:p>
        </w:tc>
      </w:tr>
      <w:tr>
        <w:trPr/>
        <w:tc>
          <w:tcPr>
            <w:tcW w:w="34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Cost of revenue</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109</w:t>
            </w:r>
          </w:p>
        </w:tc>
        <w:tc>
          <w:tcPr>
            <w:tcW w:w="326"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170</w:t>
            </w:r>
          </w:p>
        </w:tc>
        <w:tc>
          <w:tcPr>
            <w:tcW w:w="3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211"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139</w:t>
            </w:r>
          </w:p>
        </w:tc>
        <w:tc>
          <w:tcPr>
            <w:tcW w:w="326"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143</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4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Research and development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2,349</w:t>
            </w:r>
          </w:p>
        </w:tc>
        <w:tc>
          <w:tcPr>
            <w:tcW w:w="326"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3,670</w:t>
            </w:r>
          </w:p>
        </w:tc>
        <w:tc>
          <w:tcPr>
            <w:tcW w:w="3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211"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3,079</w:t>
            </w:r>
          </w:p>
        </w:tc>
        <w:tc>
          <w:tcPr>
            <w:tcW w:w="32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3,174</w:t>
            </w:r>
          </w:p>
        </w:tc>
        <w:tc>
          <w:tcPr>
            <w:tcW w:w="3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4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Sales and marketing</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873</w:t>
            </w:r>
          </w:p>
        </w:tc>
        <w:tc>
          <w:tcPr>
            <w:tcW w:w="326"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1,364</w:t>
            </w:r>
          </w:p>
        </w:tc>
        <w:tc>
          <w:tcPr>
            <w:tcW w:w="3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211"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1,212</w:t>
            </w:r>
          </w:p>
        </w:tc>
        <w:tc>
          <w:tcPr>
            <w:tcW w:w="326"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1,249</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4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General and administrative</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1,835</w:t>
            </w:r>
          </w:p>
        </w:tc>
        <w:tc>
          <w:tcPr>
            <w:tcW w:w="326"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2,867</w:t>
            </w:r>
          </w:p>
        </w:tc>
        <w:tc>
          <w:tcPr>
            <w:tcW w:w="3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211"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1,961</w:t>
            </w:r>
          </w:p>
        </w:tc>
        <w:tc>
          <w:tcPr>
            <w:tcW w:w="32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2,022</w:t>
            </w:r>
          </w:p>
        </w:tc>
        <w:tc>
          <w:tcPr>
            <w:tcW w:w="3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4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Severance expense</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1,563</w:t>
            </w:r>
          </w:p>
        </w:tc>
        <w:tc>
          <w:tcPr>
            <w:tcW w:w="326"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2,442</w:t>
            </w:r>
          </w:p>
        </w:tc>
        <w:tc>
          <w:tcPr>
            <w:tcW w:w="3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pPr>
            <w:r>
              <w:rPr/>
              <w:t>—</w:t>
            </w:r>
          </w:p>
        </w:tc>
        <w:tc>
          <w:tcPr>
            <w:tcW w:w="316" w:type="dxa"/>
            <w:tcBorders/>
            <w:shd w:fill="CCEEFF" w:val="clear"/>
            <w:vAlign w:val="center"/>
          </w:tcPr>
          <w:p>
            <w:pPr>
              <w:pStyle w:val="TableContents"/>
              <w:bidi w:val="0"/>
              <w:spacing w:before="0" w:after="0"/>
              <w:ind w:left="0" w:right="0" w:hanging="0"/>
              <w:jc w:val="left"/>
              <w:rPr/>
            </w:pPr>
            <w:r>
              <w:rPr/>
              <w:t>​</w:t>
            </w:r>
          </w:p>
        </w:tc>
      </w:tr>
      <w:tr>
        <w:trPr/>
        <w:tc>
          <w:tcPr>
            <w:tcW w:w="34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operating expenses</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6,729</w:t>
            </w:r>
          </w:p>
        </w:tc>
        <w:tc>
          <w:tcPr>
            <w:tcW w:w="326"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10,514</w:t>
            </w:r>
          </w:p>
        </w:tc>
        <w:tc>
          <w:tcPr>
            <w:tcW w:w="3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6,391</w:t>
            </w:r>
          </w:p>
        </w:tc>
        <w:tc>
          <w:tcPr>
            <w:tcW w:w="32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6,589</w:t>
            </w:r>
          </w:p>
        </w:tc>
        <w:tc>
          <w:tcPr>
            <w:tcW w:w="3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4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Loss from operations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(6,665)</w:t>
            </w:r>
          </w:p>
        </w:tc>
        <w:tc>
          <w:tcPr>
            <w:tcW w:w="326"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(10,414)</w:t>
            </w:r>
          </w:p>
        </w:tc>
        <w:tc>
          <w:tcPr>
            <w:tcW w:w="3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(6,294)</w:t>
            </w:r>
          </w:p>
        </w:tc>
        <w:tc>
          <w:tcPr>
            <w:tcW w:w="326"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(6,489)</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4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(expense) income:</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pPr>
            <w:r>
              <w:rPr/>
              <w:t>  </w:t>
            </w:r>
          </w:p>
        </w:tc>
        <w:tc>
          <w:tcPr>
            <w:tcW w:w="326"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pPr>
            <w:r>
              <w:rPr/>
              <w:t>  </w:t>
            </w:r>
          </w:p>
        </w:tc>
        <w:tc>
          <w:tcPr>
            <w:tcW w:w="361"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pPr>
            <w:r>
              <w:rPr/>
              <w:t>  </w:t>
            </w:r>
          </w:p>
        </w:tc>
        <w:tc>
          <w:tcPr>
            <w:tcW w:w="32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pPr>
            <w:r>
              <w:rPr/>
              <w:t>  </w:t>
            </w:r>
          </w:p>
        </w:tc>
        <w:tc>
          <w:tcPr>
            <w:tcW w:w="316" w:type="dxa"/>
            <w:tcBorders/>
            <w:vAlign w:val="center"/>
          </w:tcPr>
          <w:p>
            <w:pPr>
              <w:pStyle w:val="TableContents"/>
              <w:bidi w:val="0"/>
              <w:spacing w:before="0" w:after="0"/>
              <w:ind w:left="0" w:right="0" w:hanging="0"/>
              <w:jc w:val="left"/>
              <w:rPr/>
            </w:pPr>
            <w:r>
              <w:rPr/>
              <w:t>​</w:t>
            </w:r>
          </w:p>
        </w:tc>
      </w:tr>
      <w:tr>
        <w:trPr/>
        <w:tc>
          <w:tcPr>
            <w:tcW w:w="34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Offering costs related to warrant liability</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pPr>
            <w:r>
              <w:rPr/>
              <w:t>—</w:t>
            </w:r>
          </w:p>
        </w:tc>
        <w:tc>
          <w:tcPr>
            <w:tcW w:w="361"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(592)</w:t>
            </w:r>
          </w:p>
        </w:tc>
        <w:tc>
          <w:tcPr>
            <w:tcW w:w="326"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(610)</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4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Change in fair value of warrant liability</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(82)</w:t>
            </w:r>
          </w:p>
        </w:tc>
        <w:tc>
          <w:tcPr>
            <w:tcW w:w="326"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(128)</w:t>
            </w:r>
          </w:p>
        </w:tc>
        <w:tc>
          <w:tcPr>
            <w:tcW w:w="3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211"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pPr>
            <w:r>
              <w:rPr/>
              <w:t>—</w:t>
            </w:r>
          </w:p>
        </w:tc>
        <w:tc>
          <w:tcPr>
            <w:tcW w:w="316" w:type="dxa"/>
            <w:tcBorders/>
            <w:vAlign w:val="center"/>
          </w:tcPr>
          <w:p>
            <w:pPr>
              <w:pStyle w:val="TableContents"/>
              <w:bidi w:val="0"/>
              <w:spacing w:before="0" w:after="0"/>
              <w:ind w:left="0" w:right="0" w:hanging="0"/>
              <w:jc w:val="left"/>
              <w:rPr/>
            </w:pPr>
            <w:r>
              <w:rPr/>
              <w:t>​</w:t>
            </w:r>
          </w:p>
        </w:tc>
      </w:tr>
      <w:tr>
        <w:trPr/>
        <w:tc>
          <w:tcPr>
            <w:tcW w:w="34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income</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148</w:t>
            </w:r>
          </w:p>
        </w:tc>
        <w:tc>
          <w:tcPr>
            <w:tcW w:w="326"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231</w:t>
            </w:r>
          </w:p>
        </w:tc>
        <w:tc>
          <w:tcPr>
            <w:tcW w:w="3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233</w:t>
            </w:r>
          </w:p>
        </w:tc>
        <w:tc>
          <w:tcPr>
            <w:tcW w:w="326"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240</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4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other (expense) income</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66</w:t>
            </w:r>
          </w:p>
        </w:tc>
        <w:tc>
          <w:tcPr>
            <w:tcW w:w="326"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103</w:t>
            </w:r>
          </w:p>
        </w:tc>
        <w:tc>
          <w:tcPr>
            <w:tcW w:w="3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(359)</w:t>
            </w:r>
          </w:p>
        </w:tc>
        <w:tc>
          <w:tcPr>
            <w:tcW w:w="32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(370)</w:t>
            </w:r>
          </w:p>
        </w:tc>
        <w:tc>
          <w:tcPr>
            <w:tcW w:w="3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4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loss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(6,599)</w:t>
            </w:r>
          </w:p>
        </w:tc>
        <w:tc>
          <w:tcPr>
            <w:tcW w:w="326"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(10,311)</w:t>
            </w:r>
          </w:p>
        </w:tc>
        <w:tc>
          <w:tcPr>
            <w:tcW w:w="3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(6,653)</w:t>
            </w:r>
          </w:p>
        </w:tc>
        <w:tc>
          <w:tcPr>
            <w:tcW w:w="326"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(6,859)</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sz w:val="20"/>
        </w:rPr>
        <w:t xml:space="preserve">Revenue. </w:t>
      </w:r>
      <w:r>
        <w:rPr>
          <w:rFonts w:ascii="Times New Roman;Times;serif" w:hAnsi="Times New Roman;Times;serif"/>
          <w:sz w:val="20"/>
        </w:rPr>
        <w:t>During the three months ended March 31, 2024 and 2023, we recorded revenue of $0.1 million and $0.1 million, respectively. There was a slight decrease due to a decrease in transmitter sales volume.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sz w:val="20"/>
        </w:rPr>
        <w:t xml:space="preserve">Costs and Expenses and Loss from Operations. </w:t>
      </w:r>
      <w:r>
        <w:rPr>
          <w:rFonts w:ascii="Times New Roman;Times;serif" w:hAnsi="Times New Roman;Times;serif"/>
          <w:sz w:val="20"/>
        </w:rPr>
        <w:t>Costs and expenses are made up of cost of revenue, research and development, sales and marketing, general and administrative and severance expense. Loss from operations for the three months ended March 31, 2024 and 2023 were $6.7 million and $6.3 million, respectively.</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Cost of Revenue:</w:t>
      </w:r>
    </w:p>
    <w:p>
      <w:pPr>
        <w:pStyle w:val="TextBody"/>
        <w:bidi w:val="0"/>
        <w:spacing w:before="0" w:after="0"/>
        <w:ind w:left="0" w:right="0" w:hanging="0"/>
        <w:jc w:val="left"/>
        <w:rPr/>
      </w:pPr>
      <w:r>
        <w:rPr/>
        <w:t>​</w:t>
      </w:r>
    </w:p>
    <w:tbl>
      <w:tblPr>
        <w:tblW w:w="7315" w:type="dxa"/>
        <w:jc w:val="left"/>
        <w:tblInd w:w="0" w:type="dxa"/>
        <w:tblLayout w:type="fixed"/>
        <w:tblCellMar>
          <w:top w:w="0" w:type="dxa"/>
          <w:left w:w="0" w:type="dxa"/>
          <w:bottom w:w="0" w:type="dxa"/>
          <w:right w:w="0" w:type="dxa"/>
        </w:tblCellMar>
      </w:tblPr>
      <w:tblGrid>
        <w:gridCol w:w="2041"/>
        <w:gridCol w:w="326"/>
        <w:gridCol w:w="305"/>
        <w:gridCol w:w="610"/>
        <w:gridCol w:w="523"/>
        <w:gridCol w:w="305"/>
        <w:gridCol w:w="610"/>
        <w:gridCol w:w="361"/>
        <w:gridCol w:w="269"/>
        <w:gridCol w:w="482"/>
        <w:gridCol w:w="326"/>
        <w:gridCol w:w="871"/>
        <w:gridCol w:w="286"/>
      </w:tblGrid>
      <w:tr>
        <w:trPr/>
        <w:tc>
          <w:tcPr>
            <w:tcW w:w="20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0">
                      <wp:simplePos x="0" y="0"/>
                      <wp:positionH relativeFrom="character">
                        <wp:align>left</wp:align>
                      </wp:positionH>
                      <wp:positionV relativeFrom="line">
                        <wp:posOffset>635</wp:posOffset>
                      </wp:positionV>
                      <wp:extent cx="1296035" cy="175260"/>
                      <wp:effectExtent l="0" t="0" r="0" b="0"/>
                      <wp:wrapNone/>
                      <wp:docPr id="179" name="Frame179"/>
                      <a:graphic xmlns:a="http://schemas.openxmlformats.org/drawingml/2006/main">
                        <a:graphicData uri="http://schemas.microsoft.com/office/word/2010/wordprocessingShape">
                          <wps:wsp>
                            <wps:cNvSpPr txBox="1"/>
                            <wps:spPr>
                              <a:xfrm>
                                <a:off x="0" y="0"/>
                                <a:ext cx="12960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1">
                      <wp:simplePos x="0" y="0"/>
                      <wp:positionH relativeFrom="character">
                        <wp:align>left</wp:align>
                      </wp:positionH>
                      <wp:positionV relativeFrom="line">
                        <wp:posOffset>635</wp:posOffset>
                      </wp:positionV>
                      <wp:extent cx="207010" cy="175260"/>
                      <wp:effectExtent l="0" t="0" r="0" b="0"/>
                      <wp:wrapNone/>
                      <wp:docPr id="180" name="Frame18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0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2">
                      <wp:simplePos x="0" y="0"/>
                      <wp:positionH relativeFrom="character">
                        <wp:align>left</wp:align>
                      </wp:positionH>
                      <wp:positionV relativeFrom="line">
                        <wp:posOffset>635</wp:posOffset>
                      </wp:positionV>
                      <wp:extent cx="193675" cy="175260"/>
                      <wp:effectExtent l="0" t="0" r="0" b="0"/>
                      <wp:wrapNone/>
                      <wp:docPr id="181" name="Frame181"/>
                      <a:graphic xmlns:a="http://schemas.openxmlformats.org/drawingml/2006/main">
                        <a:graphicData uri="http://schemas.microsoft.com/office/word/2010/wordprocessingShape">
                          <wps:wsp>
                            <wps:cNvSpPr txBox="1"/>
                            <wps:spPr>
                              <a:xfrm>
                                <a:off x="0" y="0"/>
                                <a:ext cx="1936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1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3">
                      <wp:simplePos x="0" y="0"/>
                      <wp:positionH relativeFrom="character">
                        <wp:align>left</wp:align>
                      </wp:positionH>
                      <wp:positionV relativeFrom="line">
                        <wp:posOffset>635</wp:posOffset>
                      </wp:positionV>
                      <wp:extent cx="387350" cy="175260"/>
                      <wp:effectExtent l="0" t="0" r="0" b="0"/>
                      <wp:wrapNone/>
                      <wp:docPr id="182" name="Frame182"/>
                      <a:graphic xmlns:a="http://schemas.openxmlformats.org/drawingml/2006/main">
                        <a:graphicData uri="http://schemas.microsoft.com/office/word/2010/wordprocessingShape">
                          <wps:wsp>
                            <wps:cNvSpPr txBox="1"/>
                            <wps:spPr>
                              <a:xfrm>
                                <a:off x="0" y="0"/>
                                <a:ext cx="3873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2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4">
                      <wp:simplePos x="0" y="0"/>
                      <wp:positionH relativeFrom="character">
                        <wp:align>left</wp:align>
                      </wp:positionH>
                      <wp:positionV relativeFrom="line">
                        <wp:posOffset>635</wp:posOffset>
                      </wp:positionV>
                      <wp:extent cx="332105" cy="175260"/>
                      <wp:effectExtent l="0" t="0" r="0" b="0"/>
                      <wp:wrapNone/>
                      <wp:docPr id="183" name="Frame183"/>
                      <a:graphic xmlns:a="http://schemas.openxmlformats.org/drawingml/2006/main">
                        <a:graphicData uri="http://schemas.microsoft.com/office/word/2010/wordprocessingShape">
                          <wps:wsp>
                            <wps:cNvSpPr txBox="1"/>
                            <wps:spPr>
                              <a:xfrm>
                                <a:off x="0" y="0"/>
                                <a:ext cx="3321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0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5">
                      <wp:simplePos x="0" y="0"/>
                      <wp:positionH relativeFrom="character">
                        <wp:align>left</wp:align>
                      </wp:positionH>
                      <wp:positionV relativeFrom="line">
                        <wp:posOffset>635</wp:posOffset>
                      </wp:positionV>
                      <wp:extent cx="193675" cy="175260"/>
                      <wp:effectExtent l="0" t="0" r="0" b="0"/>
                      <wp:wrapNone/>
                      <wp:docPr id="184" name="Frame184"/>
                      <a:graphic xmlns:a="http://schemas.openxmlformats.org/drawingml/2006/main">
                        <a:graphicData uri="http://schemas.microsoft.com/office/word/2010/wordprocessingShape">
                          <wps:wsp>
                            <wps:cNvSpPr txBox="1"/>
                            <wps:spPr>
                              <a:xfrm>
                                <a:off x="0" y="0"/>
                                <a:ext cx="1936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1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6">
                      <wp:simplePos x="0" y="0"/>
                      <wp:positionH relativeFrom="character">
                        <wp:align>left</wp:align>
                      </wp:positionH>
                      <wp:positionV relativeFrom="line">
                        <wp:posOffset>635</wp:posOffset>
                      </wp:positionV>
                      <wp:extent cx="387350" cy="175260"/>
                      <wp:effectExtent l="0" t="0" r="0" b="0"/>
                      <wp:wrapNone/>
                      <wp:docPr id="185" name="Frame185"/>
                      <a:graphic xmlns:a="http://schemas.openxmlformats.org/drawingml/2006/main">
                        <a:graphicData uri="http://schemas.microsoft.com/office/word/2010/wordprocessingShape">
                          <wps:wsp>
                            <wps:cNvSpPr txBox="1"/>
                            <wps:spPr>
                              <a:xfrm>
                                <a:off x="0" y="0"/>
                                <a:ext cx="3873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7">
                      <wp:simplePos x="0" y="0"/>
                      <wp:positionH relativeFrom="character">
                        <wp:align>left</wp:align>
                      </wp:positionH>
                      <wp:positionV relativeFrom="line">
                        <wp:posOffset>635</wp:posOffset>
                      </wp:positionV>
                      <wp:extent cx="229235" cy="175260"/>
                      <wp:effectExtent l="0" t="0" r="0" b="0"/>
                      <wp:wrapNone/>
                      <wp:docPr id="186" name="Frame186"/>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6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8">
                      <wp:simplePos x="0" y="0"/>
                      <wp:positionH relativeFrom="character">
                        <wp:align>left</wp:align>
                      </wp:positionH>
                      <wp:positionV relativeFrom="line">
                        <wp:posOffset>635</wp:posOffset>
                      </wp:positionV>
                      <wp:extent cx="170815" cy="175260"/>
                      <wp:effectExtent l="0" t="0" r="0" b="0"/>
                      <wp:wrapNone/>
                      <wp:docPr id="187" name="Frame187"/>
                      <a:graphic xmlns:a="http://schemas.openxmlformats.org/drawingml/2006/main">
                        <a:graphicData uri="http://schemas.microsoft.com/office/word/2010/wordprocessingShape">
                          <wps:wsp>
                            <wps:cNvSpPr txBox="1"/>
                            <wps:spPr>
                              <a:xfrm>
                                <a:off x="0" y="0"/>
                                <a:ext cx="1708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8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9">
                      <wp:simplePos x="0" y="0"/>
                      <wp:positionH relativeFrom="character">
                        <wp:align>left</wp:align>
                      </wp:positionH>
                      <wp:positionV relativeFrom="line">
                        <wp:posOffset>635</wp:posOffset>
                      </wp:positionV>
                      <wp:extent cx="306070" cy="175260"/>
                      <wp:effectExtent l="0" t="0" r="0" b="0"/>
                      <wp:wrapNone/>
                      <wp:docPr id="188" name="Frame188"/>
                      <a:graphic xmlns:a="http://schemas.openxmlformats.org/drawingml/2006/main">
                        <a:graphicData uri="http://schemas.microsoft.com/office/word/2010/wordprocessingShape">
                          <wps:wsp>
                            <wps:cNvSpPr txBox="1"/>
                            <wps:spPr>
                              <a:xfrm>
                                <a:off x="0" y="0"/>
                                <a:ext cx="3060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0">
                      <wp:simplePos x="0" y="0"/>
                      <wp:positionH relativeFrom="character">
                        <wp:align>left</wp:align>
                      </wp:positionH>
                      <wp:positionV relativeFrom="line">
                        <wp:posOffset>635</wp:posOffset>
                      </wp:positionV>
                      <wp:extent cx="207010" cy="175260"/>
                      <wp:effectExtent l="0" t="0" r="0" b="0"/>
                      <wp:wrapNone/>
                      <wp:docPr id="189" name="Frame18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1">
                      <wp:simplePos x="0" y="0"/>
                      <wp:positionH relativeFrom="character">
                        <wp:align>left</wp:align>
                      </wp:positionH>
                      <wp:positionV relativeFrom="line">
                        <wp:posOffset>635</wp:posOffset>
                      </wp:positionV>
                      <wp:extent cx="553085" cy="175260"/>
                      <wp:effectExtent l="0" t="0" r="0" b="0"/>
                      <wp:wrapNone/>
                      <wp:docPr id="190" name="Frame190"/>
                      <a:graphic xmlns:a="http://schemas.openxmlformats.org/drawingml/2006/main">
                        <a:graphicData uri="http://schemas.microsoft.com/office/word/2010/wordprocessingShape">
                          <wps:wsp>
                            <wps:cNvSpPr txBox="1"/>
                            <wps:spPr>
                              <a:xfrm>
                                <a:off x="0" y="0"/>
                                <a:ext cx="5530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2">
                      <wp:simplePos x="0" y="0"/>
                      <wp:positionH relativeFrom="character">
                        <wp:align>left</wp:align>
                      </wp:positionH>
                      <wp:positionV relativeFrom="line">
                        <wp:posOffset>635</wp:posOffset>
                      </wp:positionV>
                      <wp:extent cx="181610" cy="175260"/>
                      <wp:effectExtent l="0" t="0" r="0" b="0"/>
                      <wp:wrapNone/>
                      <wp:docPr id="191" name="Frame191"/>
                      <a:graphic xmlns:a="http://schemas.openxmlformats.org/drawingml/2006/main">
                        <a:graphicData uri="http://schemas.microsoft.com/office/word/2010/wordprocessingShape">
                          <wps:wsp>
                            <wps:cNvSpPr txBox="1"/>
                            <wps:spPr>
                              <a:xfrm>
                                <a:off x="0" y="0"/>
                                <a:ext cx="181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04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2353"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Three months ended March 31,</w:t>
            </w:r>
          </w:p>
        </w:tc>
        <w:tc>
          <w:tcPr>
            <w:tcW w:w="361" w:type="dxa"/>
            <w:tcBorders/>
            <w:vAlign w:val="center"/>
          </w:tcPr>
          <w:p>
            <w:pPr>
              <w:pStyle w:val="TableContents"/>
              <w:bidi w:val="0"/>
              <w:spacing w:before="0" w:after="0"/>
              <w:ind w:left="0" w:right="0" w:hanging="0"/>
              <w:jc w:val="left"/>
              <w:rPr/>
            </w:pPr>
            <w:r>
              <w:rPr/>
              <w:t>​</w:t>
            </w:r>
          </w:p>
        </w:tc>
        <w:tc>
          <w:tcPr>
            <w:tcW w:w="269" w:type="dxa"/>
            <w:tcBorders/>
            <w:vAlign w:val="center"/>
          </w:tcPr>
          <w:p>
            <w:pPr>
              <w:pStyle w:val="TableContents"/>
              <w:bidi w:val="0"/>
              <w:spacing w:before="0" w:after="0"/>
              <w:ind w:left="0" w:right="0" w:hanging="0"/>
              <w:jc w:val="left"/>
              <w:rPr/>
            </w:pPr>
            <w:r>
              <w:rPr/>
              <w:t>  </w:t>
            </w:r>
          </w:p>
        </w:tc>
        <w:tc>
          <w:tcPr>
            <w:tcW w:w="482"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    </w:t>
            </w:r>
          </w:p>
        </w:tc>
        <w:tc>
          <w:tcPr>
            <w:tcW w:w="871" w:type="dxa"/>
            <w:tcBorders/>
            <w:vAlign w:val="center"/>
          </w:tcPr>
          <w:p>
            <w:pPr>
              <w:pStyle w:val="TableContents"/>
              <w:bidi w:val="0"/>
              <w:spacing w:before="0" w:after="0"/>
              <w:ind w:left="0" w:right="0" w:hanging="0"/>
              <w:jc w:val="center"/>
              <w:rPr/>
            </w:pPr>
            <w:r>
              <w:rPr/>
              <w:t>  </w:t>
            </w:r>
          </w:p>
        </w:tc>
        <w:tc>
          <w:tcPr>
            <w:tcW w:w="286" w:type="dxa"/>
            <w:tcBorders/>
            <w:vAlign w:val="center"/>
          </w:tcPr>
          <w:p>
            <w:pPr>
              <w:pStyle w:val="TableContents"/>
              <w:bidi w:val="0"/>
              <w:spacing w:before="0" w:after="0"/>
              <w:ind w:left="0" w:right="0" w:hanging="0"/>
              <w:jc w:val="left"/>
              <w:rPr/>
            </w:pPr>
            <w:r>
              <w:rPr/>
              <w:t> </w:t>
            </w:r>
          </w:p>
        </w:tc>
      </w:tr>
      <w:tr>
        <w:trPr/>
        <w:tc>
          <w:tcPr>
            <w:tcW w:w="204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91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523" w:type="dxa"/>
            <w:tcBorders/>
            <w:vAlign w:val="center"/>
          </w:tcPr>
          <w:p>
            <w:pPr>
              <w:pStyle w:val="TableContents"/>
              <w:bidi w:val="0"/>
              <w:spacing w:before="0" w:after="0"/>
              <w:ind w:left="0" w:right="0" w:hanging="0"/>
              <w:jc w:val="left"/>
              <w:rPr/>
            </w:pPr>
            <w:r>
              <w:rPr/>
              <w:t>    </w:t>
            </w:r>
          </w:p>
        </w:tc>
        <w:tc>
          <w:tcPr>
            <w:tcW w:w="91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61" w:type="dxa"/>
            <w:tcBorders/>
            <w:vAlign w:val="center"/>
          </w:tcPr>
          <w:p>
            <w:pPr>
              <w:pStyle w:val="TableContents"/>
              <w:bidi w:val="0"/>
              <w:spacing w:before="0" w:after="0"/>
              <w:ind w:left="0" w:right="0" w:hanging="0"/>
              <w:jc w:val="left"/>
              <w:rPr/>
            </w:pPr>
            <w:r>
              <w:rPr/>
              <w:t>    </w:t>
            </w:r>
          </w:p>
        </w:tc>
        <w:tc>
          <w:tcPr>
            <w:tcW w:w="75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$Change</w:t>
            </w:r>
          </w:p>
        </w:tc>
        <w:tc>
          <w:tcPr>
            <w:tcW w:w="326" w:type="dxa"/>
            <w:tcBorders/>
            <w:vAlign w:val="center"/>
          </w:tcPr>
          <w:p>
            <w:pPr>
              <w:pStyle w:val="TableContents"/>
              <w:bidi w:val="0"/>
              <w:spacing w:before="0" w:after="0"/>
              <w:ind w:left="0" w:right="0" w:hanging="0"/>
              <w:jc w:val="left"/>
              <w:rPr/>
            </w:pPr>
            <w:r>
              <w:rPr/>
              <w:t>    </w:t>
            </w:r>
          </w:p>
        </w:tc>
        <w:tc>
          <w:tcPr>
            <w:tcW w:w="87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Change</w:t>
            </w:r>
          </w:p>
        </w:tc>
        <w:tc>
          <w:tcPr>
            <w:tcW w:w="286" w:type="dxa"/>
            <w:tcBorders/>
            <w:vAlign w:val="center"/>
          </w:tcPr>
          <w:p>
            <w:pPr>
              <w:pStyle w:val="TableContents"/>
              <w:bidi w:val="0"/>
              <w:spacing w:before="0" w:after="0"/>
              <w:ind w:left="0" w:right="0" w:hanging="0"/>
              <w:jc w:val="left"/>
              <w:rPr/>
            </w:pPr>
            <w:r>
              <w:rPr/>
              <w:t> </w:t>
            </w:r>
          </w:p>
        </w:tc>
      </w:tr>
      <w:tr>
        <w:trPr/>
        <w:tc>
          <w:tcPr>
            <w:tcW w:w="204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Cost of sales</w:t>
            </w:r>
          </w:p>
        </w:tc>
        <w:tc>
          <w:tcPr>
            <w:tcW w:w="326" w:type="dxa"/>
            <w:tcBorders/>
            <w:shd w:fill="CCEEFF" w:val="clear"/>
            <w:vAlign w:val="center"/>
          </w:tcPr>
          <w:p>
            <w:pPr>
              <w:pStyle w:val="TableContents"/>
              <w:bidi w:val="0"/>
              <w:spacing w:before="0" w:after="0"/>
              <w:ind w:left="0" w:right="0" w:hanging="0"/>
              <w:jc w:val="left"/>
              <w:rPr/>
            </w:pPr>
            <w:r>
              <w:rPr/>
              <w:t>​</w:t>
            </w:r>
          </w:p>
        </w:tc>
        <w:tc>
          <w:tcPr>
            <w:tcW w:w="30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1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109</w:t>
            </w:r>
          </w:p>
        </w:tc>
        <w:tc>
          <w:tcPr>
            <w:tcW w:w="523" w:type="dxa"/>
            <w:tcBorders/>
            <w:shd w:fill="CCEEFF" w:val="clear"/>
            <w:vAlign w:val="center"/>
          </w:tcPr>
          <w:p>
            <w:pPr>
              <w:pStyle w:val="TableContents"/>
              <w:bidi w:val="0"/>
              <w:spacing w:before="0" w:after="0"/>
              <w:ind w:left="0" w:right="0" w:hanging="0"/>
              <w:jc w:val="left"/>
              <w:rPr/>
            </w:pPr>
            <w:r>
              <w:rPr/>
              <w:t>​</w:t>
            </w:r>
          </w:p>
        </w:tc>
        <w:tc>
          <w:tcPr>
            <w:tcW w:w="30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1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139</w:t>
            </w:r>
          </w:p>
        </w:tc>
        <w:tc>
          <w:tcPr>
            <w:tcW w:w="361" w:type="dxa"/>
            <w:tcBorders/>
            <w:shd w:fill="CCEEFF" w:val="clear"/>
            <w:vAlign w:val="center"/>
          </w:tcPr>
          <w:p>
            <w:pPr>
              <w:pStyle w:val="TableContents"/>
              <w:bidi w:val="0"/>
              <w:spacing w:before="0" w:after="0"/>
              <w:ind w:left="0" w:right="0" w:hanging="0"/>
              <w:jc w:val="left"/>
              <w:rPr/>
            </w:pPr>
            <w:r>
              <w:rPr/>
              <w:t>​</w:t>
            </w:r>
          </w:p>
        </w:tc>
        <w:tc>
          <w:tcPr>
            <w:tcW w:w="26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8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w:t>
            </w:r>
          </w:p>
        </w:tc>
        <w:tc>
          <w:tcPr>
            <w:tcW w:w="326" w:type="dxa"/>
            <w:tcBorders/>
            <w:shd w:fill="CCEEFF" w:val="clear"/>
            <w:vAlign w:val="center"/>
          </w:tcPr>
          <w:p>
            <w:pPr>
              <w:pStyle w:val="TableContents"/>
              <w:bidi w:val="0"/>
              <w:spacing w:before="0" w:after="0"/>
              <w:ind w:left="0" w:right="0" w:hanging="0"/>
              <w:jc w:val="left"/>
              <w:rPr/>
            </w:pPr>
            <w:r>
              <w:rPr/>
              <w:t> </w:t>
            </w:r>
          </w:p>
        </w:tc>
        <w:tc>
          <w:tcPr>
            <w:tcW w:w="8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w:t>
            </w:r>
          </w:p>
        </w:tc>
        <w:tc>
          <w:tcPr>
            <w:tcW w:w="286" w:type="dxa"/>
            <w:tcBorders/>
            <w:shd w:fill="CCEEFF" w:val="clear"/>
            <w:vAlign w:val="center"/>
          </w:tcPr>
          <w:p>
            <w:pPr>
              <w:pStyle w:val="TableContents"/>
              <w:bidi w:val="0"/>
              <w:spacing w:before="0" w:after="0"/>
              <w:ind w:left="0" w:right="0" w:hanging="0"/>
              <w:jc w:val="left"/>
              <w:rPr>
                <w:rFonts w:ascii="Calibri;Helvetica;sans-serif" w:hAnsi="Calibri;Helvetica;sans-serif"/>
                <w:sz w:val="20"/>
              </w:rPr>
            </w:pPr>
            <w:r>
              <w:rPr>
                <w:rFonts w:ascii="Calibri;Helvetica;sans-serif" w:hAnsi="Calibri;Helvetica;sans-serif"/>
                <w:sz w:val="20"/>
              </w:rPr>
              <w:t>%</w:t>
            </w:r>
          </w:p>
        </w:tc>
      </w:tr>
      <w:tr>
        <w:trPr/>
        <w:tc>
          <w:tcPr>
            <w:tcW w:w="20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Percent of total revenue</w:t>
            </w:r>
          </w:p>
        </w:tc>
        <w:tc>
          <w:tcPr>
            <w:tcW w:w="326" w:type="dxa"/>
            <w:tcBorders/>
            <w:vAlign w:val="center"/>
          </w:tcPr>
          <w:p>
            <w:pPr>
              <w:pStyle w:val="TableContents"/>
              <w:bidi w:val="0"/>
              <w:spacing w:before="0" w:after="0"/>
              <w:ind w:left="0" w:right="0" w:hanging="0"/>
              <w:jc w:val="left"/>
              <w:rPr/>
            </w:pPr>
            <w:r>
              <w:rPr/>
              <w:t>​</w:t>
            </w:r>
          </w:p>
        </w:tc>
        <w:tc>
          <w:tcPr>
            <w:tcW w:w="305" w:type="dxa"/>
            <w:tcBorders/>
            <w:vAlign w:val="center"/>
          </w:tcPr>
          <w:p>
            <w:pPr>
              <w:pStyle w:val="TableContents"/>
              <w:bidi w:val="0"/>
              <w:spacing w:before="0" w:after="0"/>
              <w:ind w:left="0" w:right="0" w:hanging="0"/>
              <w:jc w:val="left"/>
              <w:rPr/>
            </w:pPr>
            <w:r>
              <w:rPr/>
              <w:t> </w:t>
            </w:r>
          </w:p>
        </w:tc>
        <w:tc>
          <w:tcPr>
            <w:tcW w:w="61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170</w:t>
            </w:r>
          </w:p>
        </w:tc>
        <w:tc>
          <w:tcPr>
            <w:tcW w:w="52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305" w:type="dxa"/>
            <w:tcBorders/>
            <w:vAlign w:val="center"/>
          </w:tcPr>
          <w:p>
            <w:pPr>
              <w:pStyle w:val="TableContents"/>
              <w:bidi w:val="0"/>
              <w:spacing w:before="0" w:after="0"/>
              <w:ind w:left="0" w:right="0" w:hanging="0"/>
              <w:jc w:val="left"/>
              <w:rPr/>
            </w:pPr>
            <w:r>
              <w:rPr/>
              <w:t> </w:t>
            </w:r>
          </w:p>
        </w:tc>
        <w:tc>
          <w:tcPr>
            <w:tcW w:w="61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143</w:t>
            </w:r>
          </w:p>
        </w:tc>
        <w:tc>
          <w:tcPr>
            <w:tcW w:w="3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269" w:type="dxa"/>
            <w:tcBorders/>
            <w:vAlign w:val="center"/>
          </w:tcPr>
          <w:p>
            <w:pPr>
              <w:pStyle w:val="TableContents"/>
              <w:bidi w:val="0"/>
              <w:spacing w:before="0" w:after="0"/>
              <w:ind w:left="0" w:right="0" w:hanging="0"/>
              <w:jc w:val="left"/>
              <w:rPr/>
            </w:pPr>
            <w:r>
              <w:rPr/>
              <w:t> </w:t>
            </w:r>
          </w:p>
        </w:tc>
        <w:tc>
          <w:tcPr>
            <w:tcW w:w="482" w:type="dxa"/>
            <w:tcBorders/>
            <w:vAlign w:val="center"/>
          </w:tcPr>
          <w:p>
            <w:pPr>
              <w:pStyle w:val="TableContents"/>
              <w:bidi w:val="0"/>
              <w:spacing w:before="0" w:after="0"/>
              <w:ind w:left="0" w:right="0" w:hanging="0"/>
              <w:jc w:val="right"/>
              <w:rPr/>
            </w:pPr>
            <w:r>
              <w:rPr/>
              <w:t>  </w:t>
            </w:r>
          </w:p>
        </w:tc>
        <w:tc>
          <w:tcPr>
            <w:tcW w:w="326" w:type="dxa"/>
            <w:tcBorders/>
            <w:vAlign w:val="center"/>
          </w:tcPr>
          <w:p>
            <w:pPr>
              <w:pStyle w:val="TableContents"/>
              <w:bidi w:val="0"/>
              <w:spacing w:before="0" w:after="0"/>
              <w:ind w:left="0" w:right="0" w:hanging="0"/>
              <w:jc w:val="left"/>
              <w:rPr/>
            </w:pPr>
            <w:r>
              <w:rPr/>
              <w:t> </w:t>
            </w:r>
          </w:p>
        </w:tc>
        <w:tc>
          <w:tcPr>
            <w:tcW w:w="871" w:type="dxa"/>
            <w:tcBorders/>
            <w:vAlign w:val="center"/>
          </w:tcPr>
          <w:p>
            <w:pPr>
              <w:pStyle w:val="TableContents"/>
              <w:bidi w:val="0"/>
              <w:spacing w:before="0" w:after="0"/>
              <w:ind w:left="0" w:right="0" w:hanging="0"/>
              <w:jc w:val="right"/>
              <w:rPr/>
            </w:pPr>
            <w:r>
              <w:rPr/>
              <w:t>  </w:t>
            </w:r>
          </w:p>
        </w:tc>
        <w:tc>
          <w:tcPr>
            <w:tcW w:w="286"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Cost of revenue was $0.1 million and $0.1 million, respectively, for the three months ended March 31, 2024 and 2023. There was a slight decrease due to a lower cost of transmitters sold.</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Research and Development Costs:</w:t>
      </w:r>
    </w:p>
    <w:p>
      <w:pPr>
        <w:pStyle w:val="TextBody"/>
        <w:bidi w:val="0"/>
        <w:spacing w:before="0" w:after="0"/>
        <w:ind w:left="0" w:right="0" w:hanging="0"/>
        <w:jc w:val="left"/>
        <w:rPr/>
      </w:pPr>
      <w:r>
        <w:rPr/>
        <w:t>​</w:t>
      </w:r>
    </w:p>
    <w:tbl>
      <w:tblPr>
        <w:tblW w:w="7616" w:type="dxa"/>
        <w:jc w:val="left"/>
        <w:tblInd w:w="0" w:type="dxa"/>
        <w:tblLayout w:type="fixed"/>
        <w:tblCellMar>
          <w:top w:w="0" w:type="dxa"/>
          <w:left w:w="0" w:type="dxa"/>
          <w:bottom w:w="0" w:type="dxa"/>
          <w:right w:w="0" w:type="dxa"/>
        </w:tblCellMar>
      </w:tblPr>
      <w:tblGrid>
        <w:gridCol w:w="2311"/>
        <w:gridCol w:w="326"/>
        <w:gridCol w:w="258"/>
        <w:gridCol w:w="698"/>
        <w:gridCol w:w="441"/>
        <w:gridCol w:w="258"/>
        <w:gridCol w:w="698"/>
        <w:gridCol w:w="361"/>
        <w:gridCol w:w="211"/>
        <w:gridCol w:w="541"/>
        <w:gridCol w:w="326"/>
        <w:gridCol w:w="871"/>
        <w:gridCol w:w="316"/>
      </w:tblGrid>
      <w:tr>
        <w:trPr/>
        <w:tc>
          <w:tcPr>
            <w:tcW w:w="23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3">
                      <wp:simplePos x="0" y="0"/>
                      <wp:positionH relativeFrom="character">
                        <wp:align>left</wp:align>
                      </wp:positionH>
                      <wp:positionV relativeFrom="line">
                        <wp:posOffset>635</wp:posOffset>
                      </wp:positionV>
                      <wp:extent cx="1467485" cy="175260"/>
                      <wp:effectExtent l="0" t="0" r="0" b="0"/>
                      <wp:wrapNone/>
                      <wp:docPr id="192" name="Frame192"/>
                      <a:graphic xmlns:a="http://schemas.openxmlformats.org/drawingml/2006/main">
                        <a:graphicData uri="http://schemas.microsoft.com/office/word/2010/wordprocessingShape">
                          <wps:wsp>
                            <wps:cNvSpPr txBox="1"/>
                            <wps:spPr>
                              <a:xfrm>
                                <a:off x="0" y="0"/>
                                <a:ext cx="14674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4">
                      <wp:simplePos x="0" y="0"/>
                      <wp:positionH relativeFrom="character">
                        <wp:align>left</wp:align>
                      </wp:positionH>
                      <wp:positionV relativeFrom="line">
                        <wp:posOffset>635</wp:posOffset>
                      </wp:positionV>
                      <wp:extent cx="207010" cy="175260"/>
                      <wp:effectExtent l="0" t="0" r="0" b="0"/>
                      <wp:wrapNone/>
                      <wp:docPr id="193" name="Frame19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5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5">
                      <wp:simplePos x="0" y="0"/>
                      <wp:positionH relativeFrom="character">
                        <wp:align>left</wp:align>
                      </wp:positionH>
                      <wp:positionV relativeFrom="line">
                        <wp:posOffset>635</wp:posOffset>
                      </wp:positionV>
                      <wp:extent cx="163830" cy="175260"/>
                      <wp:effectExtent l="0" t="0" r="0" b="0"/>
                      <wp:wrapNone/>
                      <wp:docPr id="194" name="Frame194"/>
                      <a:graphic xmlns:a="http://schemas.openxmlformats.org/drawingml/2006/main">
                        <a:graphicData uri="http://schemas.microsoft.com/office/word/2010/wordprocessingShape">
                          <wps:wsp>
                            <wps:cNvSpPr txBox="1"/>
                            <wps:spPr>
                              <a:xfrm>
                                <a:off x="0" y="0"/>
                                <a:ext cx="1638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6">
                      <wp:simplePos x="0" y="0"/>
                      <wp:positionH relativeFrom="character">
                        <wp:align>left</wp:align>
                      </wp:positionH>
                      <wp:positionV relativeFrom="line">
                        <wp:posOffset>635</wp:posOffset>
                      </wp:positionV>
                      <wp:extent cx="443230" cy="175260"/>
                      <wp:effectExtent l="0" t="0" r="0" b="0"/>
                      <wp:wrapNone/>
                      <wp:docPr id="195" name="Frame195"/>
                      <a:graphic xmlns:a="http://schemas.openxmlformats.org/drawingml/2006/main">
                        <a:graphicData uri="http://schemas.microsoft.com/office/word/2010/wordprocessingShape">
                          <wps:wsp>
                            <wps:cNvSpPr txBox="1"/>
                            <wps:spPr>
                              <a:xfrm>
                                <a:off x="0" y="0"/>
                                <a:ext cx="4432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7">
                      <wp:simplePos x="0" y="0"/>
                      <wp:positionH relativeFrom="character">
                        <wp:align>left</wp:align>
                      </wp:positionH>
                      <wp:positionV relativeFrom="line">
                        <wp:posOffset>635</wp:posOffset>
                      </wp:positionV>
                      <wp:extent cx="280035" cy="175260"/>
                      <wp:effectExtent l="0" t="0" r="0" b="0"/>
                      <wp:wrapNone/>
                      <wp:docPr id="196" name="Frame196"/>
                      <a:graphic xmlns:a="http://schemas.openxmlformats.org/drawingml/2006/main">
                        <a:graphicData uri="http://schemas.microsoft.com/office/word/2010/wordprocessingShape">
                          <wps:wsp>
                            <wps:cNvSpPr txBox="1"/>
                            <wps:spPr>
                              <a:xfrm>
                                <a:off x="0" y="0"/>
                                <a:ext cx="2800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5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8">
                      <wp:simplePos x="0" y="0"/>
                      <wp:positionH relativeFrom="character">
                        <wp:align>left</wp:align>
                      </wp:positionH>
                      <wp:positionV relativeFrom="line">
                        <wp:posOffset>635</wp:posOffset>
                      </wp:positionV>
                      <wp:extent cx="163830" cy="175260"/>
                      <wp:effectExtent l="0" t="0" r="0" b="0"/>
                      <wp:wrapNone/>
                      <wp:docPr id="197" name="Frame197"/>
                      <a:graphic xmlns:a="http://schemas.openxmlformats.org/drawingml/2006/main">
                        <a:graphicData uri="http://schemas.microsoft.com/office/word/2010/wordprocessingShape">
                          <wps:wsp>
                            <wps:cNvSpPr txBox="1"/>
                            <wps:spPr>
                              <a:xfrm>
                                <a:off x="0" y="0"/>
                                <a:ext cx="1638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9">
                      <wp:simplePos x="0" y="0"/>
                      <wp:positionH relativeFrom="character">
                        <wp:align>left</wp:align>
                      </wp:positionH>
                      <wp:positionV relativeFrom="line">
                        <wp:posOffset>635</wp:posOffset>
                      </wp:positionV>
                      <wp:extent cx="443230" cy="175260"/>
                      <wp:effectExtent l="0" t="0" r="0" b="0"/>
                      <wp:wrapNone/>
                      <wp:docPr id="198" name="Frame198"/>
                      <a:graphic xmlns:a="http://schemas.openxmlformats.org/drawingml/2006/main">
                        <a:graphicData uri="http://schemas.microsoft.com/office/word/2010/wordprocessingShape">
                          <wps:wsp>
                            <wps:cNvSpPr txBox="1"/>
                            <wps:spPr>
                              <a:xfrm>
                                <a:off x="0" y="0"/>
                                <a:ext cx="4432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0">
                      <wp:simplePos x="0" y="0"/>
                      <wp:positionH relativeFrom="character">
                        <wp:align>left</wp:align>
                      </wp:positionH>
                      <wp:positionV relativeFrom="line">
                        <wp:posOffset>635</wp:posOffset>
                      </wp:positionV>
                      <wp:extent cx="229235" cy="175260"/>
                      <wp:effectExtent l="0" t="0" r="0" b="0"/>
                      <wp:wrapNone/>
                      <wp:docPr id="199" name="Frame199"/>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1">
                      <wp:simplePos x="0" y="0"/>
                      <wp:positionH relativeFrom="character">
                        <wp:align>left</wp:align>
                      </wp:positionH>
                      <wp:positionV relativeFrom="line">
                        <wp:posOffset>635</wp:posOffset>
                      </wp:positionV>
                      <wp:extent cx="133985" cy="175260"/>
                      <wp:effectExtent l="0" t="0" r="0" b="0"/>
                      <wp:wrapNone/>
                      <wp:docPr id="200" name="Frame20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2">
                      <wp:simplePos x="0" y="0"/>
                      <wp:positionH relativeFrom="character">
                        <wp:align>left</wp:align>
                      </wp:positionH>
                      <wp:positionV relativeFrom="line">
                        <wp:posOffset>635</wp:posOffset>
                      </wp:positionV>
                      <wp:extent cx="343535" cy="175260"/>
                      <wp:effectExtent l="0" t="0" r="0" b="0"/>
                      <wp:wrapNone/>
                      <wp:docPr id="201" name="Frame201"/>
                      <a:graphic xmlns:a="http://schemas.openxmlformats.org/drawingml/2006/main">
                        <a:graphicData uri="http://schemas.microsoft.com/office/word/2010/wordprocessingShape">
                          <wps:wsp>
                            <wps:cNvSpPr txBox="1"/>
                            <wps:spPr>
                              <a:xfrm>
                                <a:off x="0" y="0"/>
                                <a:ext cx="3435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3">
                      <wp:simplePos x="0" y="0"/>
                      <wp:positionH relativeFrom="character">
                        <wp:align>left</wp:align>
                      </wp:positionH>
                      <wp:positionV relativeFrom="line">
                        <wp:posOffset>635</wp:posOffset>
                      </wp:positionV>
                      <wp:extent cx="207010" cy="175260"/>
                      <wp:effectExtent l="0" t="0" r="0" b="0"/>
                      <wp:wrapNone/>
                      <wp:docPr id="202" name="Frame20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4">
                      <wp:simplePos x="0" y="0"/>
                      <wp:positionH relativeFrom="character">
                        <wp:align>left</wp:align>
                      </wp:positionH>
                      <wp:positionV relativeFrom="line">
                        <wp:posOffset>635</wp:posOffset>
                      </wp:positionV>
                      <wp:extent cx="553085" cy="175260"/>
                      <wp:effectExtent l="0" t="0" r="0" b="0"/>
                      <wp:wrapNone/>
                      <wp:docPr id="203" name="Frame203"/>
                      <a:graphic xmlns:a="http://schemas.openxmlformats.org/drawingml/2006/main">
                        <a:graphicData uri="http://schemas.microsoft.com/office/word/2010/wordprocessingShape">
                          <wps:wsp>
                            <wps:cNvSpPr txBox="1"/>
                            <wps:spPr>
                              <a:xfrm>
                                <a:off x="0" y="0"/>
                                <a:ext cx="5530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5">
                      <wp:simplePos x="0" y="0"/>
                      <wp:positionH relativeFrom="character">
                        <wp:align>left</wp:align>
                      </wp:positionH>
                      <wp:positionV relativeFrom="line">
                        <wp:posOffset>635</wp:posOffset>
                      </wp:positionV>
                      <wp:extent cx="200660" cy="175260"/>
                      <wp:effectExtent l="0" t="0" r="0" b="0"/>
                      <wp:wrapNone/>
                      <wp:docPr id="204" name="Frame204"/>
                      <a:graphic xmlns:a="http://schemas.openxmlformats.org/drawingml/2006/main">
                        <a:graphicData uri="http://schemas.microsoft.com/office/word/2010/wordprocessingShape">
                          <wps:wsp>
                            <wps:cNvSpPr txBox="1"/>
                            <wps:spPr>
                              <a:xfrm>
                                <a:off x="0" y="0"/>
                                <a:ext cx="200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31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2353"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Three months ended March 31,</w:t>
            </w:r>
          </w:p>
        </w:tc>
        <w:tc>
          <w:tcPr>
            <w:tcW w:w="361"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54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    </w:t>
            </w:r>
          </w:p>
        </w:tc>
        <w:tc>
          <w:tcPr>
            <w:tcW w:w="871" w:type="dxa"/>
            <w:tcBorders/>
            <w:vAlign w:val="center"/>
          </w:tcPr>
          <w:p>
            <w:pPr>
              <w:pStyle w:val="TableContents"/>
              <w:bidi w:val="0"/>
              <w:spacing w:before="0" w:after="0"/>
              <w:ind w:left="0" w:right="0" w:hanging="0"/>
              <w:jc w:val="center"/>
              <w:rPr/>
            </w:pPr>
            <w:r>
              <w:rPr/>
              <w:t>  </w:t>
            </w:r>
          </w:p>
        </w:tc>
        <w:tc>
          <w:tcPr>
            <w:tcW w:w="316" w:type="dxa"/>
            <w:tcBorders/>
            <w:vAlign w:val="center"/>
          </w:tcPr>
          <w:p>
            <w:pPr>
              <w:pStyle w:val="TableContents"/>
              <w:bidi w:val="0"/>
              <w:spacing w:before="0" w:after="0"/>
              <w:ind w:left="0" w:right="0" w:hanging="0"/>
              <w:jc w:val="left"/>
              <w:rPr/>
            </w:pPr>
            <w:r>
              <w:rPr/>
              <w:t> </w:t>
            </w:r>
          </w:p>
        </w:tc>
      </w:tr>
      <w:tr>
        <w:trPr/>
        <w:tc>
          <w:tcPr>
            <w:tcW w:w="231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95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441" w:type="dxa"/>
            <w:tcBorders/>
            <w:vAlign w:val="center"/>
          </w:tcPr>
          <w:p>
            <w:pPr>
              <w:pStyle w:val="TableContents"/>
              <w:bidi w:val="0"/>
              <w:spacing w:before="0" w:after="0"/>
              <w:ind w:left="0" w:right="0" w:hanging="0"/>
              <w:jc w:val="left"/>
              <w:rPr/>
            </w:pPr>
            <w:r>
              <w:rPr/>
              <w:t>    </w:t>
            </w:r>
          </w:p>
        </w:tc>
        <w:tc>
          <w:tcPr>
            <w:tcW w:w="95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61" w:type="dxa"/>
            <w:tcBorders/>
            <w:vAlign w:val="center"/>
          </w:tcPr>
          <w:p>
            <w:pPr>
              <w:pStyle w:val="TableContents"/>
              <w:bidi w:val="0"/>
              <w:spacing w:before="0" w:after="0"/>
              <w:ind w:left="0" w:right="0" w:hanging="0"/>
              <w:jc w:val="left"/>
              <w:rPr/>
            </w:pPr>
            <w:r>
              <w:rPr/>
              <w:t>    </w:t>
            </w:r>
          </w:p>
        </w:tc>
        <w:tc>
          <w:tcPr>
            <w:tcW w:w="75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$Change</w:t>
            </w:r>
          </w:p>
        </w:tc>
        <w:tc>
          <w:tcPr>
            <w:tcW w:w="326" w:type="dxa"/>
            <w:tcBorders/>
            <w:vAlign w:val="center"/>
          </w:tcPr>
          <w:p>
            <w:pPr>
              <w:pStyle w:val="TableContents"/>
              <w:bidi w:val="0"/>
              <w:spacing w:before="0" w:after="0"/>
              <w:ind w:left="0" w:right="0" w:hanging="0"/>
              <w:jc w:val="left"/>
              <w:rPr/>
            </w:pPr>
            <w:r>
              <w:rPr/>
              <w:t>    </w:t>
            </w:r>
          </w:p>
        </w:tc>
        <w:tc>
          <w:tcPr>
            <w:tcW w:w="87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Change</w:t>
            </w:r>
          </w:p>
        </w:tc>
        <w:tc>
          <w:tcPr>
            <w:tcW w:w="316" w:type="dxa"/>
            <w:tcBorders/>
            <w:vAlign w:val="center"/>
          </w:tcPr>
          <w:p>
            <w:pPr>
              <w:pStyle w:val="TableContents"/>
              <w:bidi w:val="0"/>
              <w:spacing w:before="0" w:after="0"/>
              <w:ind w:left="0" w:right="0" w:hanging="0"/>
              <w:jc w:val="left"/>
              <w:rPr/>
            </w:pPr>
            <w:r>
              <w:rPr/>
              <w:t> </w:t>
            </w:r>
          </w:p>
        </w:tc>
      </w:tr>
      <w:tr>
        <w:trPr/>
        <w:tc>
          <w:tcPr>
            <w:tcW w:w="23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Research and development</w:t>
            </w:r>
          </w:p>
        </w:tc>
        <w:tc>
          <w:tcPr>
            <w:tcW w:w="326" w:type="dxa"/>
            <w:tcBorders/>
            <w:shd w:fill="CCEEFF" w:val="clear"/>
            <w:vAlign w:val="center"/>
          </w:tcPr>
          <w:p>
            <w:pPr>
              <w:pStyle w:val="TableContents"/>
              <w:bidi w:val="0"/>
              <w:spacing w:before="0" w:after="0"/>
              <w:ind w:left="0" w:right="0" w:hanging="0"/>
              <w:jc w:val="left"/>
              <w:rPr/>
            </w:pPr>
            <w:r>
              <w:rPr/>
              <w:t>​</w:t>
            </w:r>
          </w:p>
        </w:tc>
        <w:tc>
          <w:tcPr>
            <w:tcW w:w="25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2,349</w:t>
            </w:r>
          </w:p>
        </w:tc>
        <w:tc>
          <w:tcPr>
            <w:tcW w:w="441" w:type="dxa"/>
            <w:tcBorders/>
            <w:shd w:fill="CCEEFF" w:val="clear"/>
            <w:vAlign w:val="center"/>
          </w:tcPr>
          <w:p>
            <w:pPr>
              <w:pStyle w:val="TableContents"/>
              <w:bidi w:val="0"/>
              <w:spacing w:before="0" w:after="0"/>
              <w:ind w:left="0" w:right="0" w:hanging="0"/>
              <w:jc w:val="left"/>
              <w:rPr/>
            </w:pPr>
            <w:r>
              <w:rPr/>
              <w:t>​</w:t>
            </w:r>
          </w:p>
        </w:tc>
        <w:tc>
          <w:tcPr>
            <w:tcW w:w="25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3,079</w:t>
            </w:r>
          </w:p>
        </w:tc>
        <w:tc>
          <w:tcPr>
            <w:tcW w:w="361"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(730)</w:t>
            </w:r>
          </w:p>
        </w:tc>
        <w:tc>
          <w:tcPr>
            <w:tcW w:w="326" w:type="dxa"/>
            <w:tcBorders/>
            <w:shd w:fill="CCEEFF" w:val="clear"/>
            <w:vAlign w:val="center"/>
          </w:tcPr>
          <w:p>
            <w:pPr>
              <w:pStyle w:val="TableContents"/>
              <w:bidi w:val="0"/>
              <w:spacing w:before="0" w:after="0"/>
              <w:ind w:left="0" w:right="0" w:hanging="0"/>
              <w:jc w:val="left"/>
              <w:rPr/>
            </w:pPr>
            <w:r>
              <w:rPr/>
              <w:t> </w:t>
            </w:r>
          </w:p>
        </w:tc>
        <w:tc>
          <w:tcPr>
            <w:tcW w:w="8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23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Percent of total revenue</w:t>
            </w:r>
          </w:p>
        </w:tc>
        <w:tc>
          <w:tcPr>
            <w:tcW w:w="326" w:type="dxa"/>
            <w:tcBorders/>
            <w:vAlign w:val="center"/>
          </w:tcPr>
          <w:p>
            <w:pPr>
              <w:pStyle w:val="TableContents"/>
              <w:bidi w:val="0"/>
              <w:spacing w:before="0" w:after="0"/>
              <w:ind w:left="0" w:right="0" w:hanging="0"/>
              <w:jc w:val="left"/>
              <w:rPr/>
            </w:pPr>
            <w:r>
              <w:rPr/>
              <w:t>​</w:t>
            </w:r>
          </w:p>
        </w:tc>
        <w:tc>
          <w:tcPr>
            <w:tcW w:w="258" w:type="dxa"/>
            <w:tcBorders/>
            <w:vAlign w:val="center"/>
          </w:tcPr>
          <w:p>
            <w:pPr>
              <w:pStyle w:val="TableContents"/>
              <w:bidi w:val="0"/>
              <w:spacing w:before="0" w:after="0"/>
              <w:ind w:left="0" w:right="0" w:hanging="0"/>
              <w:jc w:val="left"/>
              <w:rPr/>
            </w:pPr>
            <w:r>
              <w:rPr/>
              <w:t> </w:t>
            </w:r>
          </w:p>
        </w:tc>
        <w:tc>
          <w:tcPr>
            <w:tcW w:w="69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3,670</w:t>
            </w:r>
          </w:p>
        </w:tc>
        <w:tc>
          <w:tcPr>
            <w:tcW w:w="4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258" w:type="dxa"/>
            <w:tcBorders/>
            <w:vAlign w:val="center"/>
          </w:tcPr>
          <w:p>
            <w:pPr>
              <w:pStyle w:val="TableContents"/>
              <w:bidi w:val="0"/>
              <w:spacing w:before="0" w:after="0"/>
              <w:ind w:left="0" w:right="0" w:hanging="0"/>
              <w:jc w:val="left"/>
              <w:rPr/>
            </w:pPr>
            <w:r>
              <w:rPr/>
              <w:t> </w:t>
            </w:r>
          </w:p>
        </w:tc>
        <w:tc>
          <w:tcPr>
            <w:tcW w:w="69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3,174</w:t>
            </w:r>
          </w:p>
        </w:tc>
        <w:tc>
          <w:tcPr>
            <w:tcW w:w="3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211" w:type="dxa"/>
            <w:tcBorders/>
            <w:vAlign w:val="center"/>
          </w:tcPr>
          <w:p>
            <w:pPr>
              <w:pStyle w:val="TableContents"/>
              <w:bidi w:val="0"/>
              <w:spacing w:before="0" w:after="0"/>
              <w:ind w:left="0" w:right="0" w:hanging="0"/>
              <w:jc w:val="left"/>
              <w:rPr/>
            </w:pPr>
            <w:r>
              <w:rPr/>
              <w:t> </w:t>
            </w:r>
          </w:p>
        </w:tc>
        <w:tc>
          <w:tcPr>
            <w:tcW w:w="541" w:type="dxa"/>
            <w:tcBorders/>
            <w:vAlign w:val="center"/>
          </w:tcPr>
          <w:p>
            <w:pPr>
              <w:pStyle w:val="TableContents"/>
              <w:bidi w:val="0"/>
              <w:spacing w:before="0" w:after="0"/>
              <w:ind w:left="0" w:right="0" w:hanging="0"/>
              <w:jc w:val="right"/>
              <w:rPr/>
            </w:pPr>
            <w:r>
              <w:rPr/>
              <w:t>  </w:t>
            </w:r>
          </w:p>
        </w:tc>
        <w:tc>
          <w:tcPr>
            <w:tcW w:w="326" w:type="dxa"/>
            <w:tcBorders/>
            <w:vAlign w:val="center"/>
          </w:tcPr>
          <w:p>
            <w:pPr>
              <w:pStyle w:val="TableContents"/>
              <w:bidi w:val="0"/>
              <w:spacing w:before="0" w:after="0"/>
              <w:ind w:left="0" w:right="0" w:hanging="0"/>
              <w:jc w:val="left"/>
              <w:rPr/>
            </w:pPr>
            <w:r>
              <w:rPr/>
              <w:t> </w:t>
            </w:r>
          </w:p>
        </w:tc>
        <w:tc>
          <w:tcPr>
            <w:tcW w:w="871" w:type="dxa"/>
            <w:tcBorders/>
            <w:vAlign w:val="center"/>
          </w:tcPr>
          <w:p>
            <w:pPr>
              <w:pStyle w:val="TableContents"/>
              <w:bidi w:val="0"/>
              <w:spacing w:before="0" w:after="0"/>
              <w:ind w:left="0" w:right="0" w:hanging="0"/>
              <w:jc w:val="right"/>
              <w:rPr/>
            </w:pPr>
            <w:r>
              <w:rPr/>
              <w:t>  </w:t>
            </w:r>
          </w:p>
        </w:tc>
        <w:tc>
          <w:tcPr>
            <w:tcW w:w="316"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Research and development costs were $2.3 million and $3.1 million, respectively, for the three months ended March 31, 2024 and 2023. The decrease of $0.7 million is primarily due to a $0.3 million decrease in employee compensation, consisting of a $0.2 million decrease in payroll costs and a $0.1 million decrease in stock-based compensation, a $0.1 million decrease in engineering components and supplies, a $0.1 million decrease in legal fees pertaining to patents, a $0.1 million decrease in test development costs and a $0.1 million decrease in miscellaneous office and facility expenses.</w:t>
      </w:r>
    </w:p>
    <w:p>
      <w:pPr>
        <w:pStyle w:val="TextBody"/>
        <w:bidi w:val="0"/>
        <w:spacing w:before="480" w:after="0"/>
        <w:ind w:left="0" w:right="0" w:hanging="0"/>
        <w:jc w:val="right"/>
        <w:rPr>
          <w:rFonts w:ascii="Times New Roman;Times;serif" w:hAnsi="Times New Roman;Times;serif"/>
          <w:sz w:val="20"/>
        </w:rPr>
      </w:pPr>
      <w:r>
        <w:rPr>
          <w:rFonts w:ascii="Times New Roman;Times;serif" w:hAnsi="Times New Roman;Times;serif"/>
          <w:sz w:val="20"/>
        </w:rPr>
        <w:t>27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Sales and Marketing Costs:</w:t>
      </w:r>
    </w:p>
    <w:p>
      <w:pPr>
        <w:pStyle w:val="TextBody"/>
        <w:bidi w:val="0"/>
        <w:spacing w:before="0" w:after="0"/>
        <w:ind w:left="0" w:right="0" w:hanging="0"/>
        <w:jc w:val="left"/>
        <w:rPr/>
      </w:pPr>
      <w:r>
        <w:rPr/>
        <w:t>​</w:t>
      </w:r>
    </w:p>
    <w:tbl>
      <w:tblPr>
        <w:tblW w:w="7316" w:type="dxa"/>
        <w:jc w:val="left"/>
        <w:tblInd w:w="0" w:type="dxa"/>
        <w:tblLayout w:type="fixed"/>
        <w:tblCellMar>
          <w:top w:w="0" w:type="dxa"/>
          <w:left w:w="0" w:type="dxa"/>
          <w:bottom w:w="0" w:type="dxa"/>
          <w:right w:w="0" w:type="dxa"/>
        </w:tblCellMar>
      </w:tblPr>
      <w:tblGrid>
        <w:gridCol w:w="2041"/>
        <w:gridCol w:w="326"/>
        <w:gridCol w:w="258"/>
        <w:gridCol w:w="698"/>
        <w:gridCol w:w="441"/>
        <w:gridCol w:w="258"/>
        <w:gridCol w:w="698"/>
        <w:gridCol w:w="361"/>
        <w:gridCol w:w="211"/>
        <w:gridCol w:w="541"/>
        <w:gridCol w:w="326"/>
        <w:gridCol w:w="871"/>
        <w:gridCol w:w="286"/>
      </w:tblGrid>
      <w:tr>
        <w:trPr/>
        <w:tc>
          <w:tcPr>
            <w:tcW w:w="20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6">
                      <wp:simplePos x="0" y="0"/>
                      <wp:positionH relativeFrom="character">
                        <wp:align>left</wp:align>
                      </wp:positionH>
                      <wp:positionV relativeFrom="line">
                        <wp:posOffset>635</wp:posOffset>
                      </wp:positionV>
                      <wp:extent cx="1296035" cy="175260"/>
                      <wp:effectExtent l="0" t="0" r="0" b="0"/>
                      <wp:wrapNone/>
                      <wp:docPr id="205" name="Frame205"/>
                      <a:graphic xmlns:a="http://schemas.openxmlformats.org/drawingml/2006/main">
                        <a:graphicData uri="http://schemas.microsoft.com/office/word/2010/wordprocessingShape">
                          <wps:wsp>
                            <wps:cNvSpPr txBox="1"/>
                            <wps:spPr>
                              <a:xfrm>
                                <a:off x="0" y="0"/>
                                <a:ext cx="12960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7">
                      <wp:simplePos x="0" y="0"/>
                      <wp:positionH relativeFrom="character">
                        <wp:align>left</wp:align>
                      </wp:positionH>
                      <wp:positionV relativeFrom="line">
                        <wp:posOffset>635</wp:posOffset>
                      </wp:positionV>
                      <wp:extent cx="207010" cy="175260"/>
                      <wp:effectExtent l="0" t="0" r="0" b="0"/>
                      <wp:wrapNone/>
                      <wp:docPr id="206" name="Frame20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5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8">
                      <wp:simplePos x="0" y="0"/>
                      <wp:positionH relativeFrom="character">
                        <wp:align>left</wp:align>
                      </wp:positionH>
                      <wp:positionV relativeFrom="line">
                        <wp:posOffset>635</wp:posOffset>
                      </wp:positionV>
                      <wp:extent cx="163830" cy="175260"/>
                      <wp:effectExtent l="0" t="0" r="0" b="0"/>
                      <wp:wrapNone/>
                      <wp:docPr id="207" name="Frame207"/>
                      <a:graphic xmlns:a="http://schemas.openxmlformats.org/drawingml/2006/main">
                        <a:graphicData uri="http://schemas.microsoft.com/office/word/2010/wordprocessingShape">
                          <wps:wsp>
                            <wps:cNvSpPr txBox="1"/>
                            <wps:spPr>
                              <a:xfrm>
                                <a:off x="0" y="0"/>
                                <a:ext cx="1638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9">
                      <wp:simplePos x="0" y="0"/>
                      <wp:positionH relativeFrom="character">
                        <wp:align>left</wp:align>
                      </wp:positionH>
                      <wp:positionV relativeFrom="line">
                        <wp:posOffset>635</wp:posOffset>
                      </wp:positionV>
                      <wp:extent cx="443230" cy="175260"/>
                      <wp:effectExtent l="0" t="0" r="0" b="0"/>
                      <wp:wrapNone/>
                      <wp:docPr id="208" name="Frame208"/>
                      <a:graphic xmlns:a="http://schemas.openxmlformats.org/drawingml/2006/main">
                        <a:graphicData uri="http://schemas.microsoft.com/office/word/2010/wordprocessingShape">
                          <wps:wsp>
                            <wps:cNvSpPr txBox="1"/>
                            <wps:spPr>
                              <a:xfrm>
                                <a:off x="0" y="0"/>
                                <a:ext cx="4432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0">
                      <wp:simplePos x="0" y="0"/>
                      <wp:positionH relativeFrom="character">
                        <wp:align>left</wp:align>
                      </wp:positionH>
                      <wp:positionV relativeFrom="line">
                        <wp:posOffset>635</wp:posOffset>
                      </wp:positionV>
                      <wp:extent cx="280035" cy="175260"/>
                      <wp:effectExtent l="0" t="0" r="0" b="0"/>
                      <wp:wrapNone/>
                      <wp:docPr id="209" name="Frame209"/>
                      <a:graphic xmlns:a="http://schemas.openxmlformats.org/drawingml/2006/main">
                        <a:graphicData uri="http://schemas.microsoft.com/office/word/2010/wordprocessingShape">
                          <wps:wsp>
                            <wps:cNvSpPr txBox="1"/>
                            <wps:spPr>
                              <a:xfrm>
                                <a:off x="0" y="0"/>
                                <a:ext cx="2800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5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1">
                      <wp:simplePos x="0" y="0"/>
                      <wp:positionH relativeFrom="character">
                        <wp:align>left</wp:align>
                      </wp:positionH>
                      <wp:positionV relativeFrom="line">
                        <wp:posOffset>635</wp:posOffset>
                      </wp:positionV>
                      <wp:extent cx="163830" cy="175260"/>
                      <wp:effectExtent l="0" t="0" r="0" b="0"/>
                      <wp:wrapNone/>
                      <wp:docPr id="210" name="Frame210"/>
                      <a:graphic xmlns:a="http://schemas.openxmlformats.org/drawingml/2006/main">
                        <a:graphicData uri="http://schemas.microsoft.com/office/word/2010/wordprocessingShape">
                          <wps:wsp>
                            <wps:cNvSpPr txBox="1"/>
                            <wps:spPr>
                              <a:xfrm>
                                <a:off x="0" y="0"/>
                                <a:ext cx="1638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2">
                      <wp:simplePos x="0" y="0"/>
                      <wp:positionH relativeFrom="character">
                        <wp:align>left</wp:align>
                      </wp:positionH>
                      <wp:positionV relativeFrom="line">
                        <wp:posOffset>635</wp:posOffset>
                      </wp:positionV>
                      <wp:extent cx="443230" cy="175260"/>
                      <wp:effectExtent l="0" t="0" r="0" b="0"/>
                      <wp:wrapNone/>
                      <wp:docPr id="211" name="Frame211"/>
                      <a:graphic xmlns:a="http://schemas.openxmlformats.org/drawingml/2006/main">
                        <a:graphicData uri="http://schemas.microsoft.com/office/word/2010/wordprocessingShape">
                          <wps:wsp>
                            <wps:cNvSpPr txBox="1"/>
                            <wps:spPr>
                              <a:xfrm>
                                <a:off x="0" y="0"/>
                                <a:ext cx="4432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3">
                      <wp:simplePos x="0" y="0"/>
                      <wp:positionH relativeFrom="character">
                        <wp:align>left</wp:align>
                      </wp:positionH>
                      <wp:positionV relativeFrom="line">
                        <wp:posOffset>635</wp:posOffset>
                      </wp:positionV>
                      <wp:extent cx="229235" cy="175260"/>
                      <wp:effectExtent l="0" t="0" r="0" b="0"/>
                      <wp:wrapNone/>
                      <wp:docPr id="212" name="Frame212"/>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4">
                      <wp:simplePos x="0" y="0"/>
                      <wp:positionH relativeFrom="character">
                        <wp:align>left</wp:align>
                      </wp:positionH>
                      <wp:positionV relativeFrom="line">
                        <wp:posOffset>635</wp:posOffset>
                      </wp:positionV>
                      <wp:extent cx="133985" cy="175260"/>
                      <wp:effectExtent l="0" t="0" r="0" b="0"/>
                      <wp:wrapNone/>
                      <wp:docPr id="213" name="Frame21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5">
                      <wp:simplePos x="0" y="0"/>
                      <wp:positionH relativeFrom="character">
                        <wp:align>left</wp:align>
                      </wp:positionH>
                      <wp:positionV relativeFrom="line">
                        <wp:posOffset>635</wp:posOffset>
                      </wp:positionV>
                      <wp:extent cx="343535" cy="175260"/>
                      <wp:effectExtent l="0" t="0" r="0" b="0"/>
                      <wp:wrapNone/>
                      <wp:docPr id="214" name="Frame214"/>
                      <a:graphic xmlns:a="http://schemas.openxmlformats.org/drawingml/2006/main">
                        <a:graphicData uri="http://schemas.microsoft.com/office/word/2010/wordprocessingShape">
                          <wps:wsp>
                            <wps:cNvSpPr txBox="1"/>
                            <wps:spPr>
                              <a:xfrm>
                                <a:off x="0" y="0"/>
                                <a:ext cx="3435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6">
                      <wp:simplePos x="0" y="0"/>
                      <wp:positionH relativeFrom="character">
                        <wp:align>left</wp:align>
                      </wp:positionH>
                      <wp:positionV relativeFrom="line">
                        <wp:posOffset>635</wp:posOffset>
                      </wp:positionV>
                      <wp:extent cx="207010" cy="175260"/>
                      <wp:effectExtent l="0" t="0" r="0" b="0"/>
                      <wp:wrapNone/>
                      <wp:docPr id="215" name="Frame21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7">
                      <wp:simplePos x="0" y="0"/>
                      <wp:positionH relativeFrom="character">
                        <wp:align>left</wp:align>
                      </wp:positionH>
                      <wp:positionV relativeFrom="line">
                        <wp:posOffset>635</wp:posOffset>
                      </wp:positionV>
                      <wp:extent cx="553085" cy="175260"/>
                      <wp:effectExtent l="0" t="0" r="0" b="0"/>
                      <wp:wrapNone/>
                      <wp:docPr id="216" name="Frame216"/>
                      <a:graphic xmlns:a="http://schemas.openxmlformats.org/drawingml/2006/main">
                        <a:graphicData uri="http://schemas.microsoft.com/office/word/2010/wordprocessingShape">
                          <wps:wsp>
                            <wps:cNvSpPr txBox="1"/>
                            <wps:spPr>
                              <a:xfrm>
                                <a:off x="0" y="0"/>
                                <a:ext cx="5530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8">
                      <wp:simplePos x="0" y="0"/>
                      <wp:positionH relativeFrom="character">
                        <wp:align>left</wp:align>
                      </wp:positionH>
                      <wp:positionV relativeFrom="line">
                        <wp:posOffset>635</wp:posOffset>
                      </wp:positionV>
                      <wp:extent cx="181610" cy="175260"/>
                      <wp:effectExtent l="0" t="0" r="0" b="0"/>
                      <wp:wrapNone/>
                      <wp:docPr id="217" name="Frame217"/>
                      <a:graphic xmlns:a="http://schemas.openxmlformats.org/drawingml/2006/main">
                        <a:graphicData uri="http://schemas.microsoft.com/office/word/2010/wordprocessingShape">
                          <wps:wsp>
                            <wps:cNvSpPr txBox="1"/>
                            <wps:spPr>
                              <a:xfrm>
                                <a:off x="0" y="0"/>
                                <a:ext cx="181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04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2353"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Three months ended March 31,</w:t>
            </w:r>
          </w:p>
        </w:tc>
        <w:tc>
          <w:tcPr>
            <w:tcW w:w="361"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center"/>
              <w:rPr/>
            </w:pPr>
            <w:r>
              <w:rPr/>
              <w:t>  </w:t>
            </w:r>
          </w:p>
        </w:tc>
        <w:tc>
          <w:tcPr>
            <w:tcW w:w="54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    </w:t>
            </w:r>
          </w:p>
        </w:tc>
        <w:tc>
          <w:tcPr>
            <w:tcW w:w="871" w:type="dxa"/>
            <w:tcBorders/>
            <w:vAlign w:val="center"/>
          </w:tcPr>
          <w:p>
            <w:pPr>
              <w:pStyle w:val="TableContents"/>
              <w:bidi w:val="0"/>
              <w:spacing w:before="0" w:after="0"/>
              <w:ind w:left="0" w:right="0" w:hanging="0"/>
              <w:jc w:val="center"/>
              <w:rPr/>
            </w:pPr>
            <w:r>
              <w:rPr/>
              <w:t>  </w:t>
            </w:r>
          </w:p>
        </w:tc>
        <w:tc>
          <w:tcPr>
            <w:tcW w:w="286" w:type="dxa"/>
            <w:tcBorders/>
            <w:vAlign w:val="center"/>
          </w:tcPr>
          <w:p>
            <w:pPr>
              <w:pStyle w:val="TableContents"/>
              <w:bidi w:val="0"/>
              <w:spacing w:before="0" w:after="0"/>
              <w:ind w:left="0" w:right="0" w:hanging="0"/>
              <w:jc w:val="center"/>
              <w:rPr/>
            </w:pPr>
            <w:r>
              <w:rPr/>
              <w:t> </w:t>
            </w:r>
          </w:p>
        </w:tc>
      </w:tr>
      <w:tr>
        <w:trPr/>
        <w:tc>
          <w:tcPr>
            <w:tcW w:w="204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95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441" w:type="dxa"/>
            <w:tcBorders/>
            <w:vAlign w:val="center"/>
          </w:tcPr>
          <w:p>
            <w:pPr>
              <w:pStyle w:val="TableContents"/>
              <w:bidi w:val="0"/>
              <w:spacing w:before="0" w:after="0"/>
              <w:ind w:left="0" w:right="0" w:hanging="0"/>
              <w:jc w:val="left"/>
              <w:rPr/>
            </w:pPr>
            <w:r>
              <w:rPr/>
              <w:t>    </w:t>
            </w:r>
          </w:p>
        </w:tc>
        <w:tc>
          <w:tcPr>
            <w:tcW w:w="95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61" w:type="dxa"/>
            <w:tcBorders/>
            <w:vAlign w:val="center"/>
          </w:tcPr>
          <w:p>
            <w:pPr>
              <w:pStyle w:val="TableContents"/>
              <w:bidi w:val="0"/>
              <w:spacing w:before="0" w:after="0"/>
              <w:ind w:left="0" w:right="0" w:hanging="0"/>
              <w:jc w:val="left"/>
              <w:rPr/>
            </w:pPr>
            <w:r>
              <w:rPr/>
              <w:t>    </w:t>
            </w:r>
          </w:p>
        </w:tc>
        <w:tc>
          <w:tcPr>
            <w:tcW w:w="75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$Change</w:t>
            </w:r>
          </w:p>
        </w:tc>
        <w:tc>
          <w:tcPr>
            <w:tcW w:w="326" w:type="dxa"/>
            <w:tcBorders/>
            <w:vAlign w:val="center"/>
          </w:tcPr>
          <w:p>
            <w:pPr>
              <w:pStyle w:val="TableContents"/>
              <w:bidi w:val="0"/>
              <w:spacing w:before="0" w:after="0"/>
              <w:ind w:left="0" w:right="0" w:hanging="0"/>
              <w:jc w:val="left"/>
              <w:rPr/>
            </w:pPr>
            <w:r>
              <w:rPr/>
              <w:t>    </w:t>
            </w:r>
          </w:p>
        </w:tc>
        <w:tc>
          <w:tcPr>
            <w:tcW w:w="87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Change</w:t>
            </w:r>
          </w:p>
        </w:tc>
        <w:tc>
          <w:tcPr>
            <w:tcW w:w="286" w:type="dxa"/>
            <w:tcBorders/>
            <w:vAlign w:val="center"/>
          </w:tcPr>
          <w:p>
            <w:pPr>
              <w:pStyle w:val="TableContents"/>
              <w:bidi w:val="0"/>
              <w:spacing w:before="0" w:after="0"/>
              <w:ind w:left="0" w:right="0" w:hanging="0"/>
              <w:jc w:val="center"/>
              <w:rPr/>
            </w:pPr>
            <w:r>
              <w:rPr/>
              <w:t> </w:t>
            </w:r>
          </w:p>
        </w:tc>
      </w:tr>
      <w:tr>
        <w:trPr/>
        <w:tc>
          <w:tcPr>
            <w:tcW w:w="204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Sales and marketing</w:t>
            </w:r>
          </w:p>
        </w:tc>
        <w:tc>
          <w:tcPr>
            <w:tcW w:w="326" w:type="dxa"/>
            <w:tcBorders/>
            <w:shd w:fill="CCEEFF" w:val="clear"/>
            <w:vAlign w:val="center"/>
          </w:tcPr>
          <w:p>
            <w:pPr>
              <w:pStyle w:val="TableContents"/>
              <w:bidi w:val="0"/>
              <w:spacing w:before="0" w:after="0"/>
              <w:ind w:left="0" w:right="0" w:hanging="0"/>
              <w:jc w:val="left"/>
              <w:rPr/>
            </w:pPr>
            <w:r>
              <w:rPr/>
              <w:t>​</w:t>
            </w:r>
          </w:p>
        </w:tc>
        <w:tc>
          <w:tcPr>
            <w:tcW w:w="25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873</w:t>
            </w:r>
          </w:p>
        </w:tc>
        <w:tc>
          <w:tcPr>
            <w:tcW w:w="441" w:type="dxa"/>
            <w:tcBorders/>
            <w:shd w:fill="CCEEFF" w:val="clear"/>
            <w:vAlign w:val="center"/>
          </w:tcPr>
          <w:p>
            <w:pPr>
              <w:pStyle w:val="TableContents"/>
              <w:bidi w:val="0"/>
              <w:spacing w:before="0" w:after="0"/>
              <w:ind w:left="0" w:right="0" w:hanging="0"/>
              <w:jc w:val="left"/>
              <w:rPr/>
            </w:pPr>
            <w:r>
              <w:rPr/>
              <w:t>​</w:t>
            </w:r>
          </w:p>
        </w:tc>
        <w:tc>
          <w:tcPr>
            <w:tcW w:w="25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1,212</w:t>
            </w:r>
          </w:p>
        </w:tc>
        <w:tc>
          <w:tcPr>
            <w:tcW w:w="361"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(339)</w:t>
            </w:r>
          </w:p>
        </w:tc>
        <w:tc>
          <w:tcPr>
            <w:tcW w:w="326" w:type="dxa"/>
            <w:tcBorders/>
            <w:shd w:fill="CCEEFF" w:val="clear"/>
            <w:vAlign w:val="center"/>
          </w:tcPr>
          <w:p>
            <w:pPr>
              <w:pStyle w:val="TableContents"/>
              <w:bidi w:val="0"/>
              <w:spacing w:before="0" w:after="0"/>
              <w:ind w:left="0" w:right="0" w:hanging="0"/>
              <w:jc w:val="left"/>
              <w:rPr/>
            </w:pPr>
            <w:r>
              <w:rPr/>
              <w:t> </w:t>
            </w:r>
          </w:p>
        </w:tc>
        <w:tc>
          <w:tcPr>
            <w:tcW w:w="8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w:t>
            </w:r>
          </w:p>
        </w:tc>
        <w:tc>
          <w:tcPr>
            <w:tcW w:w="286" w:type="dxa"/>
            <w:tcBorders/>
            <w:shd w:fill="CCEEFF" w:val="clear"/>
            <w:vAlign w:val="center"/>
          </w:tcPr>
          <w:p>
            <w:pPr>
              <w:pStyle w:val="TableContents"/>
              <w:bidi w:val="0"/>
              <w:spacing w:before="0" w:after="0"/>
              <w:ind w:left="0" w:right="0" w:hanging="0"/>
              <w:jc w:val="left"/>
              <w:rPr>
                <w:rFonts w:ascii="Calibri;Helvetica;sans-serif" w:hAnsi="Calibri;Helvetica;sans-serif"/>
                <w:sz w:val="20"/>
              </w:rPr>
            </w:pPr>
            <w:r>
              <w:rPr>
                <w:rFonts w:ascii="Calibri;Helvetica;sans-serif" w:hAnsi="Calibri;Helvetica;sans-serif"/>
                <w:sz w:val="20"/>
              </w:rPr>
              <w:t>%</w:t>
            </w:r>
          </w:p>
        </w:tc>
      </w:tr>
      <w:tr>
        <w:trPr/>
        <w:tc>
          <w:tcPr>
            <w:tcW w:w="20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Percent of total revenue</w:t>
            </w:r>
          </w:p>
        </w:tc>
        <w:tc>
          <w:tcPr>
            <w:tcW w:w="326" w:type="dxa"/>
            <w:tcBorders/>
            <w:vAlign w:val="center"/>
          </w:tcPr>
          <w:p>
            <w:pPr>
              <w:pStyle w:val="TableContents"/>
              <w:bidi w:val="0"/>
              <w:spacing w:before="0" w:after="0"/>
              <w:ind w:left="0" w:right="0" w:hanging="0"/>
              <w:jc w:val="left"/>
              <w:rPr/>
            </w:pPr>
            <w:r>
              <w:rPr/>
              <w:t>​</w:t>
            </w:r>
          </w:p>
        </w:tc>
        <w:tc>
          <w:tcPr>
            <w:tcW w:w="258" w:type="dxa"/>
            <w:tcBorders/>
            <w:vAlign w:val="center"/>
          </w:tcPr>
          <w:p>
            <w:pPr>
              <w:pStyle w:val="TableContents"/>
              <w:bidi w:val="0"/>
              <w:spacing w:before="0" w:after="0"/>
              <w:ind w:left="0" w:right="0" w:hanging="0"/>
              <w:jc w:val="left"/>
              <w:rPr/>
            </w:pPr>
            <w:r>
              <w:rPr/>
              <w:t> </w:t>
            </w:r>
          </w:p>
        </w:tc>
        <w:tc>
          <w:tcPr>
            <w:tcW w:w="69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1,364</w:t>
            </w:r>
          </w:p>
        </w:tc>
        <w:tc>
          <w:tcPr>
            <w:tcW w:w="4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258" w:type="dxa"/>
            <w:tcBorders/>
            <w:vAlign w:val="center"/>
          </w:tcPr>
          <w:p>
            <w:pPr>
              <w:pStyle w:val="TableContents"/>
              <w:bidi w:val="0"/>
              <w:spacing w:before="0" w:after="0"/>
              <w:ind w:left="0" w:right="0" w:hanging="0"/>
              <w:jc w:val="left"/>
              <w:rPr/>
            </w:pPr>
            <w:r>
              <w:rPr/>
              <w:t> </w:t>
            </w:r>
          </w:p>
        </w:tc>
        <w:tc>
          <w:tcPr>
            <w:tcW w:w="69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1,249</w:t>
            </w:r>
          </w:p>
        </w:tc>
        <w:tc>
          <w:tcPr>
            <w:tcW w:w="3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211" w:type="dxa"/>
            <w:tcBorders/>
            <w:vAlign w:val="center"/>
          </w:tcPr>
          <w:p>
            <w:pPr>
              <w:pStyle w:val="TableContents"/>
              <w:bidi w:val="0"/>
              <w:spacing w:before="0" w:after="0"/>
              <w:ind w:left="0" w:right="0" w:hanging="0"/>
              <w:jc w:val="left"/>
              <w:rPr/>
            </w:pPr>
            <w:r>
              <w:rPr/>
              <w:t> </w:t>
            </w:r>
          </w:p>
        </w:tc>
        <w:tc>
          <w:tcPr>
            <w:tcW w:w="541" w:type="dxa"/>
            <w:tcBorders/>
            <w:vAlign w:val="center"/>
          </w:tcPr>
          <w:p>
            <w:pPr>
              <w:pStyle w:val="TableContents"/>
              <w:bidi w:val="0"/>
              <w:spacing w:before="0" w:after="0"/>
              <w:ind w:left="0" w:right="0" w:hanging="0"/>
              <w:jc w:val="right"/>
              <w:rPr/>
            </w:pPr>
            <w:r>
              <w:rPr/>
              <w:t>  </w:t>
            </w:r>
          </w:p>
        </w:tc>
        <w:tc>
          <w:tcPr>
            <w:tcW w:w="326" w:type="dxa"/>
            <w:tcBorders/>
            <w:vAlign w:val="center"/>
          </w:tcPr>
          <w:p>
            <w:pPr>
              <w:pStyle w:val="TableContents"/>
              <w:bidi w:val="0"/>
              <w:spacing w:before="0" w:after="0"/>
              <w:ind w:left="0" w:right="0" w:hanging="0"/>
              <w:jc w:val="left"/>
              <w:rPr/>
            </w:pPr>
            <w:r>
              <w:rPr/>
              <w:t> </w:t>
            </w:r>
          </w:p>
        </w:tc>
        <w:tc>
          <w:tcPr>
            <w:tcW w:w="871" w:type="dxa"/>
            <w:tcBorders/>
            <w:vAlign w:val="center"/>
          </w:tcPr>
          <w:p>
            <w:pPr>
              <w:pStyle w:val="TableContents"/>
              <w:bidi w:val="0"/>
              <w:spacing w:before="0" w:after="0"/>
              <w:ind w:left="0" w:right="0" w:hanging="0"/>
              <w:jc w:val="right"/>
              <w:rPr/>
            </w:pPr>
            <w:r>
              <w:rPr/>
              <w:t>  </w:t>
            </w:r>
          </w:p>
        </w:tc>
        <w:tc>
          <w:tcPr>
            <w:tcW w:w="286"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Sales and marketing costs for the three months ended March 31, 2024 and 2023 were $0.9 million and $1.2 million, respectively. The decrease of $0.3 million is primarily due to a $0.2 million decrease in payroll costs, a $0.1 million decrease in stock-based compensation and a $0.1 million decrease in marketing, tradeshow and public relations costs, partially offset by a $0.1 million increase in consulting expenses.</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General and Administrative Expenses:</w:t>
      </w:r>
    </w:p>
    <w:p>
      <w:pPr>
        <w:pStyle w:val="TextBody"/>
        <w:bidi w:val="0"/>
        <w:spacing w:before="0" w:after="0"/>
        <w:ind w:left="0" w:right="0" w:hanging="0"/>
        <w:jc w:val="left"/>
        <w:rPr/>
      </w:pPr>
      <w:r>
        <w:rPr/>
        <w:t>​</w:t>
      </w:r>
    </w:p>
    <w:tbl>
      <w:tblPr>
        <w:tblW w:w="7586" w:type="dxa"/>
        <w:jc w:val="left"/>
        <w:tblInd w:w="0" w:type="dxa"/>
        <w:tblLayout w:type="fixed"/>
        <w:tblCellMar>
          <w:top w:w="0" w:type="dxa"/>
          <w:left w:w="0" w:type="dxa"/>
          <w:bottom w:w="0" w:type="dxa"/>
          <w:right w:w="0" w:type="dxa"/>
        </w:tblCellMar>
      </w:tblPr>
      <w:tblGrid>
        <w:gridCol w:w="2311"/>
        <w:gridCol w:w="326"/>
        <w:gridCol w:w="258"/>
        <w:gridCol w:w="698"/>
        <w:gridCol w:w="441"/>
        <w:gridCol w:w="258"/>
        <w:gridCol w:w="698"/>
        <w:gridCol w:w="361"/>
        <w:gridCol w:w="211"/>
        <w:gridCol w:w="541"/>
        <w:gridCol w:w="326"/>
        <w:gridCol w:w="871"/>
        <w:gridCol w:w="286"/>
      </w:tblGrid>
      <w:tr>
        <w:trPr/>
        <w:tc>
          <w:tcPr>
            <w:tcW w:w="23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9">
                      <wp:simplePos x="0" y="0"/>
                      <wp:positionH relativeFrom="character">
                        <wp:align>left</wp:align>
                      </wp:positionH>
                      <wp:positionV relativeFrom="line">
                        <wp:posOffset>635</wp:posOffset>
                      </wp:positionV>
                      <wp:extent cx="1467485" cy="175260"/>
                      <wp:effectExtent l="0" t="0" r="0" b="0"/>
                      <wp:wrapNone/>
                      <wp:docPr id="218" name="Frame218"/>
                      <a:graphic xmlns:a="http://schemas.openxmlformats.org/drawingml/2006/main">
                        <a:graphicData uri="http://schemas.microsoft.com/office/word/2010/wordprocessingShape">
                          <wps:wsp>
                            <wps:cNvSpPr txBox="1"/>
                            <wps:spPr>
                              <a:xfrm>
                                <a:off x="0" y="0"/>
                                <a:ext cx="14674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0">
                      <wp:simplePos x="0" y="0"/>
                      <wp:positionH relativeFrom="character">
                        <wp:align>left</wp:align>
                      </wp:positionH>
                      <wp:positionV relativeFrom="line">
                        <wp:posOffset>635</wp:posOffset>
                      </wp:positionV>
                      <wp:extent cx="207010" cy="175260"/>
                      <wp:effectExtent l="0" t="0" r="0" b="0"/>
                      <wp:wrapNone/>
                      <wp:docPr id="219" name="Frame21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5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1">
                      <wp:simplePos x="0" y="0"/>
                      <wp:positionH relativeFrom="character">
                        <wp:align>left</wp:align>
                      </wp:positionH>
                      <wp:positionV relativeFrom="line">
                        <wp:posOffset>635</wp:posOffset>
                      </wp:positionV>
                      <wp:extent cx="163830" cy="175260"/>
                      <wp:effectExtent l="0" t="0" r="0" b="0"/>
                      <wp:wrapNone/>
                      <wp:docPr id="220" name="Frame220"/>
                      <a:graphic xmlns:a="http://schemas.openxmlformats.org/drawingml/2006/main">
                        <a:graphicData uri="http://schemas.microsoft.com/office/word/2010/wordprocessingShape">
                          <wps:wsp>
                            <wps:cNvSpPr txBox="1"/>
                            <wps:spPr>
                              <a:xfrm>
                                <a:off x="0" y="0"/>
                                <a:ext cx="1638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2">
                      <wp:simplePos x="0" y="0"/>
                      <wp:positionH relativeFrom="character">
                        <wp:align>left</wp:align>
                      </wp:positionH>
                      <wp:positionV relativeFrom="line">
                        <wp:posOffset>635</wp:posOffset>
                      </wp:positionV>
                      <wp:extent cx="443230" cy="175260"/>
                      <wp:effectExtent l="0" t="0" r="0" b="0"/>
                      <wp:wrapNone/>
                      <wp:docPr id="221" name="Frame221"/>
                      <a:graphic xmlns:a="http://schemas.openxmlformats.org/drawingml/2006/main">
                        <a:graphicData uri="http://schemas.microsoft.com/office/word/2010/wordprocessingShape">
                          <wps:wsp>
                            <wps:cNvSpPr txBox="1"/>
                            <wps:spPr>
                              <a:xfrm>
                                <a:off x="0" y="0"/>
                                <a:ext cx="4432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3">
                      <wp:simplePos x="0" y="0"/>
                      <wp:positionH relativeFrom="character">
                        <wp:align>left</wp:align>
                      </wp:positionH>
                      <wp:positionV relativeFrom="line">
                        <wp:posOffset>635</wp:posOffset>
                      </wp:positionV>
                      <wp:extent cx="280035" cy="175260"/>
                      <wp:effectExtent l="0" t="0" r="0" b="0"/>
                      <wp:wrapNone/>
                      <wp:docPr id="222" name="Frame222"/>
                      <a:graphic xmlns:a="http://schemas.openxmlformats.org/drawingml/2006/main">
                        <a:graphicData uri="http://schemas.microsoft.com/office/word/2010/wordprocessingShape">
                          <wps:wsp>
                            <wps:cNvSpPr txBox="1"/>
                            <wps:spPr>
                              <a:xfrm>
                                <a:off x="0" y="0"/>
                                <a:ext cx="2800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5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4">
                      <wp:simplePos x="0" y="0"/>
                      <wp:positionH relativeFrom="character">
                        <wp:align>left</wp:align>
                      </wp:positionH>
                      <wp:positionV relativeFrom="line">
                        <wp:posOffset>635</wp:posOffset>
                      </wp:positionV>
                      <wp:extent cx="163830" cy="175260"/>
                      <wp:effectExtent l="0" t="0" r="0" b="0"/>
                      <wp:wrapNone/>
                      <wp:docPr id="223" name="Frame223"/>
                      <a:graphic xmlns:a="http://schemas.openxmlformats.org/drawingml/2006/main">
                        <a:graphicData uri="http://schemas.microsoft.com/office/word/2010/wordprocessingShape">
                          <wps:wsp>
                            <wps:cNvSpPr txBox="1"/>
                            <wps:spPr>
                              <a:xfrm>
                                <a:off x="0" y="0"/>
                                <a:ext cx="1638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5">
                      <wp:simplePos x="0" y="0"/>
                      <wp:positionH relativeFrom="character">
                        <wp:align>left</wp:align>
                      </wp:positionH>
                      <wp:positionV relativeFrom="line">
                        <wp:posOffset>635</wp:posOffset>
                      </wp:positionV>
                      <wp:extent cx="443230" cy="175260"/>
                      <wp:effectExtent l="0" t="0" r="0" b="0"/>
                      <wp:wrapNone/>
                      <wp:docPr id="224" name="Frame224"/>
                      <a:graphic xmlns:a="http://schemas.openxmlformats.org/drawingml/2006/main">
                        <a:graphicData uri="http://schemas.microsoft.com/office/word/2010/wordprocessingShape">
                          <wps:wsp>
                            <wps:cNvSpPr txBox="1"/>
                            <wps:spPr>
                              <a:xfrm>
                                <a:off x="0" y="0"/>
                                <a:ext cx="4432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6">
                      <wp:simplePos x="0" y="0"/>
                      <wp:positionH relativeFrom="character">
                        <wp:align>left</wp:align>
                      </wp:positionH>
                      <wp:positionV relativeFrom="line">
                        <wp:posOffset>635</wp:posOffset>
                      </wp:positionV>
                      <wp:extent cx="229235" cy="175260"/>
                      <wp:effectExtent l="0" t="0" r="0" b="0"/>
                      <wp:wrapNone/>
                      <wp:docPr id="225" name="Frame225"/>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7">
                      <wp:simplePos x="0" y="0"/>
                      <wp:positionH relativeFrom="character">
                        <wp:align>left</wp:align>
                      </wp:positionH>
                      <wp:positionV relativeFrom="line">
                        <wp:posOffset>635</wp:posOffset>
                      </wp:positionV>
                      <wp:extent cx="133985" cy="175260"/>
                      <wp:effectExtent l="0" t="0" r="0" b="0"/>
                      <wp:wrapNone/>
                      <wp:docPr id="226" name="Frame22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8">
                      <wp:simplePos x="0" y="0"/>
                      <wp:positionH relativeFrom="character">
                        <wp:align>left</wp:align>
                      </wp:positionH>
                      <wp:positionV relativeFrom="line">
                        <wp:posOffset>635</wp:posOffset>
                      </wp:positionV>
                      <wp:extent cx="343535" cy="175260"/>
                      <wp:effectExtent l="0" t="0" r="0" b="0"/>
                      <wp:wrapNone/>
                      <wp:docPr id="227" name="Frame227"/>
                      <a:graphic xmlns:a="http://schemas.openxmlformats.org/drawingml/2006/main">
                        <a:graphicData uri="http://schemas.microsoft.com/office/word/2010/wordprocessingShape">
                          <wps:wsp>
                            <wps:cNvSpPr txBox="1"/>
                            <wps:spPr>
                              <a:xfrm>
                                <a:off x="0" y="0"/>
                                <a:ext cx="3435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9">
                      <wp:simplePos x="0" y="0"/>
                      <wp:positionH relativeFrom="character">
                        <wp:align>left</wp:align>
                      </wp:positionH>
                      <wp:positionV relativeFrom="line">
                        <wp:posOffset>635</wp:posOffset>
                      </wp:positionV>
                      <wp:extent cx="207010" cy="175260"/>
                      <wp:effectExtent l="0" t="0" r="0" b="0"/>
                      <wp:wrapNone/>
                      <wp:docPr id="228" name="Frame22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0">
                      <wp:simplePos x="0" y="0"/>
                      <wp:positionH relativeFrom="character">
                        <wp:align>left</wp:align>
                      </wp:positionH>
                      <wp:positionV relativeFrom="line">
                        <wp:posOffset>635</wp:posOffset>
                      </wp:positionV>
                      <wp:extent cx="553085" cy="175260"/>
                      <wp:effectExtent l="0" t="0" r="0" b="0"/>
                      <wp:wrapNone/>
                      <wp:docPr id="229" name="Frame229"/>
                      <a:graphic xmlns:a="http://schemas.openxmlformats.org/drawingml/2006/main">
                        <a:graphicData uri="http://schemas.microsoft.com/office/word/2010/wordprocessingShape">
                          <wps:wsp>
                            <wps:cNvSpPr txBox="1"/>
                            <wps:spPr>
                              <a:xfrm>
                                <a:off x="0" y="0"/>
                                <a:ext cx="5530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1">
                      <wp:simplePos x="0" y="0"/>
                      <wp:positionH relativeFrom="character">
                        <wp:align>left</wp:align>
                      </wp:positionH>
                      <wp:positionV relativeFrom="line">
                        <wp:posOffset>635</wp:posOffset>
                      </wp:positionV>
                      <wp:extent cx="181610" cy="175260"/>
                      <wp:effectExtent l="0" t="0" r="0" b="0"/>
                      <wp:wrapNone/>
                      <wp:docPr id="230" name="Frame230"/>
                      <a:graphic xmlns:a="http://schemas.openxmlformats.org/drawingml/2006/main">
                        <a:graphicData uri="http://schemas.microsoft.com/office/word/2010/wordprocessingShape">
                          <wps:wsp>
                            <wps:cNvSpPr txBox="1"/>
                            <wps:spPr>
                              <a:xfrm>
                                <a:off x="0" y="0"/>
                                <a:ext cx="181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31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2353"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Three months ended March 31,</w:t>
            </w:r>
          </w:p>
        </w:tc>
        <w:tc>
          <w:tcPr>
            <w:tcW w:w="361"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54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    </w:t>
            </w:r>
          </w:p>
        </w:tc>
        <w:tc>
          <w:tcPr>
            <w:tcW w:w="871" w:type="dxa"/>
            <w:tcBorders/>
            <w:vAlign w:val="center"/>
          </w:tcPr>
          <w:p>
            <w:pPr>
              <w:pStyle w:val="TableContents"/>
              <w:bidi w:val="0"/>
              <w:spacing w:before="0" w:after="0"/>
              <w:ind w:left="0" w:right="0" w:hanging="0"/>
              <w:jc w:val="center"/>
              <w:rPr/>
            </w:pPr>
            <w:r>
              <w:rPr/>
              <w:t>  </w:t>
            </w:r>
          </w:p>
        </w:tc>
        <w:tc>
          <w:tcPr>
            <w:tcW w:w="286" w:type="dxa"/>
            <w:tcBorders/>
            <w:vAlign w:val="center"/>
          </w:tcPr>
          <w:p>
            <w:pPr>
              <w:pStyle w:val="TableContents"/>
              <w:bidi w:val="0"/>
              <w:spacing w:before="0" w:after="0"/>
              <w:ind w:left="0" w:right="0" w:hanging="0"/>
              <w:jc w:val="left"/>
              <w:rPr/>
            </w:pPr>
            <w:r>
              <w:rPr/>
              <w:t> </w:t>
            </w:r>
          </w:p>
        </w:tc>
      </w:tr>
      <w:tr>
        <w:trPr/>
        <w:tc>
          <w:tcPr>
            <w:tcW w:w="231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95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441" w:type="dxa"/>
            <w:tcBorders/>
            <w:vAlign w:val="center"/>
          </w:tcPr>
          <w:p>
            <w:pPr>
              <w:pStyle w:val="TableContents"/>
              <w:bidi w:val="0"/>
              <w:spacing w:before="0" w:after="0"/>
              <w:ind w:left="0" w:right="0" w:hanging="0"/>
              <w:jc w:val="left"/>
              <w:rPr/>
            </w:pPr>
            <w:r>
              <w:rPr/>
              <w:t>    </w:t>
            </w:r>
          </w:p>
        </w:tc>
        <w:tc>
          <w:tcPr>
            <w:tcW w:w="95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61" w:type="dxa"/>
            <w:tcBorders/>
            <w:vAlign w:val="center"/>
          </w:tcPr>
          <w:p>
            <w:pPr>
              <w:pStyle w:val="TableContents"/>
              <w:bidi w:val="0"/>
              <w:spacing w:before="0" w:after="0"/>
              <w:ind w:left="0" w:right="0" w:hanging="0"/>
              <w:jc w:val="left"/>
              <w:rPr/>
            </w:pPr>
            <w:r>
              <w:rPr/>
              <w:t>    </w:t>
            </w:r>
          </w:p>
        </w:tc>
        <w:tc>
          <w:tcPr>
            <w:tcW w:w="75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$Change</w:t>
            </w:r>
          </w:p>
        </w:tc>
        <w:tc>
          <w:tcPr>
            <w:tcW w:w="326" w:type="dxa"/>
            <w:tcBorders/>
            <w:vAlign w:val="center"/>
          </w:tcPr>
          <w:p>
            <w:pPr>
              <w:pStyle w:val="TableContents"/>
              <w:bidi w:val="0"/>
              <w:spacing w:before="0" w:after="0"/>
              <w:ind w:left="0" w:right="0" w:hanging="0"/>
              <w:jc w:val="left"/>
              <w:rPr/>
            </w:pPr>
            <w:r>
              <w:rPr/>
              <w:t>    </w:t>
            </w:r>
          </w:p>
        </w:tc>
        <w:tc>
          <w:tcPr>
            <w:tcW w:w="87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Change</w:t>
            </w:r>
          </w:p>
        </w:tc>
        <w:tc>
          <w:tcPr>
            <w:tcW w:w="286" w:type="dxa"/>
            <w:tcBorders/>
            <w:vAlign w:val="center"/>
          </w:tcPr>
          <w:p>
            <w:pPr>
              <w:pStyle w:val="TableContents"/>
              <w:bidi w:val="0"/>
              <w:spacing w:before="0" w:after="0"/>
              <w:ind w:left="0" w:right="0" w:hanging="0"/>
              <w:jc w:val="left"/>
              <w:rPr/>
            </w:pPr>
            <w:r>
              <w:rPr/>
              <w:t> </w:t>
            </w:r>
          </w:p>
        </w:tc>
      </w:tr>
      <w:tr>
        <w:trPr/>
        <w:tc>
          <w:tcPr>
            <w:tcW w:w="23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General and administrative</w:t>
            </w:r>
          </w:p>
        </w:tc>
        <w:tc>
          <w:tcPr>
            <w:tcW w:w="326" w:type="dxa"/>
            <w:tcBorders/>
            <w:shd w:fill="CCEEFF" w:val="clear"/>
            <w:vAlign w:val="center"/>
          </w:tcPr>
          <w:p>
            <w:pPr>
              <w:pStyle w:val="TableContents"/>
              <w:bidi w:val="0"/>
              <w:spacing w:before="0" w:after="0"/>
              <w:ind w:left="0" w:right="0" w:hanging="0"/>
              <w:jc w:val="left"/>
              <w:rPr/>
            </w:pPr>
            <w:r>
              <w:rPr/>
              <w:t>​</w:t>
            </w:r>
          </w:p>
        </w:tc>
        <w:tc>
          <w:tcPr>
            <w:tcW w:w="25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1,835</w:t>
            </w:r>
          </w:p>
        </w:tc>
        <w:tc>
          <w:tcPr>
            <w:tcW w:w="441" w:type="dxa"/>
            <w:tcBorders/>
            <w:shd w:fill="CCEEFF" w:val="clear"/>
            <w:vAlign w:val="center"/>
          </w:tcPr>
          <w:p>
            <w:pPr>
              <w:pStyle w:val="TableContents"/>
              <w:bidi w:val="0"/>
              <w:spacing w:before="0" w:after="0"/>
              <w:ind w:left="0" w:right="0" w:hanging="0"/>
              <w:jc w:val="left"/>
              <w:rPr/>
            </w:pPr>
            <w:r>
              <w:rPr/>
              <w:t>​</w:t>
            </w:r>
          </w:p>
        </w:tc>
        <w:tc>
          <w:tcPr>
            <w:tcW w:w="25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1,961</w:t>
            </w:r>
          </w:p>
        </w:tc>
        <w:tc>
          <w:tcPr>
            <w:tcW w:w="361"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(126)</w:t>
            </w:r>
          </w:p>
        </w:tc>
        <w:tc>
          <w:tcPr>
            <w:tcW w:w="326" w:type="dxa"/>
            <w:tcBorders/>
            <w:shd w:fill="CCEEFF" w:val="clear"/>
            <w:vAlign w:val="center"/>
          </w:tcPr>
          <w:p>
            <w:pPr>
              <w:pStyle w:val="TableContents"/>
              <w:bidi w:val="0"/>
              <w:spacing w:before="0" w:after="0"/>
              <w:ind w:left="0" w:right="0" w:hanging="0"/>
              <w:jc w:val="left"/>
              <w:rPr/>
            </w:pPr>
            <w:r>
              <w:rPr/>
              <w:t> </w:t>
            </w:r>
          </w:p>
        </w:tc>
        <w:tc>
          <w:tcPr>
            <w:tcW w:w="8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w:t>
            </w:r>
          </w:p>
        </w:tc>
        <w:tc>
          <w:tcPr>
            <w:tcW w:w="286" w:type="dxa"/>
            <w:tcBorders/>
            <w:shd w:fill="CCEEFF" w:val="clear"/>
            <w:vAlign w:val="center"/>
          </w:tcPr>
          <w:p>
            <w:pPr>
              <w:pStyle w:val="TableContents"/>
              <w:bidi w:val="0"/>
              <w:spacing w:before="0" w:after="0"/>
              <w:ind w:left="0" w:right="0" w:hanging="0"/>
              <w:jc w:val="left"/>
              <w:rPr>
                <w:rFonts w:ascii="Calibri;Helvetica;sans-serif" w:hAnsi="Calibri;Helvetica;sans-serif"/>
                <w:sz w:val="20"/>
              </w:rPr>
            </w:pPr>
            <w:r>
              <w:rPr>
                <w:rFonts w:ascii="Calibri;Helvetica;sans-serif" w:hAnsi="Calibri;Helvetica;sans-serif"/>
                <w:sz w:val="20"/>
              </w:rPr>
              <w:t>%</w:t>
            </w:r>
          </w:p>
        </w:tc>
      </w:tr>
      <w:tr>
        <w:trPr/>
        <w:tc>
          <w:tcPr>
            <w:tcW w:w="23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Percent of total revenue</w:t>
            </w:r>
          </w:p>
        </w:tc>
        <w:tc>
          <w:tcPr>
            <w:tcW w:w="326" w:type="dxa"/>
            <w:tcBorders/>
            <w:vAlign w:val="center"/>
          </w:tcPr>
          <w:p>
            <w:pPr>
              <w:pStyle w:val="TableContents"/>
              <w:bidi w:val="0"/>
              <w:spacing w:before="0" w:after="0"/>
              <w:ind w:left="0" w:right="0" w:hanging="0"/>
              <w:jc w:val="left"/>
              <w:rPr/>
            </w:pPr>
            <w:r>
              <w:rPr/>
              <w:t>​</w:t>
            </w:r>
          </w:p>
        </w:tc>
        <w:tc>
          <w:tcPr>
            <w:tcW w:w="258" w:type="dxa"/>
            <w:tcBorders/>
            <w:vAlign w:val="center"/>
          </w:tcPr>
          <w:p>
            <w:pPr>
              <w:pStyle w:val="TableContents"/>
              <w:bidi w:val="0"/>
              <w:spacing w:before="0" w:after="0"/>
              <w:ind w:left="0" w:right="0" w:hanging="0"/>
              <w:jc w:val="left"/>
              <w:rPr/>
            </w:pPr>
            <w:r>
              <w:rPr/>
              <w:t> </w:t>
            </w:r>
          </w:p>
        </w:tc>
        <w:tc>
          <w:tcPr>
            <w:tcW w:w="69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2,867</w:t>
            </w:r>
          </w:p>
        </w:tc>
        <w:tc>
          <w:tcPr>
            <w:tcW w:w="4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258" w:type="dxa"/>
            <w:tcBorders/>
            <w:vAlign w:val="center"/>
          </w:tcPr>
          <w:p>
            <w:pPr>
              <w:pStyle w:val="TableContents"/>
              <w:bidi w:val="0"/>
              <w:spacing w:before="0" w:after="0"/>
              <w:ind w:left="0" w:right="0" w:hanging="0"/>
              <w:jc w:val="left"/>
              <w:rPr/>
            </w:pPr>
            <w:r>
              <w:rPr/>
              <w:t> </w:t>
            </w:r>
          </w:p>
        </w:tc>
        <w:tc>
          <w:tcPr>
            <w:tcW w:w="69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2,022</w:t>
            </w:r>
          </w:p>
        </w:tc>
        <w:tc>
          <w:tcPr>
            <w:tcW w:w="3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211" w:type="dxa"/>
            <w:tcBorders/>
            <w:vAlign w:val="center"/>
          </w:tcPr>
          <w:p>
            <w:pPr>
              <w:pStyle w:val="TableContents"/>
              <w:bidi w:val="0"/>
              <w:spacing w:before="0" w:after="0"/>
              <w:ind w:left="0" w:right="0" w:hanging="0"/>
              <w:jc w:val="left"/>
              <w:rPr/>
            </w:pPr>
            <w:r>
              <w:rPr/>
              <w:t> </w:t>
            </w:r>
          </w:p>
        </w:tc>
        <w:tc>
          <w:tcPr>
            <w:tcW w:w="541" w:type="dxa"/>
            <w:tcBorders/>
            <w:vAlign w:val="center"/>
          </w:tcPr>
          <w:p>
            <w:pPr>
              <w:pStyle w:val="TableContents"/>
              <w:bidi w:val="0"/>
              <w:spacing w:before="0" w:after="0"/>
              <w:ind w:left="0" w:right="0" w:hanging="0"/>
              <w:jc w:val="right"/>
              <w:rPr/>
            </w:pPr>
            <w:r>
              <w:rPr/>
              <w:t>  </w:t>
            </w:r>
          </w:p>
        </w:tc>
        <w:tc>
          <w:tcPr>
            <w:tcW w:w="326" w:type="dxa"/>
            <w:tcBorders/>
            <w:vAlign w:val="center"/>
          </w:tcPr>
          <w:p>
            <w:pPr>
              <w:pStyle w:val="TableContents"/>
              <w:bidi w:val="0"/>
              <w:spacing w:before="0" w:after="0"/>
              <w:ind w:left="0" w:right="0" w:hanging="0"/>
              <w:jc w:val="left"/>
              <w:rPr/>
            </w:pPr>
            <w:r>
              <w:rPr/>
              <w:t> </w:t>
            </w:r>
          </w:p>
        </w:tc>
        <w:tc>
          <w:tcPr>
            <w:tcW w:w="871" w:type="dxa"/>
            <w:tcBorders/>
            <w:vAlign w:val="center"/>
          </w:tcPr>
          <w:p>
            <w:pPr>
              <w:pStyle w:val="TableContents"/>
              <w:bidi w:val="0"/>
              <w:spacing w:before="0" w:after="0"/>
              <w:ind w:left="0" w:right="0" w:hanging="0"/>
              <w:jc w:val="right"/>
              <w:rPr/>
            </w:pPr>
            <w:r>
              <w:rPr/>
              <w:t>  </w:t>
            </w:r>
          </w:p>
        </w:tc>
        <w:tc>
          <w:tcPr>
            <w:tcW w:w="286"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General and administrative costs for the three months ended March 31, 2024 and 2023 were $1.8 million and $2.0 million, respectively. The decrease of $0.1 million is primarily due to a $0.1 million decrease in stock-based compensation, a $0.1 million decrease in legal fees and a $0.1 million decrease in miscellaneous travel, facilities and office expenses, partially offset by a $0.1 million increase in franchise tax.</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Severance Expense:</w:t>
      </w:r>
    </w:p>
    <w:p>
      <w:pPr>
        <w:pStyle w:val="TextBody"/>
        <w:bidi w:val="0"/>
        <w:spacing w:before="0" w:after="0"/>
        <w:ind w:left="0" w:right="0" w:hanging="0"/>
        <w:jc w:val="left"/>
        <w:rPr/>
      </w:pPr>
      <w:r>
        <w:rPr/>
        <w:t>​</w:t>
      </w:r>
    </w:p>
    <w:tbl>
      <w:tblPr>
        <w:tblW w:w="7026" w:type="dxa"/>
        <w:jc w:val="left"/>
        <w:tblInd w:w="0" w:type="dxa"/>
        <w:tblLayout w:type="fixed"/>
        <w:tblCellMar>
          <w:top w:w="0" w:type="dxa"/>
          <w:left w:w="0" w:type="dxa"/>
          <w:bottom w:w="0" w:type="dxa"/>
          <w:right w:w="0" w:type="dxa"/>
        </w:tblCellMar>
      </w:tblPr>
      <w:tblGrid>
        <w:gridCol w:w="1786"/>
        <w:gridCol w:w="326"/>
        <w:gridCol w:w="304"/>
        <w:gridCol w:w="792"/>
        <w:gridCol w:w="536"/>
        <w:gridCol w:w="722"/>
        <w:gridCol w:w="326"/>
        <w:gridCol w:w="215"/>
        <w:gridCol w:w="536"/>
        <w:gridCol w:w="326"/>
        <w:gridCol w:w="871"/>
        <w:gridCol w:w="286"/>
      </w:tblGrid>
      <w:tr>
        <w:trPr/>
        <w:tc>
          <w:tcPr>
            <w:tcW w:w="17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2">
                      <wp:simplePos x="0" y="0"/>
                      <wp:positionH relativeFrom="character">
                        <wp:align>left</wp:align>
                      </wp:positionH>
                      <wp:positionV relativeFrom="line">
                        <wp:posOffset>635</wp:posOffset>
                      </wp:positionV>
                      <wp:extent cx="1134110" cy="175260"/>
                      <wp:effectExtent l="0" t="0" r="0" b="0"/>
                      <wp:wrapNone/>
                      <wp:docPr id="231" name="Frame231"/>
                      <a:graphic xmlns:a="http://schemas.openxmlformats.org/drawingml/2006/main">
                        <a:graphicData uri="http://schemas.microsoft.com/office/word/2010/wordprocessingShape">
                          <wps:wsp>
                            <wps:cNvSpPr txBox="1"/>
                            <wps:spPr>
                              <a:xfrm>
                                <a:off x="0" y="0"/>
                                <a:ext cx="11341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3">
                      <wp:simplePos x="0" y="0"/>
                      <wp:positionH relativeFrom="character">
                        <wp:align>left</wp:align>
                      </wp:positionH>
                      <wp:positionV relativeFrom="line">
                        <wp:posOffset>635</wp:posOffset>
                      </wp:positionV>
                      <wp:extent cx="207010" cy="175260"/>
                      <wp:effectExtent l="0" t="0" r="0" b="0"/>
                      <wp:wrapNone/>
                      <wp:docPr id="232" name="Frame23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0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4">
                      <wp:simplePos x="0" y="0"/>
                      <wp:positionH relativeFrom="character">
                        <wp:align>left</wp:align>
                      </wp:positionH>
                      <wp:positionV relativeFrom="line">
                        <wp:posOffset>635</wp:posOffset>
                      </wp:positionV>
                      <wp:extent cx="193040" cy="175260"/>
                      <wp:effectExtent l="0" t="0" r="0" b="0"/>
                      <wp:wrapNone/>
                      <wp:docPr id="233" name="Frame233"/>
                      <a:graphic xmlns:a="http://schemas.openxmlformats.org/drawingml/2006/main">
                        <a:graphicData uri="http://schemas.microsoft.com/office/word/2010/wordprocessingShape">
                          <wps:wsp>
                            <wps:cNvSpPr txBox="1"/>
                            <wps:spPr>
                              <a:xfrm>
                                <a:off x="0" y="0"/>
                                <a:ext cx="1930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5">
                      <wp:simplePos x="0" y="0"/>
                      <wp:positionH relativeFrom="character">
                        <wp:align>left</wp:align>
                      </wp:positionH>
                      <wp:positionV relativeFrom="line">
                        <wp:posOffset>635</wp:posOffset>
                      </wp:positionV>
                      <wp:extent cx="502920" cy="175260"/>
                      <wp:effectExtent l="0" t="0" r="0" b="0"/>
                      <wp:wrapNone/>
                      <wp:docPr id="234" name="Frame234"/>
                      <a:graphic xmlns:a="http://schemas.openxmlformats.org/drawingml/2006/main">
                        <a:graphicData uri="http://schemas.microsoft.com/office/word/2010/wordprocessingShape">
                          <wps:wsp>
                            <wps:cNvSpPr txBox="1"/>
                            <wps:spPr>
                              <a:xfrm>
                                <a:off x="0" y="0"/>
                                <a:ext cx="5029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6">
                      <wp:simplePos x="0" y="0"/>
                      <wp:positionH relativeFrom="character">
                        <wp:align>left</wp:align>
                      </wp:positionH>
                      <wp:positionV relativeFrom="line">
                        <wp:posOffset>635</wp:posOffset>
                      </wp:positionV>
                      <wp:extent cx="340360" cy="175260"/>
                      <wp:effectExtent l="0" t="0" r="0" b="0"/>
                      <wp:wrapNone/>
                      <wp:docPr id="235" name="Frame235"/>
                      <a:graphic xmlns:a="http://schemas.openxmlformats.org/drawingml/2006/main">
                        <a:graphicData uri="http://schemas.microsoft.com/office/word/2010/wordprocessingShape">
                          <wps:wsp>
                            <wps:cNvSpPr txBox="1"/>
                            <wps:spPr>
                              <a:xfrm>
                                <a:off x="0" y="0"/>
                                <a:ext cx="3403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2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7">
                      <wp:simplePos x="0" y="0"/>
                      <wp:positionH relativeFrom="character">
                        <wp:align>left</wp:align>
                      </wp:positionH>
                      <wp:positionV relativeFrom="line">
                        <wp:posOffset>635</wp:posOffset>
                      </wp:positionV>
                      <wp:extent cx="458470" cy="175260"/>
                      <wp:effectExtent l="0" t="0" r="0" b="0"/>
                      <wp:wrapNone/>
                      <wp:docPr id="236" name="Frame236"/>
                      <a:graphic xmlns:a="http://schemas.openxmlformats.org/drawingml/2006/main">
                        <a:graphicData uri="http://schemas.microsoft.com/office/word/2010/wordprocessingShape">
                          <wps:wsp>
                            <wps:cNvSpPr txBox="1"/>
                            <wps:spPr>
                              <a:xfrm>
                                <a:off x="0" y="0"/>
                                <a:ext cx="4584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8">
                      <wp:simplePos x="0" y="0"/>
                      <wp:positionH relativeFrom="character">
                        <wp:align>left</wp:align>
                      </wp:positionH>
                      <wp:positionV relativeFrom="line">
                        <wp:posOffset>635</wp:posOffset>
                      </wp:positionV>
                      <wp:extent cx="207010" cy="175260"/>
                      <wp:effectExtent l="0" t="0" r="0" b="0"/>
                      <wp:wrapNone/>
                      <wp:docPr id="237" name="Frame23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9">
                      <wp:simplePos x="0" y="0"/>
                      <wp:positionH relativeFrom="character">
                        <wp:align>left</wp:align>
                      </wp:positionH>
                      <wp:positionV relativeFrom="line">
                        <wp:posOffset>635</wp:posOffset>
                      </wp:positionV>
                      <wp:extent cx="136525" cy="175260"/>
                      <wp:effectExtent l="0" t="0" r="0" b="0"/>
                      <wp:wrapNone/>
                      <wp:docPr id="238" name="Frame238"/>
                      <a:graphic xmlns:a="http://schemas.openxmlformats.org/drawingml/2006/main">
                        <a:graphicData uri="http://schemas.microsoft.com/office/word/2010/wordprocessingShape">
                          <wps:wsp>
                            <wps:cNvSpPr txBox="1"/>
                            <wps:spPr>
                              <a:xfrm>
                                <a:off x="0" y="0"/>
                                <a:ext cx="1365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0">
                      <wp:simplePos x="0" y="0"/>
                      <wp:positionH relativeFrom="character">
                        <wp:align>left</wp:align>
                      </wp:positionH>
                      <wp:positionV relativeFrom="line">
                        <wp:posOffset>635</wp:posOffset>
                      </wp:positionV>
                      <wp:extent cx="340360" cy="175260"/>
                      <wp:effectExtent l="0" t="0" r="0" b="0"/>
                      <wp:wrapNone/>
                      <wp:docPr id="239" name="Frame239"/>
                      <a:graphic xmlns:a="http://schemas.openxmlformats.org/drawingml/2006/main">
                        <a:graphicData uri="http://schemas.microsoft.com/office/word/2010/wordprocessingShape">
                          <wps:wsp>
                            <wps:cNvSpPr txBox="1"/>
                            <wps:spPr>
                              <a:xfrm>
                                <a:off x="0" y="0"/>
                                <a:ext cx="3403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1">
                      <wp:simplePos x="0" y="0"/>
                      <wp:positionH relativeFrom="character">
                        <wp:align>left</wp:align>
                      </wp:positionH>
                      <wp:positionV relativeFrom="line">
                        <wp:posOffset>635</wp:posOffset>
                      </wp:positionV>
                      <wp:extent cx="207010" cy="175260"/>
                      <wp:effectExtent l="0" t="0" r="0" b="0"/>
                      <wp:wrapNone/>
                      <wp:docPr id="240" name="Frame24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2">
                      <wp:simplePos x="0" y="0"/>
                      <wp:positionH relativeFrom="character">
                        <wp:align>left</wp:align>
                      </wp:positionH>
                      <wp:positionV relativeFrom="line">
                        <wp:posOffset>635</wp:posOffset>
                      </wp:positionV>
                      <wp:extent cx="553085" cy="175260"/>
                      <wp:effectExtent l="0" t="0" r="0" b="0"/>
                      <wp:wrapNone/>
                      <wp:docPr id="241" name="Frame241"/>
                      <a:graphic xmlns:a="http://schemas.openxmlformats.org/drawingml/2006/main">
                        <a:graphicData uri="http://schemas.microsoft.com/office/word/2010/wordprocessingShape">
                          <wps:wsp>
                            <wps:cNvSpPr txBox="1"/>
                            <wps:spPr>
                              <a:xfrm>
                                <a:off x="0" y="0"/>
                                <a:ext cx="5530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3">
                      <wp:simplePos x="0" y="0"/>
                      <wp:positionH relativeFrom="character">
                        <wp:align>left</wp:align>
                      </wp:positionH>
                      <wp:positionV relativeFrom="line">
                        <wp:posOffset>635</wp:posOffset>
                      </wp:positionV>
                      <wp:extent cx="181610" cy="175260"/>
                      <wp:effectExtent l="0" t="0" r="0" b="0"/>
                      <wp:wrapNone/>
                      <wp:docPr id="242" name="Frame242"/>
                      <a:graphic xmlns:a="http://schemas.openxmlformats.org/drawingml/2006/main">
                        <a:graphicData uri="http://schemas.microsoft.com/office/word/2010/wordprocessingShape">
                          <wps:wsp>
                            <wps:cNvSpPr txBox="1"/>
                            <wps:spPr>
                              <a:xfrm>
                                <a:off x="0" y="0"/>
                                <a:ext cx="181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78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2354"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Three months ended March 31,</w:t>
            </w:r>
          </w:p>
        </w:tc>
        <w:tc>
          <w:tcPr>
            <w:tcW w:w="326" w:type="dxa"/>
            <w:tcBorders/>
            <w:vAlign w:val="center"/>
          </w:tcPr>
          <w:p>
            <w:pPr>
              <w:pStyle w:val="TableContents"/>
              <w:bidi w:val="0"/>
              <w:spacing w:before="0" w:after="0"/>
              <w:ind w:left="0" w:right="0" w:hanging="0"/>
              <w:jc w:val="left"/>
              <w:rPr/>
            </w:pPr>
            <w:r>
              <w:rPr/>
              <w:t>    </w:t>
            </w:r>
          </w:p>
        </w:tc>
        <w:tc>
          <w:tcPr>
            <w:tcW w:w="215" w:type="dxa"/>
            <w:tcBorders/>
            <w:vAlign w:val="center"/>
          </w:tcPr>
          <w:p>
            <w:pPr>
              <w:pStyle w:val="TableContents"/>
              <w:bidi w:val="0"/>
              <w:spacing w:before="0" w:after="0"/>
              <w:ind w:left="0" w:right="0" w:hanging="0"/>
              <w:jc w:val="left"/>
              <w:rPr/>
            </w:pPr>
            <w:r>
              <w:rPr/>
              <w:t>  </w:t>
            </w:r>
          </w:p>
        </w:tc>
        <w:tc>
          <w:tcPr>
            <w:tcW w:w="53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    </w:t>
            </w:r>
          </w:p>
        </w:tc>
        <w:tc>
          <w:tcPr>
            <w:tcW w:w="871" w:type="dxa"/>
            <w:tcBorders/>
            <w:vAlign w:val="center"/>
          </w:tcPr>
          <w:p>
            <w:pPr>
              <w:pStyle w:val="TableContents"/>
              <w:bidi w:val="0"/>
              <w:spacing w:before="0" w:after="0"/>
              <w:ind w:left="0" w:right="0" w:hanging="0"/>
              <w:jc w:val="center"/>
              <w:rPr/>
            </w:pPr>
            <w:r>
              <w:rPr/>
              <w:t>  </w:t>
            </w:r>
          </w:p>
        </w:tc>
        <w:tc>
          <w:tcPr>
            <w:tcW w:w="286" w:type="dxa"/>
            <w:tcBorders/>
            <w:vAlign w:val="center"/>
          </w:tcPr>
          <w:p>
            <w:pPr>
              <w:pStyle w:val="TableContents"/>
              <w:bidi w:val="0"/>
              <w:spacing w:before="0" w:after="0"/>
              <w:ind w:left="0" w:right="0" w:hanging="0"/>
              <w:jc w:val="center"/>
              <w:rPr/>
            </w:pPr>
            <w:r>
              <w:rPr/>
              <w:t> </w:t>
            </w:r>
          </w:p>
        </w:tc>
      </w:tr>
      <w:tr>
        <w:trPr/>
        <w:tc>
          <w:tcPr>
            <w:tcW w:w="178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109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536" w:type="dxa"/>
            <w:tcBorders/>
            <w:vAlign w:val="center"/>
          </w:tcPr>
          <w:p>
            <w:pPr>
              <w:pStyle w:val="TableContents"/>
              <w:bidi w:val="0"/>
              <w:spacing w:before="0" w:after="0"/>
              <w:ind w:left="0" w:right="0" w:hanging="0"/>
              <w:jc w:val="left"/>
              <w:rPr/>
            </w:pPr>
            <w:r>
              <w:rPr/>
              <w:t>    </w:t>
            </w:r>
          </w:p>
        </w:tc>
        <w:tc>
          <w:tcPr>
            <w:tcW w:w="722"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vAlign w:val="center"/>
          </w:tcPr>
          <w:p>
            <w:pPr>
              <w:pStyle w:val="TableContents"/>
              <w:bidi w:val="0"/>
              <w:spacing w:before="0" w:after="0"/>
              <w:ind w:left="0" w:right="0" w:hanging="0"/>
              <w:jc w:val="left"/>
              <w:rPr/>
            </w:pPr>
            <w:r>
              <w:rPr/>
              <w:t>    </w:t>
            </w:r>
          </w:p>
        </w:tc>
        <w:tc>
          <w:tcPr>
            <w:tcW w:w="75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$Change</w:t>
            </w:r>
          </w:p>
        </w:tc>
        <w:tc>
          <w:tcPr>
            <w:tcW w:w="326" w:type="dxa"/>
            <w:tcBorders/>
            <w:vAlign w:val="center"/>
          </w:tcPr>
          <w:p>
            <w:pPr>
              <w:pStyle w:val="TableContents"/>
              <w:bidi w:val="0"/>
              <w:spacing w:before="0" w:after="0"/>
              <w:ind w:left="0" w:right="0" w:hanging="0"/>
              <w:jc w:val="left"/>
              <w:rPr/>
            </w:pPr>
            <w:r>
              <w:rPr/>
              <w:t>    </w:t>
            </w:r>
          </w:p>
        </w:tc>
        <w:tc>
          <w:tcPr>
            <w:tcW w:w="87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Change</w:t>
            </w:r>
          </w:p>
        </w:tc>
        <w:tc>
          <w:tcPr>
            <w:tcW w:w="286" w:type="dxa"/>
            <w:tcBorders/>
            <w:vAlign w:val="center"/>
          </w:tcPr>
          <w:p>
            <w:pPr>
              <w:pStyle w:val="TableContents"/>
              <w:bidi w:val="0"/>
              <w:spacing w:before="0" w:after="0"/>
              <w:ind w:left="0" w:right="0" w:hanging="0"/>
              <w:jc w:val="center"/>
              <w:rPr/>
            </w:pPr>
            <w:r>
              <w:rPr/>
              <w:t> </w:t>
            </w:r>
          </w:p>
        </w:tc>
      </w:tr>
      <w:tr>
        <w:trPr/>
        <w:tc>
          <w:tcPr>
            <w:tcW w:w="178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Severance expense</w:t>
            </w:r>
          </w:p>
        </w:tc>
        <w:tc>
          <w:tcPr>
            <w:tcW w:w="326" w:type="dxa"/>
            <w:tcBorders/>
            <w:shd w:fill="CCEEFF" w:val="clear"/>
            <w:vAlign w:val="center"/>
          </w:tcPr>
          <w:p>
            <w:pPr>
              <w:pStyle w:val="TableContents"/>
              <w:bidi w:val="0"/>
              <w:spacing w:before="0" w:after="0"/>
              <w:ind w:left="0" w:right="0" w:hanging="0"/>
              <w:jc w:val="left"/>
              <w:rPr/>
            </w:pPr>
            <w:r>
              <w:rPr/>
              <w:t>​</w:t>
            </w:r>
          </w:p>
        </w:tc>
        <w:tc>
          <w:tcPr>
            <w:tcW w:w="304"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792"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1,563</w:t>
            </w:r>
          </w:p>
        </w:tc>
        <w:tc>
          <w:tcPr>
            <w:tcW w:w="536" w:type="dxa"/>
            <w:tcBorders/>
            <w:shd w:fill="CCEEFF" w:val="clear"/>
            <w:vAlign w:val="center"/>
          </w:tcPr>
          <w:p>
            <w:pPr>
              <w:pStyle w:val="TableContents"/>
              <w:bidi w:val="0"/>
              <w:spacing w:before="0" w:after="0"/>
              <w:ind w:left="0" w:right="0" w:hanging="0"/>
              <w:jc w:val="left"/>
              <w:rPr/>
            </w:pPr>
            <w:r>
              <w:rPr/>
              <w:t> </w:t>
            </w:r>
          </w:p>
        </w:tc>
        <w:tc>
          <w:tcPr>
            <w:tcW w:w="722"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5"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53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1,563</w:t>
            </w:r>
          </w:p>
        </w:tc>
        <w:tc>
          <w:tcPr>
            <w:tcW w:w="326" w:type="dxa"/>
            <w:tcBorders/>
            <w:shd w:fill="CCEEFF" w:val="clear"/>
            <w:vAlign w:val="center"/>
          </w:tcPr>
          <w:p>
            <w:pPr>
              <w:pStyle w:val="TableContents"/>
              <w:bidi w:val="0"/>
              <w:spacing w:before="0" w:after="0"/>
              <w:ind w:left="0" w:right="0" w:hanging="0"/>
              <w:jc w:val="left"/>
              <w:rPr/>
            </w:pPr>
            <w:r>
              <w:rPr/>
              <w:t> </w:t>
            </w:r>
          </w:p>
        </w:tc>
        <w:tc>
          <w:tcPr>
            <w:tcW w:w="87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100</w:t>
            </w:r>
          </w:p>
        </w:tc>
        <w:tc>
          <w:tcPr>
            <w:tcW w:w="286" w:type="dxa"/>
            <w:tcBorders/>
            <w:shd w:fill="CCEEFF" w:val="clear"/>
            <w:vAlign w:val="center"/>
          </w:tcPr>
          <w:p>
            <w:pPr>
              <w:pStyle w:val="TableContents"/>
              <w:bidi w:val="0"/>
              <w:spacing w:before="0" w:after="0"/>
              <w:ind w:left="0" w:right="0" w:hanging="0"/>
              <w:jc w:val="left"/>
              <w:rPr>
                <w:rFonts w:ascii="Calibri;Helvetica;sans-serif" w:hAnsi="Calibri;Helvetica;sans-serif"/>
                <w:sz w:val="20"/>
              </w:rPr>
            </w:pPr>
            <w:r>
              <w:rPr>
                <w:rFonts w:ascii="Calibri;Helvetica;sans-serif" w:hAnsi="Calibri;Helvetica;sans-serif"/>
                <w:sz w:val="20"/>
              </w:rPr>
              <w:t>%</w:t>
            </w:r>
          </w:p>
        </w:tc>
      </w:tr>
      <w:tr>
        <w:trPr/>
        <w:tc>
          <w:tcPr>
            <w:tcW w:w="178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Percent of total revenue</w:t>
            </w:r>
          </w:p>
        </w:tc>
        <w:tc>
          <w:tcPr>
            <w:tcW w:w="326" w:type="dxa"/>
            <w:tcBorders/>
            <w:vAlign w:val="center"/>
          </w:tcPr>
          <w:p>
            <w:pPr>
              <w:pStyle w:val="TableContents"/>
              <w:bidi w:val="0"/>
              <w:spacing w:before="0" w:after="0"/>
              <w:ind w:left="0" w:right="0" w:hanging="0"/>
              <w:jc w:val="left"/>
              <w:rPr/>
            </w:pPr>
            <w:r>
              <w:rPr/>
              <w:t>​</w:t>
            </w:r>
          </w:p>
        </w:tc>
        <w:tc>
          <w:tcPr>
            <w:tcW w:w="304" w:type="dxa"/>
            <w:tcBorders/>
            <w:vAlign w:val="center"/>
          </w:tcPr>
          <w:p>
            <w:pPr>
              <w:pStyle w:val="TableContents"/>
              <w:bidi w:val="0"/>
              <w:spacing w:before="0" w:after="0"/>
              <w:ind w:left="0" w:right="0" w:hanging="0"/>
              <w:jc w:val="left"/>
              <w:rPr/>
            </w:pPr>
            <w:r>
              <w:rPr/>
              <w:t> </w:t>
            </w:r>
          </w:p>
        </w:tc>
        <w:tc>
          <w:tcPr>
            <w:tcW w:w="792"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2,442</w:t>
            </w:r>
          </w:p>
        </w:tc>
        <w:tc>
          <w:tcPr>
            <w:tcW w:w="53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  </w:t>
            </w:r>
          </w:p>
        </w:tc>
        <w:tc>
          <w:tcPr>
            <w:tcW w:w="722"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5" w:type="dxa"/>
            <w:tcBorders/>
            <w:vAlign w:val="center"/>
          </w:tcPr>
          <w:p>
            <w:pPr>
              <w:pStyle w:val="TableContents"/>
              <w:bidi w:val="0"/>
              <w:spacing w:before="0" w:after="0"/>
              <w:ind w:left="0" w:right="0" w:hanging="0"/>
              <w:jc w:val="left"/>
              <w:rPr/>
            </w:pPr>
            <w:r>
              <w:rPr/>
              <w:t> </w:t>
            </w:r>
          </w:p>
        </w:tc>
        <w:tc>
          <w:tcPr>
            <w:tcW w:w="536" w:type="dxa"/>
            <w:tcBorders/>
            <w:vAlign w:val="center"/>
          </w:tcPr>
          <w:p>
            <w:pPr>
              <w:pStyle w:val="TableContents"/>
              <w:bidi w:val="0"/>
              <w:spacing w:before="0" w:after="0"/>
              <w:ind w:left="0" w:right="0" w:hanging="0"/>
              <w:jc w:val="right"/>
              <w:rPr/>
            </w:pPr>
            <w:r>
              <w:rPr/>
              <w:t>  </w:t>
            </w:r>
          </w:p>
        </w:tc>
        <w:tc>
          <w:tcPr>
            <w:tcW w:w="326" w:type="dxa"/>
            <w:tcBorders/>
            <w:vAlign w:val="center"/>
          </w:tcPr>
          <w:p>
            <w:pPr>
              <w:pStyle w:val="TableContents"/>
              <w:bidi w:val="0"/>
              <w:spacing w:before="0" w:after="0"/>
              <w:ind w:left="0" w:right="0" w:hanging="0"/>
              <w:jc w:val="left"/>
              <w:rPr/>
            </w:pPr>
            <w:r>
              <w:rPr/>
              <w:t> </w:t>
            </w:r>
          </w:p>
        </w:tc>
        <w:tc>
          <w:tcPr>
            <w:tcW w:w="871" w:type="dxa"/>
            <w:tcBorders/>
            <w:vAlign w:val="center"/>
          </w:tcPr>
          <w:p>
            <w:pPr>
              <w:pStyle w:val="TableContents"/>
              <w:bidi w:val="0"/>
              <w:spacing w:before="0" w:after="0"/>
              <w:ind w:left="0" w:right="0" w:hanging="0"/>
              <w:jc w:val="right"/>
              <w:rPr/>
            </w:pPr>
            <w:r>
              <w:rPr/>
              <w:t>  </w:t>
            </w:r>
          </w:p>
        </w:tc>
        <w:tc>
          <w:tcPr>
            <w:tcW w:w="286"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Severance expense for the three months ended March 31, 2024 was $1.6 million which was mostly attributed to the departure of our former President and Chief Executive Officer, Cesar Johnston. We did not incur any such costs for the three months ended March 31, 2023.</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Other (expense) income:</w:t>
      </w:r>
    </w:p>
    <w:p>
      <w:pPr>
        <w:pStyle w:val="TextBody"/>
        <w:bidi w:val="0"/>
        <w:spacing w:before="0" w:after="0"/>
        <w:ind w:left="0" w:right="0" w:hanging="0"/>
        <w:jc w:val="left"/>
        <w:rPr/>
      </w:pPr>
      <w:r>
        <w:rPr/>
        <w:t>​</w:t>
      </w:r>
    </w:p>
    <w:tbl>
      <w:tblPr>
        <w:tblW w:w="8677" w:type="dxa"/>
        <w:jc w:val="left"/>
        <w:tblInd w:w="0" w:type="dxa"/>
        <w:tblLayout w:type="fixed"/>
        <w:tblCellMar>
          <w:top w:w="0" w:type="dxa"/>
          <w:left w:w="0" w:type="dxa"/>
          <w:bottom w:w="0" w:type="dxa"/>
          <w:right w:w="0" w:type="dxa"/>
        </w:tblCellMar>
      </w:tblPr>
      <w:tblGrid>
        <w:gridCol w:w="3406"/>
        <w:gridCol w:w="326"/>
        <w:gridCol w:w="823"/>
        <w:gridCol w:w="576"/>
        <w:gridCol w:w="956"/>
        <w:gridCol w:w="326"/>
        <w:gridCol w:w="250"/>
        <w:gridCol w:w="501"/>
        <w:gridCol w:w="326"/>
        <w:gridCol w:w="871"/>
        <w:gridCol w:w="316"/>
      </w:tblGrid>
      <w:tr>
        <w:trPr/>
        <w:tc>
          <w:tcPr>
            <w:tcW w:w="34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4">
                      <wp:simplePos x="0" y="0"/>
                      <wp:positionH relativeFrom="character">
                        <wp:align>left</wp:align>
                      </wp:positionH>
                      <wp:positionV relativeFrom="line">
                        <wp:posOffset>635</wp:posOffset>
                      </wp:positionV>
                      <wp:extent cx="2162810" cy="175260"/>
                      <wp:effectExtent l="0" t="0" r="0" b="0"/>
                      <wp:wrapNone/>
                      <wp:docPr id="243" name="Frame243"/>
                      <a:graphic xmlns:a="http://schemas.openxmlformats.org/drawingml/2006/main">
                        <a:graphicData uri="http://schemas.microsoft.com/office/word/2010/wordprocessingShape">
                          <wps:wsp>
                            <wps:cNvSpPr txBox="1"/>
                            <wps:spPr>
                              <a:xfrm>
                                <a:off x="0" y="0"/>
                                <a:ext cx="2162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5">
                      <wp:simplePos x="0" y="0"/>
                      <wp:positionH relativeFrom="character">
                        <wp:align>left</wp:align>
                      </wp:positionH>
                      <wp:positionV relativeFrom="line">
                        <wp:posOffset>635</wp:posOffset>
                      </wp:positionV>
                      <wp:extent cx="207010" cy="175260"/>
                      <wp:effectExtent l="0" t="0" r="0" b="0"/>
                      <wp:wrapNone/>
                      <wp:docPr id="244" name="Frame24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2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6">
                      <wp:simplePos x="0" y="0"/>
                      <wp:positionH relativeFrom="character">
                        <wp:align>left</wp:align>
                      </wp:positionH>
                      <wp:positionV relativeFrom="line">
                        <wp:posOffset>635</wp:posOffset>
                      </wp:positionV>
                      <wp:extent cx="522605" cy="175260"/>
                      <wp:effectExtent l="0" t="0" r="0" b="0"/>
                      <wp:wrapNone/>
                      <wp:docPr id="245" name="Frame245"/>
                      <a:graphic xmlns:a="http://schemas.openxmlformats.org/drawingml/2006/main">
                        <a:graphicData uri="http://schemas.microsoft.com/office/word/2010/wordprocessingShape">
                          <wps:wsp>
                            <wps:cNvSpPr txBox="1"/>
                            <wps:spPr>
                              <a:xfrm>
                                <a:off x="0" y="0"/>
                                <a:ext cx="5226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7">
                      <wp:simplePos x="0" y="0"/>
                      <wp:positionH relativeFrom="character">
                        <wp:align>left</wp:align>
                      </wp:positionH>
                      <wp:positionV relativeFrom="line">
                        <wp:posOffset>635</wp:posOffset>
                      </wp:positionV>
                      <wp:extent cx="365760" cy="175260"/>
                      <wp:effectExtent l="0" t="0" r="0" b="0"/>
                      <wp:wrapNone/>
                      <wp:docPr id="246" name="Frame246"/>
                      <a:graphic xmlns:a="http://schemas.openxmlformats.org/drawingml/2006/main">
                        <a:graphicData uri="http://schemas.microsoft.com/office/word/2010/wordprocessingShape">
                          <wps:wsp>
                            <wps:cNvSpPr txBox="1"/>
                            <wps:spPr>
                              <a:xfrm>
                                <a:off x="0" y="0"/>
                                <a:ext cx="3657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8">
                      <wp:simplePos x="0" y="0"/>
                      <wp:positionH relativeFrom="character">
                        <wp:align>left</wp:align>
                      </wp:positionH>
                      <wp:positionV relativeFrom="line">
                        <wp:posOffset>635</wp:posOffset>
                      </wp:positionV>
                      <wp:extent cx="607060" cy="175260"/>
                      <wp:effectExtent l="0" t="0" r="0" b="0"/>
                      <wp:wrapNone/>
                      <wp:docPr id="247" name="Frame247"/>
                      <a:graphic xmlns:a="http://schemas.openxmlformats.org/drawingml/2006/main">
                        <a:graphicData uri="http://schemas.microsoft.com/office/word/2010/wordprocessingShape">
                          <wps:wsp>
                            <wps:cNvSpPr txBox="1"/>
                            <wps:spPr>
                              <a:xfrm>
                                <a:off x="0" y="0"/>
                                <a:ext cx="6070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9">
                      <wp:simplePos x="0" y="0"/>
                      <wp:positionH relativeFrom="character">
                        <wp:align>left</wp:align>
                      </wp:positionH>
                      <wp:positionV relativeFrom="line">
                        <wp:posOffset>635</wp:posOffset>
                      </wp:positionV>
                      <wp:extent cx="207010" cy="175260"/>
                      <wp:effectExtent l="0" t="0" r="0" b="0"/>
                      <wp:wrapNone/>
                      <wp:docPr id="248" name="Frame24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5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0">
                      <wp:simplePos x="0" y="0"/>
                      <wp:positionH relativeFrom="character">
                        <wp:align>left</wp:align>
                      </wp:positionH>
                      <wp:positionV relativeFrom="line">
                        <wp:posOffset>635</wp:posOffset>
                      </wp:positionV>
                      <wp:extent cx="158750" cy="175260"/>
                      <wp:effectExtent l="0" t="0" r="0" b="0"/>
                      <wp:wrapNone/>
                      <wp:docPr id="249" name="Frame249"/>
                      <a:graphic xmlns:a="http://schemas.openxmlformats.org/drawingml/2006/main">
                        <a:graphicData uri="http://schemas.microsoft.com/office/word/2010/wordprocessingShape">
                          <wps:wsp>
                            <wps:cNvSpPr txBox="1"/>
                            <wps:spPr>
                              <a:xfrm>
                                <a:off x="0" y="0"/>
                                <a:ext cx="1587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1">
                      <wp:simplePos x="0" y="0"/>
                      <wp:positionH relativeFrom="character">
                        <wp:align>left</wp:align>
                      </wp:positionH>
                      <wp:positionV relativeFrom="line">
                        <wp:posOffset>635</wp:posOffset>
                      </wp:positionV>
                      <wp:extent cx="318135" cy="175260"/>
                      <wp:effectExtent l="0" t="0" r="0" b="0"/>
                      <wp:wrapNone/>
                      <wp:docPr id="250" name="Frame250"/>
                      <a:graphic xmlns:a="http://schemas.openxmlformats.org/drawingml/2006/main">
                        <a:graphicData uri="http://schemas.microsoft.com/office/word/2010/wordprocessingShape">
                          <wps:wsp>
                            <wps:cNvSpPr txBox="1"/>
                            <wps:spPr>
                              <a:xfrm>
                                <a:off x="0" y="0"/>
                                <a:ext cx="3181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2">
                      <wp:simplePos x="0" y="0"/>
                      <wp:positionH relativeFrom="character">
                        <wp:align>left</wp:align>
                      </wp:positionH>
                      <wp:positionV relativeFrom="line">
                        <wp:posOffset>635</wp:posOffset>
                      </wp:positionV>
                      <wp:extent cx="207010" cy="175260"/>
                      <wp:effectExtent l="0" t="0" r="0" b="0"/>
                      <wp:wrapNone/>
                      <wp:docPr id="251" name="Frame25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3">
                      <wp:simplePos x="0" y="0"/>
                      <wp:positionH relativeFrom="character">
                        <wp:align>left</wp:align>
                      </wp:positionH>
                      <wp:positionV relativeFrom="line">
                        <wp:posOffset>635</wp:posOffset>
                      </wp:positionV>
                      <wp:extent cx="553085" cy="175260"/>
                      <wp:effectExtent l="0" t="0" r="0" b="0"/>
                      <wp:wrapNone/>
                      <wp:docPr id="252" name="Frame252"/>
                      <a:graphic xmlns:a="http://schemas.openxmlformats.org/drawingml/2006/main">
                        <a:graphicData uri="http://schemas.microsoft.com/office/word/2010/wordprocessingShape">
                          <wps:wsp>
                            <wps:cNvSpPr txBox="1"/>
                            <wps:spPr>
                              <a:xfrm>
                                <a:off x="0" y="0"/>
                                <a:ext cx="5530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4">
                      <wp:simplePos x="0" y="0"/>
                      <wp:positionH relativeFrom="character">
                        <wp:align>left</wp:align>
                      </wp:positionH>
                      <wp:positionV relativeFrom="line">
                        <wp:posOffset>635</wp:posOffset>
                      </wp:positionV>
                      <wp:extent cx="200660" cy="175260"/>
                      <wp:effectExtent l="0" t="0" r="0" b="0"/>
                      <wp:wrapNone/>
                      <wp:docPr id="253" name="Frame253"/>
                      <a:graphic xmlns:a="http://schemas.openxmlformats.org/drawingml/2006/main">
                        <a:graphicData uri="http://schemas.microsoft.com/office/word/2010/wordprocessingShape">
                          <wps:wsp>
                            <wps:cNvSpPr txBox="1"/>
                            <wps:spPr>
                              <a:xfrm>
                                <a:off x="0" y="0"/>
                                <a:ext cx="200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40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2355" w:type="dxa"/>
            <w:gridSpan w:val="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Three months ended March 31,</w:t>
            </w:r>
          </w:p>
        </w:tc>
        <w:tc>
          <w:tcPr>
            <w:tcW w:w="326" w:type="dxa"/>
            <w:tcBorders/>
            <w:vAlign w:val="center"/>
          </w:tcPr>
          <w:p>
            <w:pPr>
              <w:pStyle w:val="TableContents"/>
              <w:bidi w:val="0"/>
              <w:spacing w:before="0" w:after="0"/>
              <w:ind w:left="0" w:right="0" w:hanging="0"/>
              <w:jc w:val="left"/>
              <w:rPr/>
            </w:pPr>
            <w:r>
              <w:rPr/>
              <w:t>    </w:t>
            </w:r>
          </w:p>
        </w:tc>
        <w:tc>
          <w:tcPr>
            <w:tcW w:w="250" w:type="dxa"/>
            <w:tcBorders/>
            <w:vAlign w:val="center"/>
          </w:tcPr>
          <w:p>
            <w:pPr>
              <w:pStyle w:val="TableContents"/>
              <w:bidi w:val="0"/>
              <w:spacing w:before="0" w:after="0"/>
              <w:ind w:left="0" w:right="0" w:hanging="0"/>
              <w:jc w:val="left"/>
              <w:rPr/>
            </w:pPr>
            <w:r>
              <w:rPr/>
              <w:t>  </w:t>
            </w:r>
          </w:p>
        </w:tc>
        <w:tc>
          <w:tcPr>
            <w:tcW w:w="50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    </w:t>
            </w:r>
          </w:p>
        </w:tc>
        <w:tc>
          <w:tcPr>
            <w:tcW w:w="871" w:type="dxa"/>
            <w:tcBorders/>
            <w:vAlign w:val="center"/>
          </w:tcPr>
          <w:p>
            <w:pPr>
              <w:pStyle w:val="TableContents"/>
              <w:bidi w:val="0"/>
              <w:spacing w:before="0" w:after="0"/>
              <w:ind w:left="0" w:right="0" w:hanging="0"/>
              <w:jc w:val="center"/>
              <w:rPr/>
            </w:pPr>
            <w:r>
              <w:rPr/>
              <w:t>  </w:t>
            </w:r>
          </w:p>
        </w:tc>
        <w:tc>
          <w:tcPr>
            <w:tcW w:w="316" w:type="dxa"/>
            <w:tcBorders/>
            <w:vAlign w:val="center"/>
          </w:tcPr>
          <w:p>
            <w:pPr>
              <w:pStyle w:val="TableContents"/>
              <w:bidi w:val="0"/>
              <w:spacing w:before="0" w:after="0"/>
              <w:ind w:left="0" w:right="0" w:hanging="0"/>
              <w:jc w:val="left"/>
              <w:rPr/>
            </w:pPr>
            <w:r>
              <w:rPr/>
              <w:t> </w:t>
            </w:r>
          </w:p>
        </w:tc>
      </w:tr>
      <w:tr>
        <w:trPr/>
        <w:tc>
          <w:tcPr>
            <w:tcW w:w="340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823"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576" w:type="dxa"/>
            <w:tcBorders/>
            <w:vAlign w:val="center"/>
          </w:tcPr>
          <w:p>
            <w:pPr>
              <w:pStyle w:val="TableContents"/>
              <w:bidi w:val="0"/>
              <w:spacing w:before="0" w:after="0"/>
              <w:ind w:left="0" w:right="0" w:hanging="0"/>
              <w:jc w:val="left"/>
              <w:rPr/>
            </w:pPr>
            <w:r>
              <w:rPr/>
              <w:t>    </w:t>
            </w:r>
          </w:p>
        </w:tc>
        <w:tc>
          <w:tcPr>
            <w:tcW w:w="95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vAlign w:val="center"/>
          </w:tcPr>
          <w:p>
            <w:pPr>
              <w:pStyle w:val="TableContents"/>
              <w:bidi w:val="0"/>
              <w:spacing w:before="0" w:after="0"/>
              <w:ind w:left="0" w:right="0" w:hanging="0"/>
              <w:jc w:val="left"/>
              <w:rPr/>
            </w:pPr>
            <w:r>
              <w:rPr/>
              <w:t>    </w:t>
            </w:r>
          </w:p>
        </w:tc>
        <w:tc>
          <w:tcPr>
            <w:tcW w:w="75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$Change</w:t>
            </w:r>
          </w:p>
        </w:tc>
        <w:tc>
          <w:tcPr>
            <w:tcW w:w="326" w:type="dxa"/>
            <w:tcBorders/>
            <w:vAlign w:val="center"/>
          </w:tcPr>
          <w:p>
            <w:pPr>
              <w:pStyle w:val="TableContents"/>
              <w:bidi w:val="0"/>
              <w:spacing w:before="0" w:after="0"/>
              <w:ind w:left="0" w:right="0" w:hanging="0"/>
              <w:jc w:val="left"/>
              <w:rPr/>
            </w:pPr>
            <w:r>
              <w:rPr/>
              <w:t>    </w:t>
            </w:r>
          </w:p>
        </w:tc>
        <w:tc>
          <w:tcPr>
            <w:tcW w:w="87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Change</w:t>
            </w:r>
          </w:p>
        </w:tc>
        <w:tc>
          <w:tcPr>
            <w:tcW w:w="316" w:type="dxa"/>
            <w:tcBorders/>
            <w:vAlign w:val="center"/>
          </w:tcPr>
          <w:p>
            <w:pPr>
              <w:pStyle w:val="TableContents"/>
              <w:bidi w:val="0"/>
              <w:spacing w:before="0" w:after="0"/>
              <w:ind w:left="0" w:right="0" w:hanging="0"/>
              <w:jc w:val="left"/>
              <w:rPr/>
            </w:pPr>
            <w:r>
              <w:rPr/>
              <w:t> </w:t>
            </w:r>
          </w:p>
        </w:tc>
      </w:tr>
      <w:tr>
        <w:trPr/>
        <w:tc>
          <w:tcPr>
            <w:tcW w:w="34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Offering costs related to warrant liability</w:t>
            </w:r>
          </w:p>
        </w:tc>
        <w:tc>
          <w:tcPr>
            <w:tcW w:w="326" w:type="dxa"/>
            <w:tcBorders/>
            <w:shd w:fill="CCEEFF" w:val="clear"/>
            <w:vAlign w:val="center"/>
          </w:tcPr>
          <w:p>
            <w:pPr>
              <w:pStyle w:val="TableContents"/>
              <w:bidi w:val="0"/>
              <w:spacing w:before="0" w:after="0"/>
              <w:ind w:left="0" w:right="0" w:hanging="0"/>
              <w:jc w:val="left"/>
              <w:rPr/>
            </w:pPr>
            <w:r>
              <w:rPr/>
              <w:t> </w:t>
            </w:r>
          </w:p>
        </w:tc>
        <w:tc>
          <w:tcPr>
            <w:tcW w:w="823" w:type="dxa"/>
            <w:tcBorders/>
            <w:shd w:fill="CCEEFF" w:val="clear"/>
            <w:vAlign w:val="center"/>
          </w:tcPr>
          <w:p>
            <w:pPr>
              <w:pStyle w:val="TableContents"/>
              <w:bidi w:val="0"/>
              <w:spacing w:before="0" w:after="0"/>
              <w:ind w:left="0" w:right="0" w:hanging="0"/>
              <w:jc w:val="right"/>
              <w:rPr/>
            </w:pPr>
            <w:r>
              <w:rPr/>
              <w:t>—</w:t>
            </w:r>
          </w:p>
        </w:tc>
        <w:tc>
          <w:tcPr>
            <w:tcW w:w="576" w:type="dxa"/>
            <w:tcBorders/>
            <w:shd w:fill="CCEEFF" w:val="clear"/>
            <w:vAlign w:val="center"/>
          </w:tcPr>
          <w:p>
            <w:pPr>
              <w:pStyle w:val="TableContents"/>
              <w:bidi w:val="0"/>
              <w:spacing w:before="0" w:after="0"/>
              <w:ind w:left="0" w:right="0" w:hanging="0"/>
              <w:jc w:val="left"/>
              <w:rPr/>
            </w:pPr>
            <w:r>
              <w:rPr/>
              <w:t> </w:t>
            </w:r>
          </w:p>
        </w:tc>
        <w:tc>
          <w:tcPr>
            <w:tcW w:w="95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(592)</w:t>
            </w:r>
          </w:p>
        </w:tc>
        <w:tc>
          <w:tcPr>
            <w:tcW w:w="326" w:type="dxa"/>
            <w:tcBorders/>
            <w:shd w:fill="CCEEFF" w:val="clear"/>
            <w:vAlign w:val="center"/>
          </w:tcPr>
          <w:p>
            <w:pPr>
              <w:pStyle w:val="TableContents"/>
              <w:bidi w:val="0"/>
              <w:spacing w:before="0" w:after="0"/>
              <w:ind w:left="0" w:right="0" w:hanging="0"/>
              <w:jc w:val="left"/>
              <w:rPr/>
            </w:pPr>
            <w:r>
              <w:rPr/>
              <w:t>​</w:t>
            </w:r>
          </w:p>
        </w:tc>
        <w:tc>
          <w:tcPr>
            <w:tcW w:w="25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592</w:t>
            </w:r>
          </w:p>
        </w:tc>
        <w:tc>
          <w:tcPr>
            <w:tcW w:w="326" w:type="dxa"/>
            <w:tcBorders/>
            <w:shd w:fill="CCEEFF" w:val="clear"/>
            <w:vAlign w:val="center"/>
          </w:tcPr>
          <w:p>
            <w:pPr>
              <w:pStyle w:val="TableContents"/>
              <w:bidi w:val="0"/>
              <w:spacing w:before="0" w:after="0"/>
              <w:ind w:left="0" w:right="0" w:hanging="0"/>
              <w:jc w:val="left"/>
              <w:rPr/>
            </w:pPr>
            <w:r>
              <w:rPr/>
              <w:t> </w:t>
            </w:r>
          </w:p>
        </w:tc>
        <w:tc>
          <w:tcPr>
            <w:tcW w:w="871" w:type="dxa"/>
            <w:tcBorders/>
            <w:shd w:fill="CCEEFF" w:val="clear"/>
            <w:vAlign w:val="center"/>
          </w:tcPr>
          <w:p>
            <w:pPr>
              <w:pStyle w:val="TableContents"/>
              <w:bidi w:val="0"/>
              <w:spacing w:before="0" w:after="0"/>
              <w:ind w:left="0" w:right="0" w:hanging="0"/>
              <w:jc w:val="right"/>
              <w:rPr/>
            </w:pPr>
            <w:r>
              <w:rPr/>
              <w:t>—</w:t>
            </w:r>
          </w:p>
        </w:tc>
        <w:tc>
          <w:tcPr>
            <w:tcW w:w="316" w:type="dxa"/>
            <w:tcBorders/>
            <w:shd w:fill="CCEEFF" w:val="clear"/>
            <w:vAlign w:val="center"/>
          </w:tcPr>
          <w:p>
            <w:pPr>
              <w:pStyle w:val="TableContents"/>
              <w:bidi w:val="0"/>
              <w:spacing w:before="0" w:after="0"/>
              <w:ind w:left="0" w:right="0" w:hanging="0"/>
              <w:jc w:val="left"/>
              <w:rPr/>
            </w:pPr>
            <w:r>
              <w:rPr/>
              <w:t>​</w:t>
            </w:r>
          </w:p>
        </w:tc>
      </w:tr>
      <w:tr>
        <w:trPr/>
        <w:tc>
          <w:tcPr>
            <w:tcW w:w="34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Change in fair value of warrant liability</w:t>
            </w:r>
          </w:p>
        </w:tc>
        <w:tc>
          <w:tcPr>
            <w:tcW w:w="326" w:type="dxa"/>
            <w:tcBorders/>
            <w:vAlign w:val="center"/>
          </w:tcPr>
          <w:p>
            <w:pPr>
              <w:pStyle w:val="TableContents"/>
              <w:bidi w:val="0"/>
              <w:spacing w:before="0" w:after="0"/>
              <w:ind w:left="0" w:right="0" w:hanging="0"/>
              <w:jc w:val="left"/>
              <w:rPr/>
            </w:pPr>
            <w:r>
              <w:rPr/>
              <w:t> </w:t>
            </w:r>
          </w:p>
        </w:tc>
        <w:tc>
          <w:tcPr>
            <w:tcW w:w="82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(82)</w:t>
            </w:r>
          </w:p>
        </w:tc>
        <w:tc>
          <w:tcPr>
            <w:tcW w:w="576" w:type="dxa"/>
            <w:tcBorders/>
            <w:vAlign w:val="center"/>
          </w:tcPr>
          <w:p>
            <w:pPr>
              <w:pStyle w:val="TableContents"/>
              <w:bidi w:val="0"/>
              <w:spacing w:before="0" w:after="0"/>
              <w:ind w:left="0" w:right="0" w:hanging="0"/>
              <w:jc w:val="left"/>
              <w:rPr/>
            </w:pPr>
            <w:r>
              <w:rPr/>
              <w:t> </w:t>
            </w:r>
          </w:p>
        </w:tc>
        <w:tc>
          <w:tcPr>
            <w:tcW w:w="95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5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(82)</w:t>
            </w:r>
          </w:p>
        </w:tc>
        <w:tc>
          <w:tcPr>
            <w:tcW w:w="326" w:type="dxa"/>
            <w:tcBorders/>
            <w:vAlign w:val="center"/>
          </w:tcPr>
          <w:p>
            <w:pPr>
              <w:pStyle w:val="TableContents"/>
              <w:bidi w:val="0"/>
              <w:spacing w:before="0" w:after="0"/>
              <w:ind w:left="0" w:right="0" w:hanging="0"/>
              <w:jc w:val="left"/>
              <w:rPr/>
            </w:pPr>
            <w:r>
              <w:rPr/>
              <w:t> </w:t>
            </w:r>
          </w:p>
        </w:tc>
        <w:tc>
          <w:tcPr>
            <w:tcW w:w="8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w:t>
            </w:r>
          </w:p>
        </w:tc>
        <w:tc>
          <w:tcPr>
            <w:tcW w:w="3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4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income</w:t>
            </w:r>
          </w:p>
        </w:tc>
        <w:tc>
          <w:tcPr>
            <w:tcW w:w="326" w:type="dxa"/>
            <w:tcBorders/>
            <w:shd w:fill="CCEEFF" w:val="clear"/>
            <w:vAlign w:val="center"/>
          </w:tcPr>
          <w:p>
            <w:pPr>
              <w:pStyle w:val="TableContents"/>
              <w:bidi w:val="0"/>
              <w:spacing w:before="0" w:after="0"/>
              <w:ind w:left="0" w:right="0" w:hanging="0"/>
              <w:jc w:val="left"/>
              <w:rPr/>
            </w:pPr>
            <w:r>
              <w:rPr/>
              <w:t> </w:t>
            </w:r>
          </w:p>
        </w:tc>
        <w:tc>
          <w:tcPr>
            <w:tcW w:w="82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148</w:t>
            </w:r>
          </w:p>
        </w:tc>
        <w:tc>
          <w:tcPr>
            <w:tcW w:w="576" w:type="dxa"/>
            <w:tcBorders/>
            <w:shd w:fill="CCEEFF" w:val="clear"/>
            <w:vAlign w:val="center"/>
          </w:tcPr>
          <w:p>
            <w:pPr>
              <w:pStyle w:val="TableContents"/>
              <w:bidi w:val="0"/>
              <w:spacing w:before="0" w:after="0"/>
              <w:ind w:left="0" w:right="0" w:hanging="0"/>
              <w:jc w:val="left"/>
              <w:rPr/>
            </w:pPr>
            <w:r>
              <w:rPr/>
              <w:t> </w:t>
            </w:r>
          </w:p>
        </w:tc>
        <w:tc>
          <w:tcPr>
            <w:tcW w:w="95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233</w:t>
            </w:r>
          </w:p>
        </w:tc>
        <w:tc>
          <w:tcPr>
            <w:tcW w:w="326" w:type="dxa"/>
            <w:tcBorders/>
            <w:shd w:fill="CCEEFF" w:val="clear"/>
            <w:vAlign w:val="center"/>
          </w:tcPr>
          <w:p>
            <w:pPr>
              <w:pStyle w:val="TableContents"/>
              <w:bidi w:val="0"/>
              <w:spacing w:before="0" w:after="0"/>
              <w:ind w:left="0" w:right="0" w:hanging="0"/>
              <w:jc w:val="left"/>
              <w:rPr/>
            </w:pPr>
            <w:r>
              <w:rPr/>
              <w:t>​</w:t>
            </w:r>
          </w:p>
        </w:tc>
        <w:tc>
          <w:tcPr>
            <w:tcW w:w="25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(85)</w:t>
            </w:r>
          </w:p>
        </w:tc>
        <w:tc>
          <w:tcPr>
            <w:tcW w:w="326" w:type="dxa"/>
            <w:tcBorders/>
            <w:shd w:fill="CCEEFF" w:val="clear"/>
            <w:vAlign w:val="center"/>
          </w:tcPr>
          <w:p>
            <w:pPr>
              <w:pStyle w:val="TableContents"/>
              <w:bidi w:val="0"/>
              <w:spacing w:before="0" w:after="0"/>
              <w:ind w:left="0" w:right="0" w:hanging="0"/>
              <w:jc w:val="left"/>
              <w:rPr/>
            </w:pPr>
            <w:r>
              <w:rPr/>
              <w:t> </w:t>
            </w:r>
          </w:p>
        </w:tc>
        <w:tc>
          <w:tcPr>
            <w:tcW w:w="8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4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other (expense) income</w:t>
            </w:r>
          </w:p>
        </w:tc>
        <w:tc>
          <w:tcPr>
            <w:tcW w:w="326" w:type="dxa"/>
            <w:tcBorders/>
            <w:vAlign w:val="center"/>
          </w:tcPr>
          <w:p>
            <w:pPr>
              <w:pStyle w:val="TableContents"/>
              <w:bidi w:val="0"/>
              <w:spacing w:before="0" w:after="0"/>
              <w:ind w:left="0" w:right="0" w:hanging="0"/>
              <w:jc w:val="left"/>
              <w:rPr/>
            </w:pPr>
            <w:r>
              <w:rPr/>
              <w:t> </w:t>
            </w:r>
          </w:p>
        </w:tc>
        <w:tc>
          <w:tcPr>
            <w:tcW w:w="823"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66</w:t>
            </w:r>
          </w:p>
        </w:tc>
        <w:tc>
          <w:tcPr>
            <w:tcW w:w="576" w:type="dxa"/>
            <w:tcBorders/>
            <w:vAlign w:val="center"/>
          </w:tcPr>
          <w:p>
            <w:pPr>
              <w:pStyle w:val="TableContents"/>
              <w:bidi w:val="0"/>
              <w:spacing w:before="0" w:after="0"/>
              <w:ind w:left="0" w:right="0" w:hanging="0"/>
              <w:jc w:val="left"/>
              <w:rPr/>
            </w:pPr>
            <w:r>
              <w:rPr/>
              <w:t> </w:t>
            </w:r>
          </w:p>
        </w:tc>
        <w:tc>
          <w:tcPr>
            <w:tcW w:w="95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(359)</w:t>
            </w:r>
          </w:p>
        </w:tc>
        <w:tc>
          <w:tcPr>
            <w:tcW w:w="326" w:type="dxa"/>
            <w:tcBorders/>
            <w:vAlign w:val="center"/>
          </w:tcPr>
          <w:p>
            <w:pPr>
              <w:pStyle w:val="TableContents"/>
              <w:bidi w:val="0"/>
              <w:spacing w:before="0" w:after="0"/>
              <w:ind w:left="0" w:right="0" w:hanging="0"/>
              <w:jc w:val="left"/>
              <w:rPr/>
            </w:pPr>
            <w:r>
              <w:rPr/>
              <w:t>​</w:t>
            </w:r>
          </w:p>
        </w:tc>
        <w:tc>
          <w:tcPr>
            <w:tcW w:w="25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425</w:t>
            </w:r>
          </w:p>
        </w:tc>
        <w:tc>
          <w:tcPr>
            <w:tcW w:w="326" w:type="dxa"/>
            <w:tcBorders/>
            <w:vAlign w:val="center"/>
          </w:tcPr>
          <w:p>
            <w:pPr>
              <w:pStyle w:val="TableContents"/>
              <w:bidi w:val="0"/>
              <w:spacing w:before="0" w:after="0"/>
              <w:ind w:left="0" w:right="0" w:hanging="0"/>
              <w:jc w:val="left"/>
              <w:rPr/>
            </w:pPr>
            <w:r>
              <w:rPr/>
              <w:t> </w:t>
            </w:r>
          </w:p>
        </w:tc>
        <w:tc>
          <w:tcPr>
            <w:tcW w:w="8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118</w:t>
            </w:r>
          </w:p>
        </w:tc>
        <w:tc>
          <w:tcPr>
            <w:tcW w:w="3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Offering costs related to warrant liability were $0.6 million for the three months ended March 31, 2023. We did not incur any such costs for the three months ended March 31, 2024.</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Other expense resulting from the change in fair value of the warrant liability was $0.1 million for the three months ended March 31, 2024. We did not incur any such expense for the three months ended March 31, 2023.</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Interest income for the three months ended March 31, 2024 was $0.1 million as compared to interest income of $0.2 for the three months ended March 31, 2023. The decrease was due to a lower average cash balance in our savings account during the three months ended March 31, 2024 compared to the prior year period.</w:t>
      </w:r>
    </w:p>
    <w:p>
      <w:pPr>
        <w:pStyle w:val="TextBody"/>
        <w:bidi w:val="0"/>
        <w:spacing w:before="480" w:after="0"/>
        <w:ind w:left="0" w:right="0" w:hanging="0"/>
        <w:jc w:val="right"/>
        <w:rPr>
          <w:rFonts w:ascii="Times New Roman;Times;serif" w:hAnsi="Times New Roman;Times;serif"/>
          <w:sz w:val="20"/>
        </w:rPr>
      </w:pPr>
      <w:r>
        <w:rPr>
          <w:rFonts w:ascii="Times New Roman;Times;serif" w:hAnsi="Times New Roman;Times;serif"/>
          <w:sz w:val="20"/>
        </w:rPr>
        <w:t>28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sz w:val="20"/>
        </w:rPr>
        <w:t xml:space="preserve">Net Loss. </w:t>
      </w:r>
      <w:r>
        <w:rPr>
          <w:rFonts w:ascii="Times New Roman;Times;serif" w:hAnsi="Times New Roman;Times;serif"/>
          <w:sz w:val="20"/>
        </w:rPr>
        <w:t>As a result of the above, net loss for the three months ended March 31, 2024 was $6.6 million as compared to $6.7 million for the three months ended March 31, 2023.</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Liquidity and Capital Resources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During the three months ended March 31, 2024 and 2023, we recorded revenue of $0.1 million and $0.1 million, respectively. We incurred net losses of $6.6 million and $6.7 for the three months ended March 31, 2024 and 2023, respectively. Net cash used in operating activities was $5.1 million and $5.4 million for the three months ended March 31, 2024 and 2023, respectively. We are currently meeting our liquidity requirements through the proceeds of securities offerings that raised net proceeds of $27.0 million during 2021, $0.7 million during 2022, $5.4 million during 2023 and $1.8 million during the first quarter of 2024.</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We believe our current cash on hand, together with proceeds from additional future equity financing, implementation of cost and expense reductions and anticipated revenues, will be sufficient to fund our operations through at least the next twelve months.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Although we intend to continue our research and development activities and transition to commercial production, there can be no assurance that our available resources will be sufficient to enable us to generate revenues sufficient to sustain operations. Accordingly, we will likely pursue additional financing, which could include offerings of equity or debt securities, bank financings, commercial agreements with customers or strategic partners, and other alternatives, depending upon market conditions. There is no assurance that such financing will be available on terms that we would find acceptable, or at all.</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Research and development of new technologies is, by its nature, unpredictable. Although we intend to continue our research and undertake development activities, there can be no assurance that our available resources will be sufficient to enable us to generate revenues sufficient to sustain operations.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Furthermore, since we have no committed source of financing, there can be no assurance that we will be able to raise capital as and when we need it to continue our operations.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February 2024 Equity Offering</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On February 15, 2024, we entered into a securities purchase agreement with an institutional investor, providing for the issuance and sale by us, in a registered direct offering (the “Offering”), of (i) 570,000 shares of our common stock, (ii) pre-funded warrants to purchase up to 450,409 shares of common stock, and (iii) warrants to purchase up to an aggregate of 1,020,409 shares of common stock. Each share of common stock and pre-funded warrant was offered and sold together with an accompanying warrant at a combined price of $1.96 per share of common stock or pre-funded warrant, as applicable. Each pre-funded warrant and other warrants are exercisable at any time on or after the date of issuance to purchase one share of common stock at a price of either $0.001 per share, in the case of the pre-funded warrants, or $1.84 per share, in the case of the other warrants. The pre-funded warrants expire when they are exercised in full, and the other warrants expire five years from the date of issuance. We received net proceeds of approximately $1.8 million from the Offering, after deducting placement agent fees and estimated offering expenses.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Cash Flows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i/>
          <w:sz w:val="20"/>
        </w:rPr>
        <w:t>Operating Activities -</w:t>
      </w:r>
      <w:r>
        <w:rPr>
          <w:rFonts w:ascii="Times New Roman;Times;serif" w:hAnsi="Times New Roman;Times;serif"/>
          <w:sz w:val="20"/>
        </w:rPr>
        <w:t xml:space="preserve"> During the three months ended March 31, 2024, cash flows used in operating activities were $5.1 million, consisting of a net loss of $6.6 million, less adjustments to reconcile net loss to net cash used in operating activities aggregating $0.6 million (principally stock-based compensation of $0.4 million and change in fair value of warrant liability of $0.1 million), a $0.3 million decrease in accounts payable, a $0.2 million increase in inventory and a $0.1 million decrease in accrued expenses, partially offset by a $1.3 million increase in accrued severance expense, a $0.2 decrease in prepaid expenses and other current assets and a $0.1 decrease in accounts receivable.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During the three months ended March 31, 2023, cash flows used in operating activities were $5.4 million, consisting of a net loss of $6.7 million, less adjustments to reconcile net loss to net cash used in operating activities aggregating $1.3 million (principally issuance costs allocated to warrant liability of $0.6 million, stock-based compensation of $0.5 million and an inventory net realizable adjustment of $0.1 million), a $0.4 million decrease in accrued expenses and a $0.2 million decrease in accrued severance expense, partially offset by a $0.5 million increase in accounts payable and a $0.2 million decrease in prepaid expenses and other current assets.</w:t>
      </w:r>
    </w:p>
    <w:p>
      <w:pPr>
        <w:pStyle w:val="TextBody"/>
        <w:bidi w:val="0"/>
        <w:spacing w:before="480" w:after="0"/>
        <w:ind w:left="0" w:right="0" w:hanging="0"/>
        <w:jc w:val="right"/>
        <w:rPr>
          <w:rFonts w:ascii="Times New Roman;Times;serif" w:hAnsi="Times New Roman;Times;serif"/>
          <w:sz w:val="20"/>
        </w:rPr>
      </w:pPr>
      <w:r>
        <w:rPr>
          <w:rFonts w:ascii="Times New Roman;Times;serif" w:hAnsi="Times New Roman;Times;serif"/>
          <w:sz w:val="20"/>
        </w:rPr>
        <w:t>29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i/>
          <w:sz w:val="20"/>
        </w:rPr>
        <w:t>Investing Activities -</w:t>
      </w:r>
      <w:r>
        <w:rPr>
          <w:rFonts w:ascii="Times New Roman;Times;serif" w:hAnsi="Times New Roman;Times;serif"/>
          <w:sz w:val="20"/>
        </w:rPr>
        <w:t xml:space="preserve"> During the three months ended March 31, 2024 and 2023, cash flows used in investing activities were not material. During the three months ended March 31, 2024, a small amount of testing equipment was purchased. No assets were purchased during the three months ended March 31, 2023.</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i/>
          <w:sz w:val="20"/>
        </w:rPr>
        <w:t>Financing Activities -</w:t>
      </w:r>
      <w:r>
        <w:rPr>
          <w:rFonts w:ascii="Times New Roman;Times;serif" w:hAnsi="Times New Roman;Times;serif"/>
          <w:sz w:val="20"/>
        </w:rPr>
        <w:t xml:space="preserve"> During the three months ended March 31, 2024, cash flows provided by financing activities were $1.9 million, which primarily consisted of $1.8 million in net proceeds from a registered direct offering that included the sale of common stock, pre-funded warrants and warrants. During the three months ended March 31, 2023, cash flows provided by financing activities were $5.4 million, which consisted of $2.7 million in net proceeds from the issuance and sale of common stock and warrants, $2.7 million in net proceeds from the sale of shares of our common stock in an at-the-market (“ATM”) offering and $0.1 million in proceeds from the ESPP.</w:t>
      </w:r>
    </w:p>
    <w:p>
      <w:pPr>
        <w:pStyle w:val="TextBody"/>
        <w:bidi w:val="0"/>
        <w:spacing w:before="0" w:after="240"/>
        <w:ind w:left="0" w:right="0" w:hanging="0"/>
        <w:jc w:val="left"/>
        <w:rPr>
          <w:rFonts w:ascii="Times New Roman;Times;serif" w:hAnsi="Times New Roman;Times;serif"/>
          <w:b/>
          <w:sz w:val="20"/>
        </w:rPr>
      </w:pPr>
      <w:bookmarkStart w:id="756" w:name="Item3QuantitativeandQualitativeDisclosur"/>
      <w:bookmarkStart w:id="757" w:name="_d0aa5850_32d4_4412_b05f_d6ec756bfffc"/>
      <w:bookmarkEnd w:id="756"/>
      <w:bookmarkEnd w:id="757"/>
      <w:r>
        <w:rPr>
          <w:rFonts w:ascii="Times New Roman;Times;serif" w:hAnsi="Times New Roman;Times;serif"/>
          <w:b/>
          <w:sz w:val="20"/>
        </w:rPr>
        <w:t>Item 3. Quantitative and Qualitative Disclosure About Market Risk</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As a smaller reporting company, we are not required to provide this information.</w:t>
      </w:r>
    </w:p>
    <w:p>
      <w:pPr>
        <w:pStyle w:val="TextBody"/>
        <w:bidi w:val="0"/>
        <w:spacing w:before="0" w:after="240"/>
        <w:ind w:left="0" w:right="0" w:hanging="0"/>
        <w:jc w:val="left"/>
        <w:rPr>
          <w:rFonts w:ascii="Times New Roman;Times;serif" w:hAnsi="Times New Roman;Times;serif"/>
          <w:b/>
          <w:sz w:val="20"/>
        </w:rPr>
      </w:pPr>
      <w:bookmarkStart w:id="758" w:name="Item4ControlsandProcedures_905555"/>
      <w:bookmarkStart w:id="759" w:name="_3b20b302_2660_4072_a497_8ed34b49aad2"/>
      <w:bookmarkEnd w:id="758"/>
      <w:bookmarkEnd w:id="759"/>
      <w:r>
        <w:rPr>
          <w:rFonts w:ascii="Times New Roman;Times;serif" w:hAnsi="Times New Roman;Times;serif"/>
          <w:b/>
          <w:sz w:val="20"/>
        </w:rPr>
        <w:t>Item 4. Controls and Procedures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Evaluation of Disclosure Controls and Procedures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We have established disclosure controls and procedures to ensure that material information relating to us is made known to the officers who certify our financial reports and the Board. Under the supervision and with the participation of our management, including our interim principal executive officer and our principal financial officer, we conducted an evaluation of our disclosure controls and procedures as such term is defined under Rule 13a-15(e) and 15d-15(e) under the Exchange Act.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Based on the evaluation, our interim principal executive officer and our principal financial officer has concluded that these disclosure controls and procedures were effective as of March 31, 2024 to provide reasonable assurance that information required to be disclosed by us in reports that we file under the Exchange Act is recorded, processed, summarized, and reported, within the time periods specified in the SEC’s rules and forms and that information required to be disclosed by us in our reports filed or submitted under the Exchange Act is accumulated and communicated to management, including our interim principal executive officer and principal financial officer, as appropriate to allow timely decisions regarding required disclosures.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Changes in Internal Control over Financial Reporting</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For the three months ended March 31, 2024, there were no changes in our internal control over financial reporting that have materially affected, or are reasonably likely to materially affect, our internal control over financial reporting.</w:t>
      </w:r>
    </w:p>
    <w:p>
      <w:pPr>
        <w:pStyle w:val="TextBody"/>
        <w:bidi w:val="0"/>
        <w:spacing w:before="0" w:after="0"/>
        <w:ind w:left="0" w:right="0" w:hanging="0"/>
        <w:jc w:val="left"/>
        <w:rPr/>
      </w:pPr>
      <w:r>
        <w:rPr/>
        <w:t>​</w:t>
      </w:r>
    </w:p>
    <w:p>
      <w:pPr>
        <w:pStyle w:val="TextBody"/>
        <w:bidi w:val="0"/>
        <w:spacing w:before="480" w:after="0"/>
        <w:ind w:left="0" w:right="0" w:hanging="0"/>
        <w:jc w:val="right"/>
        <w:rPr>
          <w:rFonts w:ascii="Times New Roman;Times;serif" w:hAnsi="Times New Roman;Times;serif"/>
          <w:sz w:val="20"/>
        </w:rPr>
      </w:pPr>
      <w:r>
        <w:rPr>
          <w:rFonts w:ascii="Times New Roman;Times;serif" w:hAnsi="Times New Roman;Times;serif"/>
          <w:sz w:val="20"/>
        </w:rPr>
        <w:t>30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bookmarkStart w:id="760" w:name="PARTIIOTHERINFORMATION_171956"/>
      <w:bookmarkStart w:id="761" w:name="_22a9cd25_d8cb_4388_8758_1d412c91cb86"/>
      <w:bookmarkEnd w:id="760"/>
      <w:bookmarkEnd w:id="761"/>
      <w:r>
        <w:rPr>
          <w:rFonts w:ascii="Times New Roman;Times;serif" w:hAnsi="Times New Roman;Times;serif"/>
          <w:b/>
          <w:sz w:val="20"/>
        </w:rPr>
        <w:t>PART II – OTHER INFORMATION</w:t>
      </w:r>
    </w:p>
    <w:p>
      <w:pPr>
        <w:pStyle w:val="TextBody"/>
        <w:bidi w:val="0"/>
        <w:spacing w:before="0" w:after="240"/>
        <w:ind w:left="0" w:right="0" w:hanging="0"/>
        <w:jc w:val="left"/>
        <w:rPr>
          <w:rFonts w:ascii="Times New Roman;Times;serif" w:hAnsi="Times New Roman;Times;serif"/>
          <w:b/>
          <w:sz w:val="20"/>
        </w:rPr>
      </w:pPr>
      <w:bookmarkStart w:id="762" w:name="Item1LegalProceedings_899286"/>
      <w:bookmarkEnd w:id="762"/>
      <w:r>
        <w:rPr>
          <w:rFonts w:ascii="Times New Roman;Times;serif" w:hAnsi="Times New Roman;Times;serif"/>
          <w:b/>
          <w:sz w:val="20"/>
        </w:rPr>
        <w:t>Item 1. Legal Proceedings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We are not currently a party to any pending legal proceedings that we believe will have a material adverse effect on our business, financial condition or cash flows. We may, however, be subject to various claims and legal actions arising in the ordinary course of business from time to time.</w:t>
      </w:r>
    </w:p>
    <w:p>
      <w:pPr>
        <w:pStyle w:val="TextBody"/>
        <w:bidi w:val="0"/>
        <w:spacing w:before="0" w:after="240"/>
        <w:ind w:left="0" w:right="0" w:hanging="0"/>
        <w:jc w:val="left"/>
        <w:rPr>
          <w:rFonts w:ascii="Times New Roman;Times;serif" w:hAnsi="Times New Roman;Times;serif"/>
          <w:b/>
          <w:sz w:val="20"/>
        </w:rPr>
      </w:pPr>
      <w:bookmarkStart w:id="763" w:name="Item1ARiskFactors_566555"/>
      <w:bookmarkStart w:id="764" w:name="_867628db_49c0_4000_b45e_c6163866c60b"/>
      <w:bookmarkEnd w:id="763"/>
      <w:bookmarkEnd w:id="764"/>
      <w:r>
        <w:rPr>
          <w:rFonts w:ascii="Times New Roman;Times;serif" w:hAnsi="Times New Roman;Times;serif"/>
          <w:b/>
          <w:sz w:val="20"/>
        </w:rPr>
        <w:t>Item 1A. Risk Factors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Our future performance is subject to a variety of risks and uncertainties that could materially and adversely affect our business, financial condition, results of operations, and the trading price of our common stock. These risks and uncertainties are described in Part I, Item 1A. “Risk Factors” in our Annual Report on Form 10-K for the year ended December 31, 2023. There have been no material changes to these risks and uncertainties described in our Annual Report on Form 10-K for the year ended December 31, 2023.</w:t>
      </w:r>
    </w:p>
    <w:p>
      <w:pPr>
        <w:pStyle w:val="TextBody"/>
        <w:bidi w:val="0"/>
        <w:spacing w:before="0" w:after="240"/>
        <w:ind w:left="0" w:right="0" w:hanging="0"/>
        <w:jc w:val="left"/>
        <w:rPr>
          <w:rFonts w:ascii="Times New Roman;Times;serif" w:hAnsi="Times New Roman;Times;serif"/>
          <w:b/>
          <w:sz w:val="20"/>
        </w:rPr>
      </w:pPr>
      <w:bookmarkStart w:id="765" w:name="Item2UnregisteredSalesofEquitySecurities"/>
      <w:bookmarkStart w:id="766" w:name="_85b7d2ae_a3f4_47c9_b95f_4b62e87bb64f"/>
      <w:bookmarkEnd w:id="765"/>
      <w:bookmarkEnd w:id="766"/>
      <w:r>
        <w:rPr>
          <w:rFonts w:ascii="Times New Roman;Times;serif" w:hAnsi="Times New Roman;Times;serif"/>
          <w:b/>
          <w:sz w:val="20"/>
        </w:rPr>
        <w:t>Item 2. Unregistered Sales of Equity Securities and Use of Proceeds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None.</w:t>
      </w:r>
    </w:p>
    <w:p>
      <w:pPr>
        <w:pStyle w:val="TextBody"/>
        <w:bidi w:val="0"/>
        <w:spacing w:before="0" w:after="240"/>
        <w:ind w:left="0" w:right="0" w:hanging="0"/>
        <w:jc w:val="left"/>
        <w:rPr>
          <w:rFonts w:ascii="Times New Roman;Times;serif" w:hAnsi="Times New Roman;Times;serif"/>
          <w:b/>
          <w:sz w:val="20"/>
        </w:rPr>
      </w:pPr>
      <w:bookmarkStart w:id="767" w:name="Item3DefaultsUponSeniorSecurities_774055"/>
      <w:bookmarkStart w:id="768" w:name="_4790d842_8eb6_4e1e_a528_d4263521188e"/>
      <w:bookmarkEnd w:id="767"/>
      <w:bookmarkEnd w:id="768"/>
      <w:r>
        <w:rPr>
          <w:rFonts w:ascii="Times New Roman;Times;serif" w:hAnsi="Times New Roman;Times;serif"/>
          <w:b/>
          <w:sz w:val="20"/>
        </w:rPr>
        <w:t>Item 3. Defaults Upon Senior Securities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None.</w:t>
      </w:r>
    </w:p>
    <w:p>
      <w:pPr>
        <w:pStyle w:val="TextBody"/>
        <w:bidi w:val="0"/>
        <w:spacing w:before="0" w:after="240"/>
        <w:ind w:left="0" w:right="0" w:hanging="0"/>
        <w:jc w:val="left"/>
        <w:rPr>
          <w:rFonts w:ascii="Times New Roman;Times;serif" w:hAnsi="Times New Roman;Times;serif"/>
          <w:b/>
          <w:sz w:val="20"/>
        </w:rPr>
      </w:pPr>
      <w:bookmarkStart w:id="769" w:name="Item4MineSafetyDisclosures_549213"/>
      <w:bookmarkStart w:id="770" w:name="_b4ded60a_a110_4cb7_8b4c_b672a218f1e5"/>
      <w:bookmarkEnd w:id="769"/>
      <w:bookmarkEnd w:id="770"/>
      <w:r>
        <w:rPr>
          <w:rFonts w:ascii="Times New Roman;Times;serif" w:hAnsi="Times New Roman;Times;serif"/>
          <w:b/>
          <w:sz w:val="20"/>
        </w:rPr>
        <w:t>Item 4. Mine Safety Disclosures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Not applicable.</w:t>
      </w:r>
    </w:p>
    <w:p>
      <w:pPr>
        <w:pStyle w:val="TextBody"/>
        <w:bidi w:val="0"/>
        <w:spacing w:before="0" w:after="240"/>
        <w:ind w:left="0" w:right="0" w:hanging="0"/>
        <w:jc w:val="left"/>
        <w:rPr>
          <w:rFonts w:ascii="Times New Roman;Times;serif" w:hAnsi="Times New Roman;Times;serif"/>
          <w:b/>
          <w:sz w:val="20"/>
        </w:rPr>
      </w:pPr>
      <w:bookmarkStart w:id="771" w:name="Item5OtherInformation_27695"/>
      <w:bookmarkStart w:id="772" w:name="_86baa5fd_c217_44ef_9a4a_1c037446e31c"/>
      <w:bookmarkEnd w:id="771"/>
      <w:bookmarkEnd w:id="772"/>
      <w:r>
        <w:rPr>
          <w:rFonts w:ascii="Times New Roman;Times;serif" w:hAnsi="Times New Roman;Times;serif"/>
          <w:b/>
          <w:sz w:val="20"/>
        </w:rPr>
        <w:t>Item 5. Other Information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During the three months ended March 31, 2024, no director or officer of the Company adopted or terminated a “Rule 10b5-1 trading arrangement” or non-Rule 10b5-1 trading arrangement,” as each term is defined in Item 408(a) of Regulation S-K.</w:t>
      </w:r>
    </w:p>
    <w:p>
      <w:pPr>
        <w:pStyle w:val="TextBody"/>
        <w:bidi w:val="0"/>
        <w:spacing w:before="0" w:after="0"/>
        <w:ind w:left="0" w:right="0" w:hanging="0"/>
        <w:jc w:val="left"/>
        <w:rPr/>
      </w:pPr>
      <w:r>
        <w:rPr/>
        <w:t>​</w:t>
      </w:r>
    </w:p>
    <w:p>
      <w:pPr>
        <w:pStyle w:val="TextBody"/>
        <w:bidi w:val="0"/>
        <w:spacing w:before="480" w:after="0"/>
        <w:ind w:left="0" w:right="0" w:hanging="0"/>
        <w:jc w:val="right"/>
        <w:rPr>
          <w:rFonts w:ascii="Times New Roman;Times;serif" w:hAnsi="Times New Roman;Times;serif"/>
          <w:sz w:val="20"/>
        </w:rPr>
      </w:pPr>
      <w:r>
        <w:rPr>
          <w:rFonts w:ascii="Times New Roman;Times;serif" w:hAnsi="Times New Roman;Times;serif"/>
          <w:sz w:val="20"/>
        </w:rPr>
        <w:t>31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160"/>
        <w:ind w:left="0" w:right="0" w:hanging="0"/>
        <w:jc w:val="left"/>
        <w:rPr>
          <w:rFonts w:ascii="Times New Roman;Times;serif" w:hAnsi="Times New Roman;Times;serif"/>
          <w:b/>
          <w:sz w:val="20"/>
        </w:rPr>
      </w:pPr>
      <w:bookmarkStart w:id="773" w:name="Item6Exhibits_285226"/>
      <w:bookmarkStart w:id="774" w:name="_53b8e57d_d79e_486b_9923_ff1ded849cad"/>
      <w:bookmarkEnd w:id="773"/>
      <w:bookmarkEnd w:id="774"/>
      <w:r>
        <w:rPr>
          <w:rFonts w:ascii="Times New Roman;Times;serif" w:hAnsi="Times New Roman;Times;serif"/>
          <w:b/>
          <w:sz w:val="20"/>
        </w:rPr>
        <w:t>Item 6. Exhibits</w:t>
      </w:r>
    </w:p>
    <w:p>
      <w:pPr>
        <w:pStyle w:val="TextBody"/>
        <w:bidi w:val="0"/>
        <w:spacing w:before="0" w:after="160"/>
        <w:ind w:left="0" w:right="0" w:hanging="0"/>
        <w:jc w:val="left"/>
        <w:rPr>
          <w:rFonts w:ascii="Times New Roman;Times;serif" w:hAnsi="Times New Roman;Times;serif"/>
          <w:sz w:val="20"/>
        </w:rPr>
      </w:pPr>
      <w:r>
        <w:rPr>
          <w:rFonts w:ascii="Times New Roman;Times;serif" w:hAnsi="Times New Roman;Times;serif"/>
          <w:sz w:val="20"/>
        </w:rPr>
        <w:t>The following are filed, furnished or incorporated by reference as a part of this Quarterly Report on Form 10-Q:</w:t>
      </w:r>
    </w:p>
    <w:tbl>
      <w:tblPr>
        <w:tblW w:w="16524" w:type="dxa"/>
        <w:jc w:val="left"/>
        <w:tblInd w:w="0" w:type="dxa"/>
        <w:tblLayout w:type="fixed"/>
        <w:tblCellMar>
          <w:top w:w="0" w:type="dxa"/>
          <w:left w:w="0" w:type="dxa"/>
          <w:bottom w:w="0" w:type="dxa"/>
          <w:right w:w="0" w:type="dxa"/>
        </w:tblCellMar>
      </w:tblPr>
      <w:tblGrid>
        <w:gridCol w:w="706"/>
        <w:gridCol w:w="326"/>
        <w:gridCol w:w="15301"/>
        <w:gridCol w:w="191"/>
      </w:tblGrid>
      <w:tr>
        <w:trPr/>
        <w:tc>
          <w:tcPr>
            <w:tcW w:w="7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5">
                      <wp:simplePos x="0" y="0"/>
                      <wp:positionH relativeFrom="character">
                        <wp:align>left</wp:align>
                      </wp:positionH>
                      <wp:positionV relativeFrom="line">
                        <wp:posOffset>635</wp:posOffset>
                      </wp:positionV>
                      <wp:extent cx="448310" cy="175260"/>
                      <wp:effectExtent l="0" t="0" r="0" b="0"/>
                      <wp:wrapNone/>
                      <wp:docPr id="254" name="Frame254"/>
                      <a:graphic xmlns:a="http://schemas.openxmlformats.org/drawingml/2006/main">
                        <a:graphicData uri="http://schemas.microsoft.com/office/word/2010/wordprocessingShape">
                          <wps:wsp>
                            <wps:cNvSpPr txBox="1"/>
                            <wps:spPr>
                              <a:xfrm>
                                <a:off x="0" y="0"/>
                                <a:ext cx="4483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6">
                      <wp:simplePos x="0" y="0"/>
                      <wp:positionH relativeFrom="character">
                        <wp:align>left</wp:align>
                      </wp:positionH>
                      <wp:positionV relativeFrom="line">
                        <wp:posOffset>635</wp:posOffset>
                      </wp:positionV>
                      <wp:extent cx="207010" cy="175260"/>
                      <wp:effectExtent l="0" t="0" r="0" b="0"/>
                      <wp:wrapNone/>
                      <wp:docPr id="255" name="Frame25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3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7">
                      <wp:simplePos x="0" y="0"/>
                      <wp:positionH relativeFrom="character">
                        <wp:align>left</wp:align>
                      </wp:positionH>
                      <wp:positionV relativeFrom="line">
                        <wp:posOffset>635</wp:posOffset>
                      </wp:positionV>
                      <wp:extent cx="6480175" cy="175260"/>
                      <wp:effectExtent l="0" t="0" r="0" b="0"/>
                      <wp:wrapNone/>
                      <wp:docPr id="256" name="Frame25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8">
                      <wp:simplePos x="0" y="0"/>
                      <wp:positionH relativeFrom="character">
                        <wp:align>left</wp:align>
                      </wp:positionH>
                      <wp:positionV relativeFrom="line">
                        <wp:posOffset>635</wp:posOffset>
                      </wp:positionV>
                      <wp:extent cx="121285" cy="175260"/>
                      <wp:effectExtent l="0" t="0" r="0" b="0"/>
                      <wp:wrapNone/>
                      <wp:docPr id="257" name="Frame257"/>
                      <a:graphic xmlns:a="http://schemas.openxmlformats.org/drawingml/2006/main">
                        <a:graphicData uri="http://schemas.microsoft.com/office/word/2010/wordprocessingShape">
                          <wps:wsp>
                            <wps:cNvSpPr txBox="1"/>
                            <wps:spPr>
                              <a:xfrm>
                                <a:off x="0" y="0"/>
                                <a:ext cx="121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706" w:type="dxa"/>
            <w:tcBorders>
              <w:bottom w:val="single" w:sz="8"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b/>
                <w:sz w:val="16"/>
              </w:rPr>
              <w:t>Exhibit</w:t>
            </w:r>
            <w:r>
              <w:rPr>
                <w:rFonts w:ascii="Times New Roman;Times;serif" w:hAnsi="Times New Roman;Times;serif"/>
                <w:sz w:val="16"/>
              </w:rPr>
              <w:t xml:space="preserve"> </w:t>
              <w:br/>
            </w:r>
            <w:r>
              <w:rPr>
                <w:rFonts w:ascii="Times New Roman;Times;serif" w:hAnsi="Times New Roman;Times;serif"/>
                <w:b/>
                <w:sz w:val="16"/>
              </w:rPr>
              <w:t>Number</w:t>
            </w:r>
          </w:p>
        </w:tc>
        <w:tc>
          <w:tcPr>
            <w:tcW w:w="326" w:type="dxa"/>
            <w:tcBorders>
              <w:bottom w:val="single" w:sz="8" w:space="0" w:color="000000"/>
            </w:tcBorders>
            <w:tcMar>
              <w:bottom w:w="28" w:type="dxa"/>
            </w:tcMar>
            <w:vAlign w:val="center"/>
          </w:tcPr>
          <w:p>
            <w:pPr>
              <w:pStyle w:val="TableContents"/>
              <w:bidi w:val="0"/>
              <w:spacing w:before="0" w:after="0"/>
              <w:ind w:left="0" w:right="0" w:hanging="0"/>
              <w:jc w:val="left"/>
              <w:rPr/>
            </w:pPr>
            <w:r>
              <w:rPr/>
              <w:t>    </w:t>
            </w:r>
          </w:p>
        </w:tc>
        <w:tc>
          <w:tcPr>
            <w:tcW w:w="15301" w:type="dxa"/>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Description</w:t>
            </w:r>
          </w:p>
        </w:tc>
        <w:tc>
          <w:tcPr>
            <w:tcW w:w="191" w:type="dxa"/>
            <w:tcBorders>
              <w:bottom w:val="single" w:sz="8" w:space="0" w:color="000000"/>
            </w:tcBorders>
            <w:tcMar>
              <w:bottom w:w="28" w:type="dxa"/>
            </w:tcMar>
            <w:vAlign w:val="center"/>
          </w:tcPr>
          <w:p>
            <w:pPr>
              <w:pStyle w:val="TableContents"/>
              <w:bidi w:val="0"/>
              <w:spacing w:before="0" w:after="0"/>
              <w:ind w:left="0" w:right="0" w:hanging="0"/>
              <w:jc w:val="left"/>
              <w:rPr/>
            </w:pPr>
            <w:r>
              <w:rPr/>
              <w:t> </w:t>
            </w:r>
          </w:p>
        </w:tc>
      </w:tr>
      <w:tr>
        <w:trPr/>
        <w:tc>
          <w:tcPr>
            <w:tcW w:w="706" w:type="dxa"/>
            <w:tcBorders>
              <w:top w:val="single" w:sz="8" w:space="0" w:color="000000"/>
            </w:tcBorders>
            <w:tcMar>
              <w:top w:w="28" w:type="dxa"/>
            </w:tcMar>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5301" w:type="dxa"/>
            <w:tcBorders>
              <w:top w:val="single" w:sz="8" w:space="0" w:color="000000"/>
            </w:tcBorders>
            <w:tcMar>
              <w:top w:w="28" w:type="dxa"/>
            </w:tcMar>
            <w:vAlign w:val="center"/>
          </w:tcPr>
          <w:p>
            <w:pPr>
              <w:pStyle w:val="TableContents"/>
              <w:bidi w:val="0"/>
              <w:spacing w:before="0" w:after="0"/>
              <w:ind w:left="0" w:right="0" w:hanging="0"/>
              <w:jc w:val="left"/>
              <w:rPr/>
            </w:pPr>
            <w:r>
              <w:rPr/>
              <w:t>​</w:t>
            </w:r>
          </w:p>
        </w:tc>
        <w:tc>
          <w:tcPr>
            <w:tcW w:w="191" w:type="dxa"/>
            <w:tcBorders/>
            <w:vAlign w:val="center"/>
          </w:tcPr>
          <w:p>
            <w:pPr>
              <w:pStyle w:val="TableContents"/>
              <w:bidi w:val="0"/>
              <w:spacing w:before="0" w:after="0"/>
              <w:ind w:left="0" w:right="0" w:hanging="0"/>
              <w:jc w:val="left"/>
              <w:rPr/>
            </w:pPr>
            <w:r>
              <w:rPr/>
              <w:t>​</w:t>
            </w:r>
          </w:p>
        </w:tc>
      </w:tr>
      <w:tr>
        <w:trPr/>
        <w:tc>
          <w:tcPr>
            <w:tcW w:w="706"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3.1</w:t>
            </w:r>
          </w:p>
        </w:tc>
        <w:tc>
          <w:tcPr>
            <w:tcW w:w="326" w:type="dxa"/>
            <w:tcBorders/>
            <w:vAlign w:val="center"/>
          </w:tcPr>
          <w:p>
            <w:pPr>
              <w:pStyle w:val="TableContents"/>
              <w:bidi w:val="0"/>
              <w:spacing w:before="0" w:after="0"/>
              <w:ind w:left="0" w:right="0" w:hanging="0"/>
              <w:jc w:val="left"/>
              <w:rPr/>
            </w:pPr>
            <w:r>
              <w:rPr/>
              <w:t>​</w:t>
            </w:r>
          </w:p>
        </w:tc>
        <w:tc>
          <w:tcPr>
            <w:tcW w:w="15301" w:type="dxa"/>
            <w:tcBorders/>
            <w:vAlign w:val="center"/>
          </w:tcPr>
          <w:p>
            <w:pPr>
              <w:pStyle w:val="TableContents"/>
              <w:bidi w:val="0"/>
              <w:spacing w:before="0" w:after="0"/>
              <w:ind w:left="0" w:right="0" w:hanging="0"/>
              <w:jc w:val="left"/>
              <w:rPr/>
            </w:pPr>
            <w:hyperlink r:id="rId2">
              <w:r>
                <w:rPr>
                  <w:rStyle w:val="InternetLink"/>
                  <w:rFonts w:ascii="Times New Roman;Times;serif" w:hAnsi="Times New Roman;Times;serif"/>
                  <w:b w:val="false"/>
                  <w:i w:val="false"/>
                  <w:caps w:val="false"/>
                  <w:smallCaps w:val="false"/>
                  <w:sz w:val="20"/>
                </w:rPr>
                <w:t>Second Amended and Restated Certificate of Incorporation of Energous Corporation, as amended (incorporated by reference to Exhibit 3.1 to the Registrant’s Quarterly Report on Form 10-Q filed on August 10, 2020).</w:t>
              </w:r>
            </w:hyperlink>
          </w:p>
        </w:tc>
        <w:tc>
          <w:tcPr>
            <w:tcW w:w="191" w:type="dxa"/>
            <w:tcBorders/>
            <w:vAlign w:val="center"/>
          </w:tcPr>
          <w:p>
            <w:pPr>
              <w:pStyle w:val="TableContents"/>
              <w:bidi w:val="0"/>
              <w:spacing w:before="0" w:after="0"/>
              <w:ind w:left="0" w:right="0" w:hanging="0"/>
              <w:jc w:val="left"/>
              <w:rPr/>
            </w:pPr>
            <w:r>
              <w:rPr/>
              <w:t>​</w:t>
            </w:r>
          </w:p>
        </w:tc>
      </w:tr>
      <w:tr>
        <w:trPr/>
        <w:tc>
          <w:tcPr>
            <w:tcW w:w="70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5301" w:type="dxa"/>
            <w:tcBorders/>
            <w:vAlign w:val="center"/>
          </w:tcPr>
          <w:p>
            <w:pPr>
              <w:pStyle w:val="TableContents"/>
              <w:bidi w:val="0"/>
              <w:spacing w:before="0" w:after="0"/>
              <w:ind w:left="0" w:right="0" w:hanging="0"/>
              <w:jc w:val="left"/>
              <w:rPr/>
            </w:pPr>
            <w:r>
              <w:rPr/>
              <w:t>​</w:t>
            </w:r>
          </w:p>
        </w:tc>
        <w:tc>
          <w:tcPr>
            <w:tcW w:w="191" w:type="dxa"/>
            <w:tcBorders/>
            <w:vAlign w:val="center"/>
          </w:tcPr>
          <w:p>
            <w:pPr>
              <w:pStyle w:val="TableContents"/>
              <w:bidi w:val="0"/>
              <w:spacing w:before="0" w:after="0"/>
              <w:ind w:left="0" w:right="0" w:hanging="0"/>
              <w:jc w:val="left"/>
              <w:rPr/>
            </w:pPr>
            <w:r>
              <w:rPr/>
              <w:t>​</w:t>
            </w:r>
          </w:p>
        </w:tc>
      </w:tr>
      <w:tr>
        <w:trPr/>
        <w:tc>
          <w:tcPr>
            <w:tcW w:w="706"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3.2</w:t>
            </w:r>
          </w:p>
        </w:tc>
        <w:tc>
          <w:tcPr>
            <w:tcW w:w="326" w:type="dxa"/>
            <w:tcBorders/>
            <w:vAlign w:val="center"/>
          </w:tcPr>
          <w:p>
            <w:pPr>
              <w:pStyle w:val="TableContents"/>
              <w:bidi w:val="0"/>
              <w:spacing w:before="0" w:after="0"/>
              <w:ind w:left="0" w:right="0" w:hanging="0"/>
              <w:jc w:val="left"/>
              <w:rPr/>
            </w:pPr>
            <w:r>
              <w:rPr/>
              <w:t>​</w:t>
            </w:r>
          </w:p>
        </w:tc>
        <w:tc>
          <w:tcPr>
            <w:tcW w:w="15301" w:type="dxa"/>
            <w:tcBorders/>
            <w:vAlign w:val="center"/>
          </w:tcPr>
          <w:p>
            <w:pPr>
              <w:pStyle w:val="TableContents"/>
              <w:bidi w:val="0"/>
              <w:spacing w:before="0" w:after="0"/>
              <w:ind w:left="0" w:right="0" w:hanging="0"/>
              <w:jc w:val="left"/>
              <w:rPr/>
            </w:pPr>
            <w:hyperlink r:id="rId3">
              <w:r>
                <w:rPr>
                  <w:rStyle w:val="InternetLink"/>
                  <w:rFonts w:ascii="Times New Roman;Times;serif" w:hAnsi="Times New Roman;Times;serif"/>
                  <w:b w:val="false"/>
                  <w:i w:val="false"/>
                  <w:caps w:val="false"/>
                  <w:smallCaps w:val="false"/>
                  <w:sz w:val="20"/>
                </w:rPr>
                <w:t>Certificate of Amendment to the Second Amended and Restated Certificate of Incorporation of Energous Corporation (incorporated by reference to Exhibit 3.1 to the Registrant’s Current Report on Form 8-K filed on August 15, 2023).</w:t>
              </w:r>
            </w:hyperlink>
          </w:p>
        </w:tc>
        <w:tc>
          <w:tcPr>
            <w:tcW w:w="191" w:type="dxa"/>
            <w:tcBorders/>
            <w:vAlign w:val="center"/>
          </w:tcPr>
          <w:p>
            <w:pPr>
              <w:pStyle w:val="TableContents"/>
              <w:bidi w:val="0"/>
              <w:spacing w:before="0" w:after="0"/>
              <w:ind w:left="0" w:right="0" w:hanging="0"/>
              <w:jc w:val="left"/>
              <w:rPr/>
            </w:pPr>
            <w:r>
              <w:rPr/>
              <w:t>​</w:t>
            </w:r>
          </w:p>
        </w:tc>
      </w:tr>
      <w:tr>
        <w:trPr/>
        <w:tc>
          <w:tcPr>
            <w:tcW w:w="70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5301" w:type="dxa"/>
            <w:tcBorders/>
            <w:vAlign w:val="center"/>
          </w:tcPr>
          <w:p>
            <w:pPr>
              <w:pStyle w:val="TableContents"/>
              <w:bidi w:val="0"/>
              <w:spacing w:before="0" w:after="0"/>
              <w:ind w:left="0" w:right="0" w:hanging="0"/>
              <w:jc w:val="left"/>
              <w:rPr/>
            </w:pPr>
            <w:r>
              <w:rPr/>
              <w:t>​</w:t>
            </w:r>
          </w:p>
        </w:tc>
        <w:tc>
          <w:tcPr>
            <w:tcW w:w="191" w:type="dxa"/>
            <w:tcBorders/>
            <w:vAlign w:val="center"/>
          </w:tcPr>
          <w:p>
            <w:pPr>
              <w:pStyle w:val="TableContents"/>
              <w:bidi w:val="0"/>
              <w:spacing w:before="0" w:after="0"/>
              <w:ind w:left="0" w:right="0" w:hanging="0"/>
              <w:jc w:val="left"/>
              <w:rPr/>
            </w:pPr>
            <w:r>
              <w:rPr/>
              <w:t>​</w:t>
            </w:r>
          </w:p>
        </w:tc>
      </w:tr>
      <w:tr>
        <w:trPr/>
        <w:tc>
          <w:tcPr>
            <w:tcW w:w="706"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3.3</w:t>
            </w:r>
          </w:p>
        </w:tc>
        <w:tc>
          <w:tcPr>
            <w:tcW w:w="326" w:type="dxa"/>
            <w:tcBorders/>
            <w:vAlign w:val="center"/>
          </w:tcPr>
          <w:p>
            <w:pPr>
              <w:pStyle w:val="TableContents"/>
              <w:bidi w:val="0"/>
              <w:spacing w:before="0" w:after="0"/>
              <w:ind w:left="0" w:right="0" w:hanging="0"/>
              <w:jc w:val="left"/>
              <w:rPr/>
            </w:pPr>
            <w:r>
              <w:rPr/>
              <w:t>​</w:t>
            </w:r>
          </w:p>
        </w:tc>
        <w:tc>
          <w:tcPr>
            <w:tcW w:w="15301" w:type="dxa"/>
            <w:tcBorders/>
            <w:vAlign w:val="center"/>
          </w:tcPr>
          <w:p>
            <w:pPr>
              <w:pStyle w:val="TableContents"/>
              <w:bidi w:val="0"/>
              <w:spacing w:before="0" w:after="0"/>
              <w:ind w:left="0" w:right="0" w:hanging="0"/>
              <w:jc w:val="left"/>
              <w:rPr/>
            </w:pPr>
            <w:hyperlink r:id="rId4">
              <w:r>
                <w:rPr>
                  <w:rStyle w:val="InternetLink"/>
                  <w:rFonts w:ascii="Times New Roman;Times;serif" w:hAnsi="Times New Roman;Times;serif"/>
                  <w:b w:val="false"/>
                  <w:i w:val="false"/>
                  <w:caps w:val="false"/>
                  <w:smallCaps w:val="false"/>
                  <w:sz w:val="20"/>
                </w:rPr>
                <w:t>Amended and Restated Bylaws of Energous Corporation (incorporated by reference to Exhibit 3.1 to Amendment No. 1 to the Registrant’s Registration Statement on Form S-1/A (File No. 333-193522) filed on March 13, 2014).</w:t>
              </w:r>
            </w:hyperlink>
          </w:p>
        </w:tc>
        <w:tc>
          <w:tcPr>
            <w:tcW w:w="191" w:type="dxa"/>
            <w:tcBorders/>
            <w:vAlign w:val="center"/>
          </w:tcPr>
          <w:p>
            <w:pPr>
              <w:pStyle w:val="TableContents"/>
              <w:bidi w:val="0"/>
              <w:spacing w:before="0" w:after="0"/>
              <w:ind w:left="0" w:right="0" w:hanging="0"/>
              <w:jc w:val="left"/>
              <w:rPr/>
            </w:pPr>
            <w:r>
              <w:rPr/>
              <w:t>​</w:t>
            </w:r>
          </w:p>
        </w:tc>
      </w:tr>
      <w:tr>
        <w:trPr/>
        <w:tc>
          <w:tcPr>
            <w:tcW w:w="70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5301" w:type="dxa"/>
            <w:tcBorders/>
            <w:vAlign w:val="center"/>
          </w:tcPr>
          <w:p>
            <w:pPr>
              <w:pStyle w:val="TableContents"/>
              <w:bidi w:val="0"/>
              <w:spacing w:before="0" w:after="0"/>
              <w:ind w:left="0" w:right="0" w:hanging="0"/>
              <w:jc w:val="left"/>
              <w:rPr/>
            </w:pPr>
            <w:r>
              <w:rPr/>
              <w:t>​</w:t>
            </w:r>
          </w:p>
        </w:tc>
        <w:tc>
          <w:tcPr>
            <w:tcW w:w="191" w:type="dxa"/>
            <w:tcBorders/>
            <w:vAlign w:val="center"/>
          </w:tcPr>
          <w:p>
            <w:pPr>
              <w:pStyle w:val="TableContents"/>
              <w:bidi w:val="0"/>
              <w:spacing w:before="0" w:after="0"/>
              <w:ind w:left="0" w:right="0" w:hanging="0"/>
              <w:jc w:val="left"/>
              <w:rPr/>
            </w:pPr>
            <w:r>
              <w:rPr/>
              <w:t>​</w:t>
            </w:r>
          </w:p>
        </w:tc>
      </w:tr>
      <w:tr>
        <w:trPr/>
        <w:tc>
          <w:tcPr>
            <w:tcW w:w="706"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4.1</w:t>
            </w:r>
          </w:p>
        </w:tc>
        <w:tc>
          <w:tcPr>
            <w:tcW w:w="326" w:type="dxa"/>
            <w:tcBorders/>
            <w:vAlign w:val="center"/>
          </w:tcPr>
          <w:p>
            <w:pPr>
              <w:pStyle w:val="TableContents"/>
              <w:bidi w:val="0"/>
              <w:spacing w:before="0" w:after="0"/>
              <w:ind w:left="0" w:right="0" w:hanging="0"/>
              <w:jc w:val="left"/>
              <w:rPr/>
            </w:pPr>
            <w:r>
              <w:rPr/>
              <w:t>​</w:t>
            </w:r>
          </w:p>
        </w:tc>
        <w:tc>
          <w:tcPr>
            <w:tcW w:w="15301" w:type="dxa"/>
            <w:tcBorders/>
            <w:vAlign w:val="center"/>
          </w:tcPr>
          <w:p>
            <w:pPr>
              <w:pStyle w:val="TableContents"/>
              <w:bidi w:val="0"/>
              <w:spacing w:before="0" w:after="0"/>
              <w:ind w:left="0" w:right="0" w:hanging="0"/>
              <w:jc w:val="left"/>
              <w:rPr/>
            </w:pPr>
            <w:hyperlink r:id="rId5">
              <w:r>
                <w:rPr>
                  <w:rStyle w:val="InternetLink"/>
                  <w:rFonts w:ascii="Times New Roman;Times;serif" w:hAnsi="Times New Roman;Times;serif"/>
                  <w:b w:val="false"/>
                  <w:i w:val="false"/>
                  <w:caps w:val="false"/>
                  <w:smallCaps w:val="false"/>
                  <w:sz w:val="20"/>
                </w:rPr>
                <w:t>Form of Pre-Funded Common Stock Purchase Warrant (incorporated by reference to Exhibit 4.1 of the Current Report on Form 8-K filed on February 20, 2024).</w:t>
              </w:r>
            </w:hyperlink>
          </w:p>
        </w:tc>
        <w:tc>
          <w:tcPr>
            <w:tcW w:w="191" w:type="dxa"/>
            <w:tcBorders/>
            <w:vAlign w:val="center"/>
          </w:tcPr>
          <w:p>
            <w:pPr>
              <w:pStyle w:val="TableContents"/>
              <w:bidi w:val="0"/>
              <w:spacing w:before="0" w:after="0"/>
              <w:ind w:left="0" w:right="0" w:hanging="0"/>
              <w:jc w:val="left"/>
              <w:rPr/>
            </w:pPr>
            <w:r>
              <w:rPr/>
              <w:t>​</w:t>
            </w:r>
          </w:p>
        </w:tc>
      </w:tr>
      <w:tr>
        <w:trPr/>
        <w:tc>
          <w:tcPr>
            <w:tcW w:w="70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5301" w:type="dxa"/>
            <w:tcBorders/>
            <w:vAlign w:val="center"/>
          </w:tcPr>
          <w:p>
            <w:pPr>
              <w:pStyle w:val="TableContents"/>
              <w:bidi w:val="0"/>
              <w:spacing w:before="0" w:after="0"/>
              <w:ind w:left="0" w:right="0" w:hanging="0"/>
              <w:jc w:val="left"/>
              <w:rPr/>
            </w:pPr>
            <w:r>
              <w:rPr/>
              <w:t>​</w:t>
            </w:r>
          </w:p>
        </w:tc>
        <w:tc>
          <w:tcPr>
            <w:tcW w:w="191" w:type="dxa"/>
            <w:tcBorders/>
            <w:vAlign w:val="center"/>
          </w:tcPr>
          <w:p>
            <w:pPr>
              <w:pStyle w:val="TableContents"/>
              <w:bidi w:val="0"/>
              <w:spacing w:before="0" w:after="0"/>
              <w:ind w:left="0" w:right="0" w:hanging="0"/>
              <w:jc w:val="left"/>
              <w:rPr/>
            </w:pPr>
            <w:r>
              <w:rPr/>
              <w:t>​</w:t>
            </w:r>
          </w:p>
        </w:tc>
      </w:tr>
      <w:tr>
        <w:trPr/>
        <w:tc>
          <w:tcPr>
            <w:tcW w:w="706"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4.2</w:t>
            </w:r>
          </w:p>
        </w:tc>
        <w:tc>
          <w:tcPr>
            <w:tcW w:w="326" w:type="dxa"/>
            <w:tcBorders/>
            <w:vAlign w:val="center"/>
          </w:tcPr>
          <w:p>
            <w:pPr>
              <w:pStyle w:val="TableContents"/>
              <w:bidi w:val="0"/>
              <w:spacing w:before="0" w:after="0"/>
              <w:ind w:left="0" w:right="0" w:hanging="0"/>
              <w:jc w:val="left"/>
              <w:rPr/>
            </w:pPr>
            <w:r>
              <w:rPr/>
              <w:t>​</w:t>
            </w:r>
          </w:p>
        </w:tc>
        <w:tc>
          <w:tcPr>
            <w:tcW w:w="15301" w:type="dxa"/>
            <w:tcBorders/>
            <w:vAlign w:val="center"/>
          </w:tcPr>
          <w:p>
            <w:pPr>
              <w:pStyle w:val="TableContents"/>
              <w:bidi w:val="0"/>
              <w:spacing w:before="0" w:after="0"/>
              <w:ind w:left="0" w:right="0" w:hanging="0"/>
              <w:jc w:val="left"/>
              <w:rPr/>
            </w:pPr>
            <w:hyperlink r:id="rId6">
              <w:r>
                <w:rPr>
                  <w:rStyle w:val="InternetLink"/>
                  <w:rFonts w:ascii="Times New Roman;Times;serif" w:hAnsi="Times New Roman;Times;serif"/>
                  <w:b w:val="false"/>
                  <w:i w:val="false"/>
                  <w:caps w:val="false"/>
                  <w:smallCaps w:val="false"/>
                  <w:sz w:val="20"/>
                </w:rPr>
                <w:t>Form of Common Stock Purchase Warrant (incorporated by reference to Exhibit 4.2 of the Current Report on Form 8-K filed on February 20, 2024).</w:t>
              </w:r>
            </w:hyperlink>
          </w:p>
        </w:tc>
        <w:tc>
          <w:tcPr>
            <w:tcW w:w="191" w:type="dxa"/>
            <w:tcBorders/>
            <w:vAlign w:val="center"/>
          </w:tcPr>
          <w:p>
            <w:pPr>
              <w:pStyle w:val="TableContents"/>
              <w:bidi w:val="0"/>
              <w:spacing w:before="0" w:after="0"/>
              <w:ind w:left="0" w:right="0" w:hanging="0"/>
              <w:jc w:val="left"/>
              <w:rPr/>
            </w:pPr>
            <w:r>
              <w:rPr/>
              <w:t>​</w:t>
            </w:r>
          </w:p>
        </w:tc>
      </w:tr>
      <w:tr>
        <w:trPr/>
        <w:tc>
          <w:tcPr>
            <w:tcW w:w="70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5301" w:type="dxa"/>
            <w:tcBorders/>
            <w:vAlign w:val="center"/>
          </w:tcPr>
          <w:p>
            <w:pPr>
              <w:pStyle w:val="TableContents"/>
              <w:bidi w:val="0"/>
              <w:spacing w:before="0" w:after="0"/>
              <w:ind w:left="0" w:right="0" w:hanging="0"/>
              <w:jc w:val="left"/>
              <w:rPr/>
            </w:pPr>
            <w:r>
              <w:rPr/>
              <w:t>​</w:t>
            </w:r>
          </w:p>
        </w:tc>
        <w:tc>
          <w:tcPr>
            <w:tcW w:w="191" w:type="dxa"/>
            <w:tcBorders/>
            <w:vAlign w:val="center"/>
          </w:tcPr>
          <w:p>
            <w:pPr>
              <w:pStyle w:val="TableContents"/>
              <w:bidi w:val="0"/>
              <w:spacing w:before="0" w:after="0"/>
              <w:ind w:left="0" w:right="0" w:hanging="0"/>
              <w:jc w:val="left"/>
              <w:rPr/>
            </w:pPr>
            <w:r>
              <w:rPr/>
              <w:t>​</w:t>
            </w:r>
          </w:p>
        </w:tc>
      </w:tr>
      <w:tr>
        <w:trPr/>
        <w:tc>
          <w:tcPr>
            <w:tcW w:w="706"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w:t>
            </w:r>
          </w:p>
        </w:tc>
        <w:tc>
          <w:tcPr>
            <w:tcW w:w="326" w:type="dxa"/>
            <w:tcBorders/>
            <w:vAlign w:val="center"/>
          </w:tcPr>
          <w:p>
            <w:pPr>
              <w:pStyle w:val="TableContents"/>
              <w:bidi w:val="0"/>
              <w:spacing w:before="0" w:after="0"/>
              <w:ind w:left="0" w:right="0" w:hanging="0"/>
              <w:jc w:val="left"/>
              <w:rPr/>
            </w:pPr>
            <w:r>
              <w:rPr/>
              <w:t>​</w:t>
            </w:r>
          </w:p>
        </w:tc>
        <w:tc>
          <w:tcPr>
            <w:tcW w:w="15301" w:type="dxa"/>
            <w:tcBorders/>
            <w:vAlign w:val="center"/>
          </w:tcPr>
          <w:p>
            <w:pPr>
              <w:pStyle w:val="TableContents"/>
              <w:bidi w:val="0"/>
              <w:spacing w:before="0" w:after="0"/>
              <w:ind w:left="0" w:right="0" w:hanging="0"/>
              <w:jc w:val="left"/>
              <w:rPr/>
            </w:pPr>
            <w:hyperlink r:id="rId7">
              <w:r>
                <w:rPr>
                  <w:rStyle w:val="InternetLink"/>
                  <w:rFonts w:ascii="Times New Roman;Times;serif" w:hAnsi="Times New Roman;Times;serif"/>
                  <w:b w:val="false"/>
                  <w:i w:val="false"/>
                  <w:caps w:val="false"/>
                  <w:smallCaps w:val="false"/>
                  <w:sz w:val="20"/>
                </w:rPr>
                <w:t>Form of Securities Purchase Agreement (incorporated by reference to Exhibit 10.1 of the Current Report on Form 8-K filed on February 20, 2024).</w:t>
              </w:r>
            </w:hyperlink>
          </w:p>
        </w:tc>
        <w:tc>
          <w:tcPr>
            <w:tcW w:w="191" w:type="dxa"/>
            <w:tcBorders/>
            <w:vAlign w:val="center"/>
          </w:tcPr>
          <w:p>
            <w:pPr>
              <w:pStyle w:val="TableContents"/>
              <w:bidi w:val="0"/>
              <w:spacing w:before="0" w:after="0"/>
              <w:ind w:left="0" w:right="0" w:hanging="0"/>
              <w:jc w:val="left"/>
              <w:rPr/>
            </w:pPr>
            <w:r>
              <w:rPr/>
              <w:t>​</w:t>
            </w:r>
          </w:p>
        </w:tc>
      </w:tr>
      <w:tr>
        <w:trPr/>
        <w:tc>
          <w:tcPr>
            <w:tcW w:w="70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5301" w:type="dxa"/>
            <w:tcBorders/>
            <w:vAlign w:val="center"/>
          </w:tcPr>
          <w:p>
            <w:pPr>
              <w:pStyle w:val="TableContents"/>
              <w:bidi w:val="0"/>
              <w:spacing w:before="0" w:after="0"/>
              <w:ind w:left="0" w:right="0" w:hanging="0"/>
              <w:jc w:val="left"/>
              <w:rPr/>
            </w:pPr>
            <w:r>
              <w:rPr/>
              <w:t>​</w:t>
            </w:r>
          </w:p>
        </w:tc>
        <w:tc>
          <w:tcPr>
            <w:tcW w:w="191" w:type="dxa"/>
            <w:tcBorders/>
            <w:vAlign w:val="center"/>
          </w:tcPr>
          <w:p>
            <w:pPr>
              <w:pStyle w:val="TableContents"/>
              <w:bidi w:val="0"/>
              <w:spacing w:before="0" w:after="0"/>
              <w:ind w:left="0" w:right="0" w:hanging="0"/>
              <w:jc w:val="left"/>
              <w:rPr/>
            </w:pPr>
            <w:r>
              <w:rPr/>
              <w:t>​</w:t>
            </w:r>
          </w:p>
        </w:tc>
      </w:tr>
      <w:tr>
        <w:trPr/>
        <w:tc>
          <w:tcPr>
            <w:tcW w:w="7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10.2#</w:t>
            </w:r>
          </w:p>
        </w:tc>
        <w:tc>
          <w:tcPr>
            <w:tcW w:w="326" w:type="dxa"/>
            <w:tcBorders/>
            <w:vAlign w:val="center"/>
          </w:tcPr>
          <w:p>
            <w:pPr>
              <w:pStyle w:val="TableContents"/>
              <w:bidi w:val="0"/>
              <w:spacing w:before="0" w:after="0"/>
              <w:ind w:left="0" w:right="0" w:hanging="0"/>
              <w:jc w:val="left"/>
              <w:rPr/>
            </w:pPr>
            <w:r>
              <w:rPr/>
              <w:t>​</w:t>
            </w:r>
          </w:p>
        </w:tc>
        <w:tc>
          <w:tcPr>
            <w:tcW w:w="15301" w:type="dxa"/>
            <w:tcBorders/>
            <w:vAlign w:val="center"/>
          </w:tcPr>
          <w:p>
            <w:pPr>
              <w:pStyle w:val="TableContents"/>
              <w:bidi w:val="0"/>
              <w:spacing w:before="0" w:after="0"/>
              <w:ind w:left="0" w:right="0" w:hanging="0"/>
              <w:jc w:val="left"/>
              <w:rPr/>
            </w:pPr>
            <w:hyperlink r:id="rId8">
              <w:r>
                <w:rPr>
                  <w:rStyle w:val="InternetLink"/>
                  <w:rFonts w:ascii="Times New Roman;Times;serif" w:hAnsi="Times New Roman;Times;serif"/>
                  <w:b w:val="false"/>
                  <w:i w:val="false"/>
                  <w:caps w:val="false"/>
                  <w:smallCaps w:val="false"/>
                  <w:sz w:val="20"/>
                </w:rPr>
                <w:t>Energous Corporation 2017 Equity Inducement Plan, as amended and restated on March 14, 2024 (incorporated by reference to Exhibit 99.3 of the Registration Statement on Form S-8 (File No. 333-278352), filed on March 28, 2024).</w:t>
              </w:r>
            </w:hyperlink>
          </w:p>
        </w:tc>
        <w:tc>
          <w:tcPr>
            <w:tcW w:w="191" w:type="dxa"/>
            <w:tcBorders/>
            <w:vAlign w:val="center"/>
          </w:tcPr>
          <w:p>
            <w:pPr>
              <w:pStyle w:val="TableContents"/>
              <w:bidi w:val="0"/>
              <w:spacing w:before="0" w:after="0"/>
              <w:ind w:left="0" w:right="0" w:hanging="0"/>
              <w:jc w:val="left"/>
              <w:rPr/>
            </w:pPr>
            <w:r>
              <w:rPr/>
              <w:t>​</w:t>
            </w:r>
          </w:p>
        </w:tc>
      </w:tr>
      <w:tr>
        <w:trPr/>
        <w:tc>
          <w:tcPr>
            <w:tcW w:w="70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5301" w:type="dxa"/>
            <w:tcBorders/>
            <w:vAlign w:val="center"/>
          </w:tcPr>
          <w:p>
            <w:pPr>
              <w:pStyle w:val="TableContents"/>
              <w:bidi w:val="0"/>
              <w:spacing w:before="0" w:after="0"/>
              <w:ind w:left="0" w:right="0" w:hanging="0"/>
              <w:jc w:val="left"/>
              <w:rPr/>
            </w:pPr>
            <w:r>
              <w:rPr/>
              <w:t>​</w:t>
            </w:r>
          </w:p>
        </w:tc>
        <w:tc>
          <w:tcPr>
            <w:tcW w:w="191" w:type="dxa"/>
            <w:tcBorders/>
            <w:vAlign w:val="center"/>
          </w:tcPr>
          <w:p>
            <w:pPr>
              <w:pStyle w:val="TableContents"/>
              <w:bidi w:val="0"/>
              <w:spacing w:before="0" w:after="0"/>
              <w:ind w:left="0" w:right="0" w:hanging="0"/>
              <w:jc w:val="left"/>
              <w:rPr/>
            </w:pPr>
            <w:r>
              <w:rPr/>
              <w:t>​</w:t>
            </w:r>
          </w:p>
        </w:tc>
      </w:tr>
      <w:tr>
        <w:trPr/>
        <w:tc>
          <w:tcPr>
            <w:tcW w:w="706"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31.1+</w:t>
            </w:r>
          </w:p>
        </w:tc>
        <w:tc>
          <w:tcPr>
            <w:tcW w:w="326" w:type="dxa"/>
            <w:tcBorders/>
            <w:vAlign w:val="center"/>
          </w:tcPr>
          <w:p>
            <w:pPr>
              <w:pStyle w:val="TableContents"/>
              <w:bidi w:val="0"/>
              <w:spacing w:before="0" w:after="0"/>
              <w:ind w:left="0" w:right="0" w:hanging="0"/>
              <w:jc w:val="left"/>
              <w:rPr/>
            </w:pPr>
            <w:r>
              <w:rPr/>
              <w:t>​</w:t>
            </w:r>
          </w:p>
        </w:tc>
        <w:tc>
          <w:tcPr>
            <w:tcW w:w="15301" w:type="dxa"/>
            <w:tcBorders/>
            <w:vAlign w:val="center"/>
          </w:tcPr>
          <w:p>
            <w:pPr>
              <w:pStyle w:val="TableContents"/>
              <w:bidi w:val="0"/>
              <w:spacing w:before="0" w:after="0"/>
              <w:ind w:left="0" w:right="0" w:hanging="0"/>
              <w:jc w:val="left"/>
              <w:rPr/>
            </w:pPr>
            <w:hyperlink w:anchor="watt-20240331xex31d1.htm">
              <w:r>
                <w:rPr>
                  <w:rStyle w:val="InternetLink"/>
                  <w:rFonts w:ascii="Times New Roman;Times;serif" w:hAnsi="Times New Roman;Times;serif"/>
                  <w:b w:val="false"/>
                  <w:i w:val="false"/>
                  <w:caps w:val="false"/>
                  <w:smallCaps w:val="false"/>
                  <w:sz w:val="20"/>
                </w:rPr>
                <w:t>Certification Pursuant to Rule 13a-14(a) or Rule 15d-14(a) of the Securities Exchange Act of 1934</w:t>
              </w:r>
            </w:hyperlink>
          </w:p>
        </w:tc>
        <w:tc>
          <w:tcPr>
            <w:tcW w:w="191" w:type="dxa"/>
            <w:tcBorders/>
            <w:vAlign w:val="center"/>
          </w:tcPr>
          <w:p>
            <w:pPr>
              <w:pStyle w:val="TableContents"/>
              <w:bidi w:val="0"/>
              <w:spacing w:before="0" w:after="0"/>
              <w:ind w:left="0" w:right="0" w:hanging="0"/>
              <w:jc w:val="left"/>
              <w:rPr/>
            </w:pPr>
            <w:r>
              <w:rPr/>
              <w:t>​</w:t>
            </w:r>
          </w:p>
        </w:tc>
      </w:tr>
      <w:tr>
        <w:trPr/>
        <w:tc>
          <w:tcPr>
            <w:tcW w:w="70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5301" w:type="dxa"/>
            <w:tcBorders/>
            <w:vAlign w:val="center"/>
          </w:tcPr>
          <w:p>
            <w:pPr>
              <w:pStyle w:val="TableContents"/>
              <w:bidi w:val="0"/>
              <w:spacing w:before="0" w:after="0"/>
              <w:ind w:left="0" w:right="0" w:hanging="0"/>
              <w:jc w:val="left"/>
              <w:rPr/>
            </w:pPr>
            <w:r>
              <w:rPr/>
              <w:t>​</w:t>
            </w:r>
          </w:p>
        </w:tc>
        <w:tc>
          <w:tcPr>
            <w:tcW w:w="191" w:type="dxa"/>
            <w:tcBorders/>
            <w:vAlign w:val="center"/>
          </w:tcPr>
          <w:p>
            <w:pPr>
              <w:pStyle w:val="TableContents"/>
              <w:bidi w:val="0"/>
              <w:spacing w:before="0" w:after="0"/>
              <w:ind w:left="0" w:right="0" w:hanging="0"/>
              <w:jc w:val="left"/>
              <w:rPr/>
            </w:pPr>
            <w:r>
              <w:rPr/>
              <w:t>​</w:t>
            </w:r>
          </w:p>
        </w:tc>
      </w:tr>
      <w:tr>
        <w:trPr/>
        <w:tc>
          <w:tcPr>
            <w:tcW w:w="706"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32.1+</w:t>
            </w:r>
          </w:p>
        </w:tc>
        <w:tc>
          <w:tcPr>
            <w:tcW w:w="326" w:type="dxa"/>
            <w:tcBorders/>
            <w:vAlign w:val="center"/>
          </w:tcPr>
          <w:p>
            <w:pPr>
              <w:pStyle w:val="TableContents"/>
              <w:bidi w:val="0"/>
              <w:spacing w:before="0" w:after="0"/>
              <w:ind w:left="0" w:right="0" w:hanging="0"/>
              <w:jc w:val="left"/>
              <w:rPr/>
            </w:pPr>
            <w:r>
              <w:rPr/>
              <w:t>​</w:t>
            </w:r>
          </w:p>
        </w:tc>
        <w:tc>
          <w:tcPr>
            <w:tcW w:w="15301" w:type="dxa"/>
            <w:tcBorders/>
            <w:vAlign w:val="center"/>
          </w:tcPr>
          <w:p>
            <w:pPr>
              <w:pStyle w:val="TableContents"/>
              <w:bidi w:val="0"/>
              <w:spacing w:before="0" w:after="0"/>
              <w:ind w:left="0" w:right="0" w:hanging="0"/>
              <w:jc w:val="left"/>
              <w:rPr/>
            </w:pPr>
            <w:hyperlink w:anchor="watt-20240331xex32d1.htm">
              <w:r>
                <w:rPr>
                  <w:rStyle w:val="InternetLink"/>
                  <w:rFonts w:ascii="Times New Roman;Times;serif" w:hAnsi="Times New Roman;Times;serif"/>
                  <w:b w:val="false"/>
                  <w:i w:val="false"/>
                  <w:caps w:val="false"/>
                  <w:smallCaps w:val="false"/>
                  <w:sz w:val="20"/>
                </w:rPr>
                <w:t>Certification Pursuant to 18 U.S.C Section 1350, as Adopted Pursuant to Section 906 of the Sarbanes-Oxley Act of 2002</w:t>
              </w:r>
            </w:hyperlink>
          </w:p>
        </w:tc>
        <w:tc>
          <w:tcPr>
            <w:tcW w:w="191" w:type="dxa"/>
            <w:tcBorders/>
            <w:vAlign w:val="center"/>
          </w:tcPr>
          <w:p>
            <w:pPr>
              <w:pStyle w:val="TableContents"/>
              <w:bidi w:val="0"/>
              <w:spacing w:before="0" w:after="0"/>
              <w:ind w:left="0" w:right="0" w:hanging="0"/>
              <w:jc w:val="left"/>
              <w:rPr/>
            </w:pPr>
            <w:r>
              <w:rPr/>
              <w:t>​</w:t>
            </w:r>
          </w:p>
        </w:tc>
      </w:tr>
      <w:tr>
        <w:trPr/>
        <w:tc>
          <w:tcPr>
            <w:tcW w:w="70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5301" w:type="dxa"/>
            <w:tcBorders/>
            <w:vAlign w:val="center"/>
          </w:tcPr>
          <w:p>
            <w:pPr>
              <w:pStyle w:val="TableContents"/>
              <w:bidi w:val="0"/>
              <w:spacing w:before="0" w:after="0"/>
              <w:ind w:left="0" w:right="0" w:hanging="0"/>
              <w:jc w:val="left"/>
              <w:rPr/>
            </w:pPr>
            <w:r>
              <w:rPr/>
              <w:t>​</w:t>
            </w:r>
          </w:p>
        </w:tc>
        <w:tc>
          <w:tcPr>
            <w:tcW w:w="191" w:type="dxa"/>
            <w:tcBorders/>
            <w:vAlign w:val="center"/>
          </w:tcPr>
          <w:p>
            <w:pPr>
              <w:pStyle w:val="TableContents"/>
              <w:bidi w:val="0"/>
              <w:spacing w:before="0" w:after="0"/>
              <w:ind w:left="0" w:right="0" w:hanging="0"/>
              <w:jc w:val="left"/>
              <w:rPr/>
            </w:pPr>
            <w:r>
              <w:rPr/>
              <w:t>​</w:t>
            </w:r>
          </w:p>
        </w:tc>
      </w:tr>
      <w:tr>
        <w:trPr/>
        <w:tc>
          <w:tcPr>
            <w:tcW w:w="706"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101.INS†</w:t>
            </w:r>
          </w:p>
        </w:tc>
        <w:tc>
          <w:tcPr>
            <w:tcW w:w="326" w:type="dxa"/>
            <w:tcBorders/>
            <w:vAlign w:val="center"/>
          </w:tcPr>
          <w:p>
            <w:pPr>
              <w:pStyle w:val="TableContents"/>
              <w:bidi w:val="0"/>
              <w:spacing w:before="0" w:after="0"/>
              <w:ind w:left="0" w:right="0" w:hanging="0"/>
              <w:jc w:val="left"/>
              <w:rPr/>
            </w:pPr>
            <w:r>
              <w:rPr/>
              <w:t>​</w:t>
            </w:r>
          </w:p>
        </w:tc>
        <w:tc>
          <w:tcPr>
            <w:tcW w:w="153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Inline XBRL Instance Document - the instance document does not appear in the Interactive Data File because its XBRL tags are embedded within the Inline XBRL document.</w:t>
            </w:r>
          </w:p>
        </w:tc>
        <w:tc>
          <w:tcPr>
            <w:tcW w:w="191" w:type="dxa"/>
            <w:tcBorders/>
            <w:vAlign w:val="center"/>
          </w:tcPr>
          <w:p>
            <w:pPr>
              <w:pStyle w:val="TableContents"/>
              <w:bidi w:val="0"/>
              <w:spacing w:before="0" w:after="0"/>
              <w:ind w:left="0" w:right="0" w:hanging="0"/>
              <w:jc w:val="left"/>
              <w:rPr/>
            </w:pPr>
            <w:r>
              <w:rPr/>
              <w:t>​</w:t>
            </w:r>
          </w:p>
        </w:tc>
      </w:tr>
      <w:tr>
        <w:trPr/>
        <w:tc>
          <w:tcPr>
            <w:tcW w:w="70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5301" w:type="dxa"/>
            <w:tcBorders/>
            <w:vAlign w:val="center"/>
          </w:tcPr>
          <w:p>
            <w:pPr>
              <w:pStyle w:val="TableContents"/>
              <w:bidi w:val="0"/>
              <w:spacing w:before="0" w:after="0"/>
              <w:ind w:left="0" w:right="0" w:hanging="0"/>
              <w:jc w:val="left"/>
              <w:rPr/>
            </w:pPr>
            <w:r>
              <w:rPr/>
              <w:t>​</w:t>
            </w:r>
          </w:p>
        </w:tc>
        <w:tc>
          <w:tcPr>
            <w:tcW w:w="191" w:type="dxa"/>
            <w:tcBorders/>
            <w:vAlign w:val="center"/>
          </w:tcPr>
          <w:p>
            <w:pPr>
              <w:pStyle w:val="TableContents"/>
              <w:bidi w:val="0"/>
              <w:spacing w:before="0" w:after="0"/>
              <w:ind w:left="0" w:right="0" w:hanging="0"/>
              <w:jc w:val="left"/>
              <w:rPr/>
            </w:pPr>
            <w:r>
              <w:rPr/>
              <w:t>​</w:t>
            </w:r>
          </w:p>
        </w:tc>
      </w:tr>
      <w:tr>
        <w:trPr/>
        <w:tc>
          <w:tcPr>
            <w:tcW w:w="706"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101.SCH†</w:t>
            </w:r>
          </w:p>
        </w:tc>
        <w:tc>
          <w:tcPr>
            <w:tcW w:w="326" w:type="dxa"/>
            <w:tcBorders/>
            <w:vAlign w:val="center"/>
          </w:tcPr>
          <w:p>
            <w:pPr>
              <w:pStyle w:val="TableContents"/>
              <w:bidi w:val="0"/>
              <w:spacing w:before="0" w:after="0"/>
              <w:ind w:left="0" w:right="0" w:hanging="0"/>
              <w:jc w:val="left"/>
              <w:rPr/>
            </w:pPr>
            <w:r>
              <w:rPr/>
              <w:t>​</w:t>
            </w:r>
          </w:p>
        </w:tc>
        <w:tc>
          <w:tcPr>
            <w:tcW w:w="153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Inline XBRL Taxonomy Extension Schema Document</w:t>
            </w:r>
          </w:p>
        </w:tc>
        <w:tc>
          <w:tcPr>
            <w:tcW w:w="191" w:type="dxa"/>
            <w:tcBorders/>
            <w:vAlign w:val="center"/>
          </w:tcPr>
          <w:p>
            <w:pPr>
              <w:pStyle w:val="TableContents"/>
              <w:bidi w:val="0"/>
              <w:spacing w:before="0" w:after="0"/>
              <w:ind w:left="0" w:right="0" w:hanging="0"/>
              <w:jc w:val="left"/>
              <w:rPr/>
            </w:pPr>
            <w:r>
              <w:rPr/>
              <w:t>​</w:t>
            </w:r>
          </w:p>
        </w:tc>
      </w:tr>
      <w:tr>
        <w:trPr/>
        <w:tc>
          <w:tcPr>
            <w:tcW w:w="70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5301" w:type="dxa"/>
            <w:tcBorders/>
            <w:vAlign w:val="center"/>
          </w:tcPr>
          <w:p>
            <w:pPr>
              <w:pStyle w:val="TableContents"/>
              <w:bidi w:val="0"/>
              <w:spacing w:before="0" w:after="0"/>
              <w:ind w:left="0" w:right="0" w:hanging="0"/>
              <w:jc w:val="left"/>
              <w:rPr/>
            </w:pPr>
            <w:r>
              <w:rPr/>
              <w:t>​</w:t>
            </w:r>
          </w:p>
        </w:tc>
        <w:tc>
          <w:tcPr>
            <w:tcW w:w="191" w:type="dxa"/>
            <w:tcBorders/>
            <w:vAlign w:val="center"/>
          </w:tcPr>
          <w:p>
            <w:pPr>
              <w:pStyle w:val="TableContents"/>
              <w:bidi w:val="0"/>
              <w:spacing w:before="0" w:after="0"/>
              <w:ind w:left="0" w:right="0" w:hanging="0"/>
              <w:jc w:val="left"/>
              <w:rPr/>
            </w:pPr>
            <w:r>
              <w:rPr/>
              <w:t>​</w:t>
            </w:r>
          </w:p>
        </w:tc>
      </w:tr>
      <w:tr>
        <w:trPr/>
        <w:tc>
          <w:tcPr>
            <w:tcW w:w="706"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101.CAL†</w:t>
            </w:r>
          </w:p>
        </w:tc>
        <w:tc>
          <w:tcPr>
            <w:tcW w:w="326" w:type="dxa"/>
            <w:tcBorders/>
            <w:vAlign w:val="center"/>
          </w:tcPr>
          <w:p>
            <w:pPr>
              <w:pStyle w:val="TableContents"/>
              <w:bidi w:val="0"/>
              <w:spacing w:before="0" w:after="0"/>
              <w:ind w:left="0" w:right="0" w:hanging="0"/>
              <w:jc w:val="left"/>
              <w:rPr/>
            </w:pPr>
            <w:r>
              <w:rPr/>
              <w:t>​</w:t>
            </w:r>
          </w:p>
        </w:tc>
        <w:tc>
          <w:tcPr>
            <w:tcW w:w="153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Inline XBRL Taxonomy Extension Calculation Linkbase Document</w:t>
            </w:r>
          </w:p>
        </w:tc>
        <w:tc>
          <w:tcPr>
            <w:tcW w:w="191" w:type="dxa"/>
            <w:tcBorders/>
            <w:vAlign w:val="center"/>
          </w:tcPr>
          <w:p>
            <w:pPr>
              <w:pStyle w:val="TableContents"/>
              <w:bidi w:val="0"/>
              <w:spacing w:before="0" w:after="0"/>
              <w:ind w:left="0" w:right="0" w:hanging="0"/>
              <w:jc w:val="left"/>
              <w:rPr/>
            </w:pPr>
            <w:r>
              <w:rPr/>
              <w:t>​</w:t>
            </w:r>
          </w:p>
        </w:tc>
      </w:tr>
      <w:tr>
        <w:trPr/>
        <w:tc>
          <w:tcPr>
            <w:tcW w:w="70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5301" w:type="dxa"/>
            <w:tcBorders/>
            <w:vAlign w:val="center"/>
          </w:tcPr>
          <w:p>
            <w:pPr>
              <w:pStyle w:val="TableContents"/>
              <w:bidi w:val="0"/>
              <w:spacing w:before="0" w:after="0"/>
              <w:ind w:left="0" w:right="0" w:hanging="0"/>
              <w:jc w:val="left"/>
              <w:rPr/>
            </w:pPr>
            <w:r>
              <w:rPr/>
              <w:t>​</w:t>
            </w:r>
          </w:p>
        </w:tc>
        <w:tc>
          <w:tcPr>
            <w:tcW w:w="191" w:type="dxa"/>
            <w:tcBorders/>
            <w:vAlign w:val="center"/>
          </w:tcPr>
          <w:p>
            <w:pPr>
              <w:pStyle w:val="TableContents"/>
              <w:bidi w:val="0"/>
              <w:spacing w:before="0" w:after="0"/>
              <w:ind w:left="0" w:right="0" w:hanging="0"/>
              <w:jc w:val="left"/>
              <w:rPr/>
            </w:pPr>
            <w:r>
              <w:rPr/>
              <w:t>​</w:t>
            </w:r>
          </w:p>
        </w:tc>
      </w:tr>
      <w:tr>
        <w:trPr/>
        <w:tc>
          <w:tcPr>
            <w:tcW w:w="706"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101.DEF†</w:t>
            </w:r>
          </w:p>
        </w:tc>
        <w:tc>
          <w:tcPr>
            <w:tcW w:w="326" w:type="dxa"/>
            <w:tcBorders/>
            <w:vAlign w:val="center"/>
          </w:tcPr>
          <w:p>
            <w:pPr>
              <w:pStyle w:val="TableContents"/>
              <w:bidi w:val="0"/>
              <w:spacing w:before="0" w:after="0"/>
              <w:ind w:left="0" w:right="0" w:hanging="0"/>
              <w:jc w:val="left"/>
              <w:rPr/>
            </w:pPr>
            <w:r>
              <w:rPr/>
              <w:t>​</w:t>
            </w:r>
          </w:p>
        </w:tc>
        <w:tc>
          <w:tcPr>
            <w:tcW w:w="153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Inline XBRL Taxonomy Extension Definition Linkbase Document</w:t>
            </w:r>
          </w:p>
        </w:tc>
        <w:tc>
          <w:tcPr>
            <w:tcW w:w="191" w:type="dxa"/>
            <w:tcBorders/>
            <w:vAlign w:val="center"/>
          </w:tcPr>
          <w:p>
            <w:pPr>
              <w:pStyle w:val="TableContents"/>
              <w:bidi w:val="0"/>
              <w:spacing w:before="0" w:after="0"/>
              <w:ind w:left="0" w:right="0" w:hanging="0"/>
              <w:jc w:val="left"/>
              <w:rPr/>
            </w:pPr>
            <w:r>
              <w:rPr/>
              <w:t>​</w:t>
            </w:r>
          </w:p>
        </w:tc>
      </w:tr>
      <w:tr>
        <w:trPr/>
        <w:tc>
          <w:tcPr>
            <w:tcW w:w="70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5301" w:type="dxa"/>
            <w:tcBorders/>
            <w:vAlign w:val="center"/>
          </w:tcPr>
          <w:p>
            <w:pPr>
              <w:pStyle w:val="TableContents"/>
              <w:bidi w:val="0"/>
              <w:spacing w:before="0" w:after="0"/>
              <w:ind w:left="0" w:right="0" w:hanging="0"/>
              <w:jc w:val="left"/>
              <w:rPr/>
            </w:pPr>
            <w:r>
              <w:rPr/>
              <w:t>​</w:t>
            </w:r>
          </w:p>
        </w:tc>
        <w:tc>
          <w:tcPr>
            <w:tcW w:w="191" w:type="dxa"/>
            <w:tcBorders/>
            <w:vAlign w:val="center"/>
          </w:tcPr>
          <w:p>
            <w:pPr>
              <w:pStyle w:val="TableContents"/>
              <w:bidi w:val="0"/>
              <w:spacing w:before="0" w:after="0"/>
              <w:ind w:left="0" w:right="0" w:hanging="0"/>
              <w:jc w:val="left"/>
              <w:rPr/>
            </w:pPr>
            <w:r>
              <w:rPr/>
              <w:t>​</w:t>
            </w:r>
          </w:p>
        </w:tc>
      </w:tr>
      <w:tr>
        <w:trPr/>
        <w:tc>
          <w:tcPr>
            <w:tcW w:w="706"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101.LAB†</w:t>
            </w:r>
          </w:p>
        </w:tc>
        <w:tc>
          <w:tcPr>
            <w:tcW w:w="326" w:type="dxa"/>
            <w:tcBorders/>
            <w:vAlign w:val="center"/>
          </w:tcPr>
          <w:p>
            <w:pPr>
              <w:pStyle w:val="TableContents"/>
              <w:bidi w:val="0"/>
              <w:spacing w:before="0" w:after="0"/>
              <w:ind w:left="0" w:right="0" w:hanging="0"/>
              <w:jc w:val="left"/>
              <w:rPr/>
            </w:pPr>
            <w:r>
              <w:rPr/>
              <w:t>​</w:t>
            </w:r>
          </w:p>
        </w:tc>
        <w:tc>
          <w:tcPr>
            <w:tcW w:w="153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Inline XBRL Taxonomy Extension Label Linkbase Document</w:t>
            </w:r>
          </w:p>
        </w:tc>
        <w:tc>
          <w:tcPr>
            <w:tcW w:w="191" w:type="dxa"/>
            <w:tcBorders/>
            <w:vAlign w:val="center"/>
          </w:tcPr>
          <w:p>
            <w:pPr>
              <w:pStyle w:val="TableContents"/>
              <w:bidi w:val="0"/>
              <w:spacing w:before="0" w:after="0"/>
              <w:ind w:left="0" w:right="0" w:hanging="0"/>
              <w:jc w:val="left"/>
              <w:rPr/>
            </w:pPr>
            <w:r>
              <w:rPr/>
              <w:t>​</w:t>
            </w:r>
          </w:p>
        </w:tc>
      </w:tr>
      <w:tr>
        <w:trPr/>
        <w:tc>
          <w:tcPr>
            <w:tcW w:w="70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5301" w:type="dxa"/>
            <w:tcBorders/>
            <w:vAlign w:val="center"/>
          </w:tcPr>
          <w:p>
            <w:pPr>
              <w:pStyle w:val="TableContents"/>
              <w:bidi w:val="0"/>
              <w:spacing w:before="0" w:after="0"/>
              <w:ind w:left="0" w:right="0" w:hanging="0"/>
              <w:jc w:val="left"/>
              <w:rPr/>
            </w:pPr>
            <w:r>
              <w:rPr/>
              <w:t>​</w:t>
            </w:r>
          </w:p>
        </w:tc>
        <w:tc>
          <w:tcPr>
            <w:tcW w:w="191" w:type="dxa"/>
            <w:tcBorders/>
            <w:vAlign w:val="center"/>
          </w:tcPr>
          <w:p>
            <w:pPr>
              <w:pStyle w:val="TableContents"/>
              <w:bidi w:val="0"/>
              <w:spacing w:before="0" w:after="0"/>
              <w:ind w:left="0" w:right="0" w:hanging="0"/>
              <w:jc w:val="left"/>
              <w:rPr/>
            </w:pPr>
            <w:r>
              <w:rPr/>
              <w:t>​</w:t>
            </w:r>
          </w:p>
        </w:tc>
      </w:tr>
      <w:tr>
        <w:trPr/>
        <w:tc>
          <w:tcPr>
            <w:tcW w:w="706"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101.PRE†</w:t>
            </w:r>
          </w:p>
        </w:tc>
        <w:tc>
          <w:tcPr>
            <w:tcW w:w="326" w:type="dxa"/>
            <w:tcBorders/>
            <w:vAlign w:val="center"/>
          </w:tcPr>
          <w:p>
            <w:pPr>
              <w:pStyle w:val="TableContents"/>
              <w:bidi w:val="0"/>
              <w:spacing w:before="0" w:after="0"/>
              <w:ind w:left="0" w:right="0" w:hanging="0"/>
              <w:jc w:val="left"/>
              <w:rPr/>
            </w:pPr>
            <w:r>
              <w:rPr/>
              <w:t>​</w:t>
            </w:r>
          </w:p>
        </w:tc>
        <w:tc>
          <w:tcPr>
            <w:tcW w:w="153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Inline XBRL Taxonomy Extension Presentation Linkbase Document</w:t>
            </w:r>
          </w:p>
        </w:tc>
        <w:tc>
          <w:tcPr>
            <w:tcW w:w="191" w:type="dxa"/>
            <w:tcBorders/>
            <w:vAlign w:val="center"/>
          </w:tcPr>
          <w:p>
            <w:pPr>
              <w:pStyle w:val="TableContents"/>
              <w:bidi w:val="0"/>
              <w:spacing w:before="0" w:after="0"/>
              <w:ind w:left="0" w:right="0" w:hanging="0"/>
              <w:jc w:val="left"/>
              <w:rPr/>
            </w:pPr>
            <w:r>
              <w:rPr/>
              <w:t>​</w:t>
            </w:r>
          </w:p>
        </w:tc>
      </w:tr>
      <w:tr>
        <w:trPr/>
        <w:tc>
          <w:tcPr>
            <w:tcW w:w="70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5301" w:type="dxa"/>
            <w:tcBorders/>
            <w:vAlign w:val="center"/>
          </w:tcPr>
          <w:p>
            <w:pPr>
              <w:pStyle w:val="TableContents"/>
              <w:bidi w:val="0"/>
              <w:spacing w:before="0" w:after="0"/>
              <w:ind w:left="0" w:right="0" w:hanging="0"/>
              <w:jc w:val="left"/>
              <w:rPr/>
            </w:pPr>
            <w:r>
              <w:rPr/>
              <w:t>​</w:t>
            </w:r>
          </w:p>
        </w:tc>
        <w:tc>
          <w:tcPr>
            <w:tcW w:w="191" w:type="dxa"/>
            <w:tcBorders/>
            <w:vAlign w:val="center"/>
          </w:tcPr>
          <w:p>
            <w:pPr>
              <w:pStyle w:val="TableContents"/>
              <w:bidi w:val="0"/>
              <w:spacing w:before="0" w:after="0"/>
              <w:ind w:left="0" w:right="0" w:hanging="0"/>
              <w:jc w:val="left"/>
              <w:rPr/>
            </w:pPr>
            <w:r>
              <w:rPr/>
              <w:t>​</w:t>
            </w:r>
          </w:p>
        </w:tc>
      </w:tr>
      <w:tr>
        <w:trPr/>
        <w:tc>
          <w:tcPr>
            <w:tcW w:w="706"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104</w:t>
            </w:r>
          </w:p>
        </w:tc>
        <w:tc>
          <w:tcPr>
            <w:tcW w:w="326" w:type="dxa"/>
            <w:tcBorders/>
            <w:vAlign w:val="center"/>
          </w:tcPr>
          <w:p>
            <w:pPr>
              <w:pStyle w:val="TableContents"/>
              <w:bidi w:val="0"/>
              <w:spacing w:before="0" w:after="0"/>
              <w:ind w:left="0" w:right="0" w:hanging="0"/>
              <w:jc w:val="left"/>
              <w:rPr/>
            </w:pPr>
            <w:r>
              <w:rPr/>
              <w:t>​</w:t>
            </w:r>
          </w:p>
        </w:tc>
        <w:tc>
          <w:tcPr>
            <w:tcW w:w="153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Cover Page Interactive Data File (embedded within the Inline XBRL document and contained in Exhibit 101)</w:t>
            </w:r>
          </w:p>
        </w:tc>
        <w:tc>
          <w:tcPr>
            <w:tcW w:w="191" w:type="dxa"/>
            <w:tcBorders/>
            <w:vAlign w:val="center"/>
          </w:tcPr>
          <w:p>
            <w:pPr>
              <w:pStyle w:val="TableContents"/>
              <w:bidi w:val="0"/>
              <w:spacing w:before="0" w:after="0"/>
              <w:ind w:left="0" w:right="0" w:hanging="0"/>
              <w:jc w:val="left"/>
              <w:rPr/>
            </w:pPr>
            <w:r>
              <w:rPr/>
              <w:t>​</w:t>
            </w:r>
          </w:p>
        </w:tc>
      </w:tr>
    </w:tbl>
    <w:tbl>
      <w:tblPr>
        <w:tblW w:w="1607" w:type="dxa"/>
        <w:jc w:val="left"/>
        <w:tblInd w:w="0" w:type="dxa"/>
        <w:tblLayout w:type="fixed"/>
        <w:tblCellMar>
          <w:top w:w="0" w:type="dxa"/>
          <w:left w:w="0" w:type="dxa"/>
          <w:bottom w:w="0" w:type="dxa"/>
          <w:right w:w="0" w:type="dxa"/>
        </w:tblCellMar>
      </w:tblPr>
      <w:tblGrid>
        <w:gridCol w:w="241"/>
        <w:gridCol w:w="1366"/>
      </w:tblGrid>
      <w:tr>
        <w:trPr/>
        <w:tc>
          <w:tcPr>
            <w:tcW w:w="241" w:type="dxa"/>
            <w:tcBorders/>
            <w:vAlign w:val="center"/>
          </w:tcPr>
          <w:p>
            <w:pPr>
              <w:pStyle w:val="TableContents"/>
              <w:bidi w:val="0"/>
              <w:spacing w:before="0" w:after="240"/>
              <w:jc w:val="left"/>
              <w:rPr/>
            </w:pPr>
            <w:r>
              <w:rPr/>
              <w:t>†</w:t>
            </w:r>
          </w:p>
        </w:tc>
        <w:tc>
          <w:tcPr>
            <w:tcW w:w="1366"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Filed herewith.</w:t>
            </w:r>
          </w:p>
        </w:tc>
      </w:tr>
    </w:tbl>
    <w:tbl>
      <w:tblPr>
        <w:tblW w:w="1982" w:type="dxa"/>
        <w:jc w:val="left"/>
        <w:tblInd w:w="0" w:type="dxa"/>
        <w:tblLayout w:type="fixed"/>
        <w:tblCellMar>
          <w:top w:w="0" w:type="dxa"/>
          <w:left w:w="0" w:type="dxa"/>
          <w:bottom w:w="0" w:type="dxa"/>
          <w:right w:w="0" w:type="dxa"/>
        </w:tblCellMar>
      </w:tblPr>
      <w:tblGrid>
        <w:gridCol w:w="226"/>
        <w:gridCol w:w="1756"/>
      </w:tblGrid>
      <w:tr>
        <w:trPr/>
        <w:tc>
          <w:tcPr>
            <w:tcW w:w="226"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w:t>
            </w:r>
          </w:p>
        </w:tc>
        <w:tc>
          <w:tcPr>
            <w:tcW w:w="1756"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Furnished herewith.</w:t>
            </w:r>
          </w:p>
        </w:tc>
      </w:tr>
    </w:tbl>
    <w:tbl>
      <w:tblPr>
        <w:tblW w:w="7232" w:type="dxa"/>
        <w:jc w:val="left"/>
        <w:tblInd w:w="0" w:type="dxa"/>
        <w:tblLayout w:type="fixed"/>
        <w:tblCellMar>
          <w:top w:w="0" w:type="dxa"/>
          <w:left w:w="0" w:type="dxa"/>
          <w:bottom w:w="0" w:type="dxa"/>
          <w:right w:w="0" w:type="dxa"/>
        </w:tblCellMar>
      </w:tblPr>
      <w:tblGrid>
        <w:gridCol w:w="226"/>
        <w:gridCol w:w="7006"/>
      </w:tblGrid>
      <w:tr>
        <w:trPr/>
        <w:tc>
          <w:tcPr>
            <w:tcW w:w="226"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7006"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Indicates a management contract or any compensatory plan, contract or arrangement.</w:t>
            </w:r>
          </w:p>
        </w:tc>
      </w:tr>
    </w:tbl>
    <w:p>
      <w:pPr>
        <w:pStyle w:val="TextBody"/>
        <w:bidi w:val="0"/>
        <w:spacing w:before="0" w:after="0"/>
        <w:ind w:left="0" w:right="0" w:hanging="0"/>
        <w:jc w:val="left"/>
        <w:rPr/>
      </w:pPr>
      <w:r>
        <w:rPr/>
        <w:t>​</w:t>
      </w:r>
    </w:p>
    <w:p>
      <w:pPr>
        <w:pStyle w:val="TextBody"/>
        <w:bidi w:val="0"/>
        <w:spacing w:before="480" w:after="0"/>
        <w:ind w:left="0" w:right="0" w:hanging="0"/>
        <w:jc w:val="right"/>
        <w:rPr>
          <w:rFonts w:ascii="Times New Roman;Times;serif" w:hAnsi="Times New Roman;Times;serif"/>
          <w:sz w:val="20"/>
        </w:rPr>
      </w:pPr>
      <w:r>
        <w:rPr>
          <w:rFonts w:ascii="Times New Roman;Times;serif" w:hAnsi="Times New Roman;Times;serif"/>
          <w:sz w:val="20"/>
        </w:rPr>
        <w:t>32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bookmarkStart w:id="775" w:name="_60fc0a50_6b58_4845_8d49_a7e53138b2fb"/>
      <w:bookmarkEnd w:id="775"/>
      <w:r>
        <w:rPr>
          <w:rFonts w:ascii="Times New Roman;Times;serif" w:hAnsi="Times New Roman;Times;serif"/>
          <w:b/>
          <w:sz w:val="20"/>
        </w:rPr>
        <w:t>SIGNATURE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Pursuant to the requirements of Section 13 or 15(d) of the Securities Exchange Act of 1934, the registrant has duly caused this report to be signed on its behalf by the undersigned, thereunto duly authorized.</w:t>
      </w:r>
    </w:p>
    <w:tbl>
      <w:tblPr>
        <w:tblW w:w="10205" w:type="dxa"/>
        <w:jc w:val="left"/>
        <w:tblInd w:w="0" w:type="dxa"/>
        <w:tblLayout w:type="fixed"/>
        <w:tblCellMar>
          <w:top w:w="0" w:type="dxa"/>
          <w:left w:w="0" w:type="dxa"/>
          <w:bottom w:w="0" w:type="dxa"/>
          <w:right w:w="0" w:type="dxa"/>
        </w:tblCellMar>
      </w:tblPr>
      <w:tblGrid>
        <w:gridCol w:w="1738"/>
        <w:gridCol w:w="202"/>
        <w:gridCol w:w="202"/>
        <w:gridCol w:w="630"/>
        <w:gridCol w:w="7433"/>
      </w:tblGrid>
      <w:tr>
        <w:trPr/>
        <w:tc>
          <w:tcPr>
            <w:tcW w:w="1738" w:type="dxa"/>
            <w:tcBorders/>
            <w:vAlign w:val="center"/>
          </w:tcPr>
          <w:p>
            <w:pPr>
              <w:pStyle w:val="TableContents"/>
              <w:bidi w:val="0"/>
              <w:spacing w:before="0" w:after="0"/>
              <w:ind w:left="0" w:right="0" w:hanging="0"/>
              <w:jc w:val="left"/>
              <w:rPr/>
            </w:pPr>
            <w:r>
              <w:rPr/>
              <w:t>​</w:t>
            </w:r>
          </w:p>
        </w:tc>
        <w:tc>
          <w:tcPr>
            <w:tcW w:w="202" w:type="dxa"/>
            <w:tcBorders/>
            <w:vAlign w:val="center"/>
          </w:tcPr>
          <w:p>
            <w:pPr>
              <w:pStyle w:val="TableContents"/>
              <w:bidi w:val="0"/>
              <w:spacing w:before="0" w:after="0"/>
              <w:ind w:left="0" w:right="0" w:hanging="0"/>
              <w:jc w:val="left"/>
              <w:rPr/>
            </w:pPr>
            <w:r>
              <w:rPr/>
              <w:t>​</w:t>
            </w:r>
          </w:p>
        </w:tc>
        <w:tc>
          <w:tcPr>
            <w:tcW w:w="202" w:type="dxa"/>
            <w:tcBorders/>
            <w:vAlign w:val="center"/>
          </w:tcPr>
          <w:p>
            <w:pPr>
              <w:pStyle w:val="TableContents"/>
              <w:bidi w:val="0"/>
              <w:spacing w:before="0" w:after="0"/>
              <w:ind w:left="0" w:right="0" w:hanging="0"/>
              <w:jc w:val="left"/>
              <w:rPr/>
            </w:pPr>
            <w:r>
              <w:rPr/>
              <w:t>​</w:t>
            </w:r>
          </w:p>
        </w:tc>
        <w:tc>
          <w:tcPr>
            <w:tcW w:w="63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9">
                      <wp:simplePos x="0" y="0"/>
                      <wp:positionH relativeFrom="character">
                        <wp:align>left</wp:align>
                      </wp:positionH>
                      <wp:positionV relativeFrom="line">
                        <wp:posOffset>635</wp:posOffset>
                      </wp:positionV>
                      <wp:extent cx="400050" cy="175260"/>
                      <wp:effectExtent l="0" t="0" r="0" b="0"/>
                      <wp:wrapNone/>
                      <wp:docPr id="258" name="Frame258"/>
                      <a:graphic xmlns:a="http://schemas.openxmlformats.org/drawingml/2006/main">
                        <a:graphicData uri="http://schemas.microsoft.com/office/word/2010/wordprocessingShape">
                          <wps:wsp>
                            <wps:cNvSpPr txBox="1"/>
                            <wps:spPr>
                              <a:xfrm>
                                <a:off x="0" y="0"/>
                                <a:ext cx="4000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43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0">
                      <wp:simplePos x="0" y="0"/>
                      <wp:positionH relativeFrom="character">
                        <wp:align>left</wp:align>
                      </wp:positionH>
                      <wp:positionV relativeFrom="line">
                        <wp:posOffset>635</wp:posOffset>
                      </wp:positionV>
                      <wp:extent cx="4719955" cy="175260"/>
                      <wp:effectExtent l="0" t="0" r="0" b="0"/>
                      <wp:wrapNone/>
                      <wp:docPr id="259" name="Frame259"/>
                      <a:graphic xmlns:a="http://schemas.openxmlformats.org/drawingml/2006/main">
                        <a:graphicData uri="http://schemas.microsoft.com/office/word/2010/wordprocessingShape">
                          <wps:wsp>
                            <wps:cNvSpPr txBox="1"/>
                            <wps:spPr>
                              <a:xfrm>
                                <a:off x="0" y="0"/>
                                <a:ext cx="47199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1.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738" w:type="dxa"/>
            <w:tcBorders/>
            <w:vAlign w:val="center"/>
          </w:tcPr>
          <w:p>
            <w:pPr>
              <w:pStyle w:val="TableContents"/>
              <w:bidi w:val="0"/>
              <w:spacing w:before="0" w:after="0"/>
              <w:ind w:left="0" w:right="0" w:hanging="0"/>
              <w:jc w:val="left"/>
              <w:rPr/>
            </w:pPr>
            <w:r>
              <w:rPr/>
              <w:t> </w:t>
            </w:r>
          </w:p>
        </w:tc>
        <w:tc>
          <w:tcPr>
            <w:tcW w:w="8467" w:type="dxa"/>
            <w:gridSpan w:val="4"/>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ENERGOUS CORPORATION</w:t>
            </w:r>
          </w:p>
        </w:tc>
      </w:tr>
      <w:tr>
        <w:trPr/>
        <w:tc>
          <w:tcPr>
            <w:tcW w:w="1738" w:type="dxa"/>
            <w:tcBorders/>
            <w:vAlign w:val="center"/>
          </w:tcPr>
          <w:p>
            <w:pPr>
              <w:pStyle w:val="TableContents"/>
              <w:bidi w:val="0"/>
              <w:spacing w:before="0" w:after="0"/>
              <w:ind w:left="0" w:right="0" w:hanging="0"/>
              <w:jc w:val="left"/>
              <w:rPr/>
            </w:pPr>
            <w:r>
              <w:rPr/>
              <w:t> </w:t>
            </w:r>
          </w:p>
        </w:tc>
        <w:tc>
          <w:tcPr>
            <w:tcW w:w="8467" w:type="dxa"/>
            <w:gridSpan w:val="4"/>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(Registrant)</w:t>
            </w:r>
          </w:p>
        </w:tc>
      </w:tr>
      <w:tr>
        <w:trPr/>
        <w:tc>
          <w:tcPr>
            <w:tcW w:w="1738" w:type="dxa"/>
            <w:tcBorders/>
            <w:vAlign w:val="center"/>
          </w:tcPr>
          <w:p>
            <w:pPr>
              <w:pStyle w:val="TableContents"/>
              <w:bidi w:val="0"/>
              <w:spacing w:before="0" w:after="0"/>
              <w:ind w:left="0" w:right="0" w:hanging="0"/>
              <w:jc w:val="left"/>
              <w:rPr/>
            </w:pPr>
            <w:r>
              <w:rPr/>
              <w:t> </w:t>
            </w:r>
          </w:p>
        </w:tc>
        <w:tc>
          <w:tcPr>
            <w:tcW w:w="8467" w:type="dxa"/>
            <w:gridSpan w:val="4"/>
            <w:tcBorders/>
            <w:vAlign w:val="center"/>
          </w:tcPr>
          <w:p>
            <w:pPr>
              <w:pStyle w:val="TableContents"/>
              <w:bidi w:val="0"/>
              <w:spacing w:before="0" w:after="0"/>
              <w:ind w:left="0" w:right="0" w:hanging="0"/>
              <w:jc w:val="left"/>
              <w:rPr/>
            </w:pPr>
            <w:r>
              <w:rPr/>
              <w:t>​</w:t>
            </w:r>
          </w:p>
        </w:tc>
      </w:tr>
      <w:tr>
        <w:trPr/>
        <w:tc>
          <w:tcPr>
            <w:tcW w:w="173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May 14, 2024</w:t>
            </w:r>
          </w:p>
        </w:tc>
        <w:tc>
          <w:tcPr>
            <w:tcW w:w="404"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8063" w:type="dxa"/>
            <w:gridSpan w:val="2"/>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Mallorie Burak</w:t>
            </w:r>
          </w:p>
        </w:tc>
      </w:tr>
      <w:tr>
        <w:trPr/>
        <w:tc>
          <w:tcPr>
            <w:tcW w:w="1738" w:type="dxa"/>
            <w:tcBorders/>
            <w:vAlign w:val="center"/>
          </w:tcPr>
          <w:p>
            <w:pPr>
              <w:pStyle w:val="TableContents"/>
              <w:bidi w:val="0"/>
              <w:spacing w:before="0" w:after="0"/>
              <w:ind w:left="0" w:right="0" w:hanging="0"/>
              <w:jc w:val="left"/>
              <w:rPr/>
            </w:pPr>
            <w:r>
              <w:rPr/>
              <w:t>​</w:t>
            </w:r>
          </w:p>
        </w:tc>
        <w:tc>
          <w:tcPr>
            <w:tcW w:w="404" w:type="dxa"/>
            <w:gridSpan w:val="2"/>
            <w:tcBorders/>
            <w:vAlign w:val="center"/>
          </w:tcPr>
          <w:p>
            <w:pPr>
              <w:pStyle w:val="TableContents"/>
              <w:bidi w:val="0"/>
              <w:spacing w:before="0" w:after="0"/>
              <w:ind w:left="0" w:right="0" w:hanging="0"/>
              <w:jc w:val="left"/>
              <w:rPr/>
            </w:pPr>
            <w:r>
              <w:rPr/>
              <w:t>​</w:t>
            </w:r>
          </w:p>
        </w:tc>
        <w:tc>
          <w:tcPr>
            <w:tcW w:w="630"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Name:</w:t>
            </w:r>
          </w:p>
        </w:tc>
        <w:tc>
          <w:tcPr>
            <w:tcW w:w="7433"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Mallorie Burak</w:t>
            </w:r>
          </w:p>
        </w:tc>
      </w:tr>
      <w:tr>
        <w:trPr/>
        <w:tc>
          <w:tcPr>
            <w:tcW w:w="1738" w:type="dxa"/>
            <w:tcBorders/>
            <w:vAlign w:val="center"/>
          </w:tcPr>
          <w:p>
            <w:pPr>
              <w:pStyle w:val="TableContents"/>
              <w:bidi w:val="0"/>
              <w:spacing w:before="0" w:after="0"/>
              <w:ind w:left="0" w:right="0" w:hanging="0"/>
              <w:jc w:val="left"/>
              <w:rPr/>
            </w:pPr>
            <w:r>
              <w:rPr/>
              <w:t>​</w:t>
            </w:r>
          </w:p>
        </w:tc>
        <w:tc>
          <w:tcPr>
            <w:tcW w:w="404" w:type="dxa"/>
            <w:gridSpan w:val="2"/>
            <w:tcBorders/>
            <w:vAlign w:val="center"/>
          </w:tcPr>
          <w:p>
            <w:pPr>
              <w:pStyle w:val="TableContents"/>
              <w:bidi w:val="0"/>
              <w:spacing w:before="0" w:after="0"/>
              <w:ind w:left="0" w:right="0" w:hanging="0"/>
              <w:jc w:val="left"/>
              <w:rPr/>
            </w:pPr>
            <w:r>
              <w:rPr/>
              <w:t>​</w:t>
            </w:r>
          </w:p>
        </w:tc>
        <w:tc>
          <w:tcPr>
            <w:tcW w:w="63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Title:</w:t>
            </w:r>
          </w:p>
        </w:tc>
        <w:tc>
          <w:tcPr>
            <w:tcW w:w="743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Chief Financial Officer</w:t>
            </w:r>
          </w:p>
        </w:tc>
      </w:tr>
      <w:tr>
        <w:trPr/>
        <w:tc>
          <w:tcPr>
            <w:tcW w:w="1738" w:type="dxa"/>
            <w:tcBorders/>
            <w:vAlign w:val="center"/>
          </w:tcPr>
          <w:p>
            <w:pPr>
              <w:pStyle w:val="TableContents"/>
              <w:bidi w:val="0"/>
              <w:spacing w:before="0" w:after="0"/>
              <w:ind w:left="0" w:right="0" w:hanging="0"/>
              <w:jc w:val="left"/>
              <w:rPr/>
            </w:pPr>
            <w:r>
              <w:rPr/>
              <w:t>​</w:t>
            </w:r>
          </w:p>
        </w:tc>
        <w:tc>
          <w:tcPr>
            <w:tcW w:w="404" w:type="dxa"/>
            <w:gridSpan w:val="2"/>
            <w:tcBorders/>
            <w:vAlign w:val="center"/>
          </w:tcPr>
          <w:p>
            <w:pPr>
              <w:pStyle w:val="TableContents"/>
              <w:bidi w:val="0"/>
              <w:spacing w:before="0" w:after="0"/>
              <w:ind w:left="0" w:right="0" w:hanging="0"/>
              <w:jc w:val="left"/>
              <w:rPr/>
            </w:pPr>
            <w:r>
              <w:rPr/>
              <w:t>​</w:t>
            </w:r>
          </w:p>
        </w:tc>
        <w:tc>
          <w:tcPr>
            <w:tcW w:w="630" w:type="dxa"/>
            <w:tcBorders/>
            <w:vAlign w:val="center"/>
          </w:tcPr>
          <w:p>
            <w:pPr>
              <w:pStyle w:val="TableContents"/>
              <w:bidi w:val="0"/>
              <w:spacing w:before="0" w:after="0"/>
              <w:ind w:left="0" w:right="0" w:hanging="0"/>
              <w:jc w:val="left"/>
              <w:rPr/>
            </w:pPr>
            <w:r>
              <w:rPr/>
              <w:t>​</w:t>
            </w:r>
          </w:p>
        </w:tc>
        <w:tc>
          <w:tcPr>
            <w:tcW w:w="743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(Principal Executive Officer, Principal Financial Officer and Principal Accounting Officer)</w:t>
            </w:r>
          </w:p>
        </w:tc>
      </w:tr>
    </w:tbl>
    <w:p>
      <w:pPr>
        <w:pStyle w:val="TextBody"/>
        <w:bidi w:val="0"/>
        <w:spacing w:before="0" w:after="0"/>
        <w:ind w:left="0" w:right="0" w:hanging="0"/>
        <w:jc w:val="center"/>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right"/>
        <w:rPr>
          <w:rFonts w:ascii="Times New Roman;Times;serif" w:hAnsi="Times New Roman;Times;serif"/>
          <w:sz w:val="20"/>
        </w:rPr>
      </w:pPr>
      <w:r>
        <w:rPr>
          <w:rFonts w:ascii="Times New Roman;Times;serif" w:hAnsi="Times New Roman;Times;serif"/>
          <w:sz w:val="20"/>
        </w:rPr>
        <w:t>33</w:t>
      </w:r>
    </w:p>
    <w:p>
      <w:pPr>
        <w:pStyle w:val="TextBody"/>
        <w:pBdr/>
        <w:bidi w:val="0"/>
        <w:spacing w:before="0" w:after="0"/>
        <w:ind w:left="0" w:right="0" w:hanging="0"/>
        <w:jc w:val="right"/>
        <w:rPr>
          <w:rFonts w:ascii="Times New Roman;Times;serif" w:hAnsi="Times New Roman;Times;serif"/>
          <w:b/>
          <w:sz w:val="20"/>
        </w:rPr>
      </w:pPr>
      <w:bookmarkStart w:id="776" w:name="watt-20240331xex31d1.htm"/>
      <w:bookmarkStart w:id="777" w:name="kswatt20240331xex31d1"/>
      <w:bookmarkEnd w:id="776"/>
      <w:bookmarkEnd w:id="777"/>
      <w:r>
        <w:rPr>
          <w:rFonts w:ascii="Times New Roman;Times;serif" w:hAnsi="Times New Roman;Times;serif"/>
          <w:b/>
          <w:sz w:val="20"/>
        </w:rPr>
        <w:t>EXHIBIT 31.1</w:t>
      </w:r>
      <w:r>
        <w:br w:type="page"/>
      </w:r>
    </w:p>
    <w:p>
      <w:pPr>
        <w:pStyle w:val="TextBody"/>
        <w:pBdr/>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CERTIFICATION</w:t>
      </w:r>
    </w:p>
    <w:p>
      <w:pPr>
        <w:pStyle w:val="TextBody"/>
        <w:pBdr/>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PURSUANT TO SECTION 302 OF THE SARBANES-OXLEY ACT OF 2002</w:t>
      </w:r>
    </w:p>
    <w:p>
      <w:pPr>
        <w:pStyle w:val="TextBody"/>
        <w:pBdr/>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I, Mallorie Burak, certify that:</w:t>
      </w:r>
    </w:p>
    <w:tbl>
      <w:tblPr>
        <w:tblW w:w="6528" w:type="dxa"/>
        <w:jc w:val="left"/>
        <w:tblInd w:w="0" w:type="dxa"/>
        <w:tblLayout w:type="fixed"/>
        <w:tblCellMar>
          <w:top w:w="0" w:type="dxa"/>
          <w:left w:w="0" w:type="dxa"/>
          <w:bottom w:w="0" w:type="dxa"/>
          <w:right w:w="0" w:type="dxa"/>
        </w:tblCellMar>
      </w:tblPr>
      <w:tblGrid>
        <w:gridCol w:w="23"/>
        <w:gridCol w:w="170"/>
        <w:gridCol w:w="633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pBdr/>
              <w:bidi w:val="0"/>
              <w:spacing w:before="0" w:after="0"/>
              <w:jc w:val="left"/>
              <w:rPr>
                <w:rFonts w:ascii="Times New Roman;Times;serif" w:hAnsi="Times New Roman;Times;serif"/>
                <w:sz w:val="20"/>
              </w:rPr>
            </w:pPr>
            <w:r>
              <w:rPr>
                <w:rFonts w:ascii="Times New Roman;Times;serif" w:hAnsi="Times New Roman;Times;serif"/>
                <w:sz w:val="20"/>
              </w:rPr>
              <w:t>1.</w:t>
            </w:r>
          </w:p>
        </w:tc>
        <w:tc>
          <w:tcPr>
            <w:tcW w:w="6335" w:type="dxa"/>
            <w:tcBorders/>
            <w:vAlign w:val="center"/>
          </w:tcPr>
          <w:p>
            <w:pPr>
              <w:pStyle w:val="TableContents"/>
              <w:pBdr/>
              <w:bidi w:val="0"/>
              <w:spacing w:before="0" w:after="0"/>
              <w:jc w:val="left"/>
              <w:rPr>
                <w:rFonts w:ascii="Times New Roman;Times;serif" w:hAnsi="Times New Roman;Times;serif"/>
                <w:sz w:val="20"/>
              </w:rPr>
            </w:pPr>
            <w:r>
              <w:rPr>
                <w:rFonts w:ascii="Times New Roman;Times;serif" w:hAnsi="Times New Roman;Times;serif"/>
                <w:sz w:val="20"/>
              </w:rPr>
              <w:t>I have reviewed this Quarterly Report on Form 10-Q of Energous Corporation;</w:t>
            </w:r>
          </w:p>
        </w:tc>
      </w:tr>
    </w:tbl>
    <w:tbl>
      <w:tblPr>
        <w:tblW w:w="10205" w:type="dxa"/>
        <w:jc w:val="left"/>
        <w:tblInd w:w="0" w:type="dxa"/>
        <w:tblLayout w:type="fixed"/>
        <w:tblCellMar>
          <w:top w:w="0" w:type="dxa"/>
          <w:left w:w="0" w:type="dxa"/>
          <w:bottom w:w="0" w:type="dxa"/>
          <w:right w:w="0" w:type="dxa"/>
        </w:tblCellMar>
      </w:tblPr>
      <w:tblGrid>
        <w:gridCol w:w="23"/>
        <w:gridCol w:w="142"/>
        <w:gridCol w:w="10040"/>
      </w:tblGrid>
      <w:tr>
        <w:trPr/>
        <w:tc>
          <w:tcPr>
            <w:tcW w:w="23"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pBdr/>
              <w:bidi w:val="0"/>
              <w:spacing w:before="0" w:after="0"/>
              <w:jc w:val="left"/>
              <w:rPr>
                <w:rFonts w:ascii="Times New Roman;Times;serif" w:hAnsi="Times New Roman;Times;serif"/>
                <w:sz w:val="20"/>
              </w:rPr>
            </w:pPr>
            <w:r>
              <w:rPr>
                <w:rFonts w:ascii="Times New Roman;Times;serif" w:hAnsi="Times New Roman;Times;serif"/>
                <w:sz w:val="20"/>
              </w:rPr>
              <w:t>2.</w:t>
            </w:r>
          </w:p>
        </w:tc>
        <w:tc>
          <w:tcPr>
            <w:tcW w:w="10040" w:type="dxa"/>
            <w:tcBorders/>
            <w:vAlign w:val="center"/>
          </w:tcPr>
          <w:p>
            <w:pPr>
              <w:pStyle w:val="TableContents"/>
              <w:pBdr/>
              <w:bidi w:val="0"/>
              <w:spacing w:before="0" w:after="0"/>
              <w:jc w:val="left"/>
              <w:rPr>
                <w:rFonts w:ascii="Times New Roman;Times;serif" w:hAnsi="Times New Roman;Times;serif"/>
                <w:sz w:val="20"/>
              </w:rPr>
            </w:pPr>
            <w:r>
              <w:rPr>
                <w:rFonts w:ascii="Times New Roman;Times;serif" w:hAnsi="Times New Roman;Times;serif"/>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tbl>
      <w:tblPr>
        <w:tblW w:w="10205" w:type="dxa"/>
        <w:jc w:val="left"/>
        <w:tblInd w:w="0" w:type="dxa"/>
        <w:tblLayout w:type="fixed"/>
        <w:tblCellMar>
          <w:top w:w="0" w:type="dxa"/>
          <w:left w:w="0" w:type="dxa"/>
          <w:bottom w:w="0" w:type="dxa"/>
          <w:right w:w="0" w:type="dxa"/>
        </w:tblCellMar>
      </w:tblPr>
      <w:tblGrid>
        <w:gridCol w:w="23"/>
        <w:gridCol w:w="144"/>
        <w:gridCol w:w="10038"/>
      </w:tblGrid>
      <w:tr>
        <w:trPr/>
        <w:tc>
          <w:tcPr>
            <w:tcW w:w="23"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pBdr/>
              <w:bidi w:val="0"/>
              <w:spacing w:before="0" w:after="0"/>
              <w:jc w:val="left"/>
              <w:rPr>
                <w:rFonts w:ascii="Times New Roman;Times;serif" w:hAnsi="Times New Roman;Times;serif"/>
                <w:sz w:val="20"/>
              </w:rPr>
            </w:pPr>
            <w:r>
              <w:rPr>
                <w:rFonts w:ascii="Times New Roman;Times;serif" w:hAnsi="Times New Roman;Times;serif"/>
                <w:sz w:val="20"/>
              </w:rPr>
              <w:t>3.</w:t>
            </w:r>
          </w:p>
        </w:tc>
        <w:tc>
          <w:tcPr>
            <w:tcW w:w="10038" w:type="dxa"/>
            <w:tcBorders/>
            <w:vAlign w:val="center"/>
          </w:tcPr>
          <w:p>
            <w:pPr>
              <w:pStyle w:val="TableContents"/>
              <w:pBdr/>
              <w:bidi w:val="0"/>
              <w:spacing w:before="0" w:after="0"/>
              <w:jc w:val="left"/>
              <w:rPr>
                <w:rFonts w:ascii="Times New Roman;Times;serif" w:hAnsi="Times New Roman;Times;serif"/>
                <w:sz w:val="20"/>
              </w:rPr>
            </w:pPr>
            <w:r>
              <w:rPr>
                <w:rFonts w:ascii="Times New Roman;Times;serif" w:hAnsi="Times New Roman;Times;serif"/>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tbl>
      <w:tblPr>
        <w:tblW w:w="10205" w:type="dxa"/>
        <w:jc w:val="left"/>
        <w:tblInd w:w="0" w:type="dxa"/>
        <w:tblLayout w:type="fixed"/>
        <w:tblCellMar>
          <w:top w:w="0" w:type="dxa"/>
          <w:left w:w="0" w:type="dxa"/>
          <w:bottom w:w="0" w:type="dxa"/>
          <w:right w:w="0" w:type="dxa"/>
        </w:tblCellMar>
      </w:tblPr>
      <w:tblGrid>
        <w:gridCol w:w="23"/>
        <w:gridCol w:w="141"/>
        <w:gridCol w:w="10041"/>
      </w:tblGrid>
      <w:tr>
        <w:trPr/>
        <w:tc>
          <w:tcPr>
            <w:tcW w:w="23"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pBdr/>
              <w:bidi w:val="0"/>
              <w:spacing w:before="0" w:after="240"/>
              <w:jc w:val="left"/>
              <w:rPr>
                <w:rFonts w:ascii="Times New Roman;Times;serif" w:hAnsi="Times New Roman;Times;serif"/>
                <w:sz w:val="20"/>
              </w:rPr>
            </w:pPr>
            <w:r>
              <w:rPr>
                <w:rFonts w:ascii="Times New Roman;Times;serif" w:hAnsi="Times New Roman;Times;serif"/>
                <w:sz w:val="20"/>
              </w:rPr>
              <w:t>4.</w:t>
            </w:r>
          </w:p>
        </w:tc>
        <w:tc>
          <w:tcPr>
            <w:tcW w:w="10041" w:type="dxa"/>
            <w:tcBorders/>
            <w:vAlign w:val="center"/>
          </w:tcPr>
          <w:p>
            <w:pPr>
              <w:pStyle w:val="TableContents"/>
              <w:pBdr/>
              <w:bidi w:val="0"/>
              <w:spacing w:before="0" w:after="240"/>
              <w:jc w:val="left"/>
              <w:rPr>
                <w:rFonts w:ascii="Times New Roman;Times;serif" w:hAnsi="Times New Roman;Times;serif"/>
                <w:sz w:val="20"/>
              </w:rPr>
            </w:pPr>
            <w:r>
              <w:rPr>
                <w:rFonts w:ascii="Times New Roman;Times;serif" w:hAnsi="Times New Roman;Times;serif"/>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tbl>
      <w:tblPr>
        <w:tblW w:w="10205" w:type="dxa"/>
        <w:jc w:val="left"/>
        <w:tblInd w:w="0" w:type="dxa"/>
        <w:tblLayout w:type="fixed"/>
        <w:tblCellMar>
          <w:top w:w="0" w:type="dxa"/>
          <w:left w:w="0" w:type="dxa"/>
          <w:bottom w:w="0" w:type="dxa"/>
          <w:right w:w="0" w:type="dxa"/>
        </w:tblCellMar>
      </w:tblPr>
      <w:tblGrid>
        <w:gridCol w:w="23"/>
        <w:gridCol w:w="129"/>
        <w:gridCol w:w="10053"/>
      </w:tblGrid>
      <w:tr>
        <w:trPr/>
        <w:tc>
          <w:tcPr>
            <w:tcW w:w="23"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pBdr/>
              <w:bidi w:val="0"/>
              <w:spacing w:before="0" w:after="0"/>
              <w:jc w:val="left"/>
              <w:rPr>
                <w:rFonts w:ascii="Times New Roman;Times;serif" w:hAnsi="Times New Roman;Times;serif"/>
                <w:sz w:val="20"/>
              </w:rPr>
            </w:pPr>
            <w:r>
              <w:rPr>
                <w:rFonts w:ascii="Times New Roman;Times;serif" w:hAnsi="Times New Roman;Times;serif"/>
                <w:sz w:val="20"/>
              </w:rPr>
              <w:t>a)</w:t>
            </w:r>
          </w:p>
        </w:tc>
        <w:tc>
          <w:tcPr>
            <w:tcW w:w="10053" w:type="dxa"/>
            <w:tcBorders/>
            <w:vAlign w:val="center"/>
          </w:tcPr>
          <w:p>
            <w:pPr>
              <w:pStyle w:val="TableContents"/>
              <w:pBdr/>
              <w:bidi w:val="0"/>
              <w:spacing w:before="0" w:after="0"/>
              <w:jc w:val="left"/>
              <w:rPr>
                <w:rFonts w:ascii="Times New Roman;Times;serif" w:hAnsi="Times New Roman;Times;serif"/>
                <w:sz w:val="20"/>
              </w:rPr>
            </w:pPr>
            <w:r>
              <w:rPr>
                <w:rFonts w:ascii="Times New Roman;Times;serif" w:hAnsi="Times New Roman;Times;serif"/>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tbl>
      <w:tblPr>
        <w:tblW w:w="10205" w:type="dxa"/>
        <w:jc w:val="left"/>
        <w:tblInd w:w="0" w:type="dxa"/>
        <w:tblLayout w:type="fixed"/>
        <w:tblCellMar>
          <w:top w:w="0" w:type="dxa"/>
          <w:left w:w="0" w:type="dxa"/>
          <w:bottom w:w="0" w:type="dxa"/>
          <w:right w:w="0" w:type="dxa"/>
        </w:tblCellMar>
      </w:tblPr>
      <w:tblGrid>
        <w:gridCol w:w="23"/>
        <w:gridCol w:w="144"/>
        <w:gridCol w:w="10038"/>
      </w:tblGrid>
      <w:tr>
        <w:trPr/>
        <w:tc>
          <w:tcPr>
            <w:tcW w:w="23"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pBdr/>
              <w:bidi w:val="0"/>
              <w:spacing w:before="0" w:after="0"/>
              <w:jc w:val="left"/>
              <w:rPr>
                <w:rFonts w:ascii="Times New Roman;Times;serif" w:hAnsi="Times New Roman;Times;serif"/>
                <w:sz w:val="20"/>
              </w:rPr>
            </w:pPr>
            <w:r>
              <w:rPr>
                <w:rFonts w:ascii="Times New Roman;Times;serif" w:hAnsi="Times New Roman;Times;serif"/>
                <w:sz w:val="20"/>
              </w:rPr>
              <w:t>b)</w:t>
            </w:r>
          </w:p>
        </w:tc>
        <w:tc>
          <w:tcPr>
            <w:tcW w:w="10038" w:type="dxa"/>
            <w:tcBorders/>
            <w:vAlign w:val="center"/>
          </w:tcPr>
          <w:p>
            <w:pPr>
              <w:pStyle w:val="TableContents"/>
              <w:pBdr/>
              <w:bidi w:val="0"/>
              <w:spacing w:before="0" w:after="0"/>
              <w:jc w:val="left"/>
              <w:rPr>
                <w:rFonts w:ascii="Times New Roman;Times;serif" w:hAnsi="Times New Roman;Times;serif"/>
                <w:sz w:val="20"/>
              </w:rPr>
            </w:pPr>
            <w:r>
              <w:rPr>
                <w:rFonts w:ascii="Times New Roman;Times;serif" w:hAnsi="Times New Roman;Times;serif"/>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tbl>
      <w:tblPr>
        <w:tblW w:w="10205" w:type="dxa"/>
        <w:jc w:val="left"/>
        <w:tblInd w:w="0" w:type="dxa"/>
        <w:tblLayout w:type="fixed"/>
        <w:tblCellMar>
          <w:top w:w="0" w:type="dxa"/>
          <w:left w:w="0" w:type="dxa"/>
          <w:bottom w:w="0" w:type="dxa"/>
          <w:right w:w="0" w:type="dxa"/>
        </w:tblCellMar>
      </w:tblPr>
      <w:tblGrid>
        <w:gridCol w:w="23"/>
        <w:gridCol w:w="135"/>
        <w:gridCol w:w="10047"/>
      </w:tblGrid>
      <w:tr>
        <w:trPr/>
        <w:tc>
          <w:tcPr>
            <w:tcW w:w="23"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pBdr/>
              <w:bidi w:val="0"/>
              <w:spacing w:before="0" w:after="0"/>
              <w:jc w:val="left"/>
              <w:rPr>
                <w:rFonts w:ascii="Times New Roman;Times;serif" w:hAnsi="Times New Roman;Times;serif"/>
                <w:sz w:val="20"/>
              </w:rPr>
            </w:pPr>
            <w:r>
              <w:rPr>
                <w:rFonts w:ascii="Times New Roman;Times;serif" w:hAnsi="Times New Roman;Times;serif"/>
                <w:sz w:val="20"/>
              </w:rPr>
              <w:t>c)</w:t>
            </w:r>
          </w:p>
        </w:tc>
        <w:tc>
          <w:tcPr>
            <w:tcW w:w="10047" w:type="dxa"/>
            <w:tcBorders/>
            <w:vAlign w:val="center"/>
          </w:tcPr>
          <w:p>
            <w:pPr>
              <w:pStyle w:val="TableContents"/>
              <w:pBdr/>
              <w:bidi w:val="0"/>
              <w:spacing w:before="0" w:after="0"/>
              <w:jc w:val="left"/>
              <w:rPr>
                <w:rFonts w:ascii="Times New Roman;Times;serif" w:hAnsi="Times New Roman;Times;serif"/>
                <w:sz w:val="20"/>
              </w:rPr>
            </w:pPr>
            <w:r>
              <w:rPr>
                <w:rFonts w:ascii="Times New Roman;Times;serif" w:hAnsi="Times New Roman;Times;serif"/>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tbl>
      <w:tblPr>
        <w:tblW w:w="10205" w:type="dxa"/>
        <w:jc w:val="left"/>
        <w:tblInd w:w="0" w:type="dxa"/>
        <w:tblLayout w:type="fixed"/>
        <w:tblCellMar>
          <w:top w:w="0" w:type="dxa"/>
          <w:left w:w="0" w:type="dxa"/>
          <w:bottom w:w="0" w:type="dxa"/>
          <w:right w:w="0" w:type="dxa"/>
        </w:tblCellMar>
      </w:tblPr>
      <w:tblGrid>
        <w:gridCol w:w="23"/>
        <w:gridCol w:w="144"/>
        <w:gridCol w:w="10038"/>
      </w:tblGrid>
      <w:tr>
        <w:trPr/>
        <w:tc>
          <w:tcPr>
            <w:tcW w:w="23"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pBdr/>
              <w:bidi w:val="0"/>
              <w:spacing w:before="0" w:after="240"/>
              <w:jc w:val="left"/>
              <w:rPr>
                <w:rFonts w:ascii="Times New Roman;Times;serif" w:hAnsi="Times New Roman;Times;serif"/>
                <w:sz w:val="20"/>
              </w:rPr>
            </w:pPr>
            <w:r>
              <w:rPr>
                <w:rFonts w:ascii="Times New Roman;Times;serif" w:hAnsi="Times New Roman;Times;serif"/>
                <w:sz w:val="20"/>
              </w:rPr>
              <w:t>d)</w:t>
            </w:r>
          </w:p>
        </w:tc>
        <w:tc>
          <w:tcPr>
            <w:tcW w:w="10038" w:type="dxa"/>
            <w:tcBorders/>
            <w:vAlign w:val="center"/>
          </w:tcPr>
          <w:p>
            <w:pPr>
              <w:pStyle w:val="TableContents"/>
              <w:pBdr/>
              <w:bidi w:val="0"/>
              <w:spacing w:before="0" w:after="240"/>
              <w:jc w:val="left"/>
              <w:rPr>
                <w:rFonts w:ascii="Times New Roman;Times;serif" w:hAnsi="Times New Roman;Times;serif"/>
                <w:sz w:val="20"/>
              </w:rPr>
            </w:pPr>
            <w:r>
              <w:rPr>
                <w:rFonts w:ascii="Times New Roman;Times;serif" w:hAnsi="Times New Roman;Times;serif"/>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tbl>
      <w:tblPr>
        <w:tblW w:w="10205" w:type="dxa"/>
        <w:jc w:val="left"/>
        <w:tblInd w:w="0" w:type="dxa"/>
        <w:tblLayout w:type="fixed"/>
        <w:tblCellMar>
          <w:top w:w="0" w:type="dxa"/>
          <w:left w:w="0" w:type="dxa"/>
          <w:bottom w:w="0" w:type="dxa"/>
          <w:right w:w="0" w:type="dxa"/>
        </w:tblCellMar>
      </w:tblPr>
      <w:tblGrid>
        <w:gridCol w:w="23"/>
        <w:gridCol w:w="143"/>
        <w:gridCol w:w="10039"/>
      </w:tblGrid>
      <w:tr>
        <w:trPr/>
        <w:tc>
          <w:tcPr>
            <w:tcW w:w="2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5.</w:t>
            </w:r>
          </w:p>
        </w:tc>
        <w:tc>
          <w:tcPr>
            <w:tcW w:w="10039"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tc>
      </w:tr>
    </w:tbl>
    <w:tbl>
      <w:tblPr>
        <w:tblW w:w="10205" w:type="dxa"/>
        <w:jc w:val="left"/>
        <w:tblInd w:w="0" w:type="dxa"/>
        <w:tblLayout w:type="fixed"/>
        <w:tblCellMar>
          <w:top w:w="0" w:type="dxa"/>
          <w:left w:w="0" w:type="dxa"/>
          <w:bottom w:w="0" w:type="dxa"/>
          <w:right w:w="0" w:type="dxa"/>
        </w:tblCellMar>
      </w:tblPr>
      <w:tblGrid>
        <w:gridCol w:w="23"/>
        <w:gridCol w:w="137"/>
        <w:gridCol w:w="10045"/>
      </w:tblGrid>
      <w:tr>
        <w:trPr/>
        <w:tc>
          <w:tcPr>
            <w:tcW w:w="23"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pBdr/>
              <w:bidi w:val="0"/>
              <w:spacing w:before="0" w:after="0"/>
              <w:jc w:val="left"/>
              <w:rPr>
                <w:rFonts w:ascii="Times New Roman;Times;serif" w:hAnsi="Times New Roman;Times;serif"/>
                <w:sz w:val="20"/>
              </w:rPr>
            </w:pPr>
            <w:r>
              <w:rPr>
                <w:rFonts w:ascii="Times New Roman;Times;serif" w:hAnsi="Times New Roman;Times;serif"/>
                <w:sz w:val="20"/>
              </w:rPr>
              <w:t>a)</w:t>
            </w:r>
          </w:p>
        </w:tc>
        <w:tc>
          <w:tcPr>
            <w:tcW w:w="10045" w:type="dxa"/>
            <w:tcBorders/>
            <w:vAlign w:val="center"/>
          </w:tcPr>
          <w:p>
            <w:pPr>
              <w:pStyle w:val="TableContents"/>
              <w:pBdr/>
              <w:bidi w:val="0"/>
              <w:spacing w:before="0" w:after="0"/>
              <w:jc w:val="left"/>
              <w:rPr>
                <w:rFonts w:ascii="Times New Roman;Times;serif" w:hAnsi="Times New Roman;Times;serif"/>
                <w:sz w:val="20"/>
              </w:rPr>
            </w:pPr>
            <w:r>
              <w:rPr>
                <w:rFonts w:ascii="Times New Roman;Times;serif" w:hAnsi="Times New Roman;Times;serif"/>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tbl>
      <w:tblPr>
        <w:tblW w:w="10205" w:type="dxa"/>
        <w:jc w:val="left"/>
        <w:tblInd w:w="0" w:type="dxa"/>
        <w:tblLayout w:type="fixed"/>
        <w:tblCellMar>
          <w:top w:w="0" w:type="dxa"/>
          <w:left w:w="0" w:type="dxa"/>
          <w:bottom w:w="0" w:type="dxa"/>
          <w:right w:w="0" w:type="dxa"/>
        </w:tblCellMar>
      </w:tblPr>
      <w:tblGrid>
        <w:gridCol w:w="23"/>
        <w:gridCol w:w="167"/>
        <w:gridCol w:w="10015"/>
      </w:tblGrid>
      <w:tr>
        <w:trPr/>
        <w:tc>
          <w:tcPr>
            <w:tcW w:w="23"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pBdr/>
              <w:bidi w:val="0"/>
              <w:spacing w:before="0" w:after="240"/>
              <w:jc w:val="left"/>
              <w:rPr>
                <w:rFonts w:ascii="Times New Roman;Times;serif" w:hAnsi="Times New Roman;Times;serif"/>
                <w:sz w:val="20"/>
              </w:rPr>
            </w:pPr>
            <w:r>
              <w:rPr>
                <w:rFonts w:ascii="Times New Roman;Times;serif" w:hAnsi="Times New Roman;Times;serif"/>
                <w:sz w:val="20"/>
              </w:rPr>
              <w:t>b)</w:t>
            </w:r>
          </w:p>
        </w:tc>
        <w:tc>
          <w:tcPr>
            <w:tcW w:w="10015" w:type="dxa"/>
            <w:tcBorders/>
            <w:vAlign w:val="center"/>
          </w:tcPr>
          <w:p>
            <w:pPr>
              <w:pStyle w:val="TableContents"/>
              <w:pBdr/>
              <w:bidi w:val="0"/>
              <w:spacing w:before="0" w:after="240"/>
              <w:jc w:val="left"/>
              <w:rPr>
                <w:rFonts w:ascii="Times New Roman;Times;serif" w:hAnsi="Times New Roman;Times;serif"/>
                <w:sz w:val="20"/>
              </w:rPr>
            </w:pPr>
            <w:r>
              <w:rPr>
                <w:rFonts w:ascii="Times New Roman;Times;serif" w:hAnsi="Times New Roman;Times;serif"/>
                <w:sz w:val="20"/>
              </w:rPr>
              <w:t>Any fraud, whether or not material, that involves management or other employees who have a significant role in the registrant's internal control over financial reporting.</w:t>
            </w:r>
          </w:p>
        </w:tc>
      </w:tr>
    </w:tbl>
    <w:tbl>
      <w:tblPr>
        <w:tblW w:w="8196" w:type="dxa"/>
        <w:jc w:val="center"/>
        <w:tblInd w:w="0" w:type="dxa"/>
        <w:tblLayout w:type="fixed"/>
        <w:tblCellMar>
          <w:top w:w="0" w:type="dxa"/>
          <w:left w:w="0" w:type="dxa"/>
          <w:bottom w:w="0" w:type="dxa"/>
          <w:right w:w="0" w:type="dxa"/>
        </w:tblCellMar>
      </w:tblPr>
      <w:tblGrid>
        <w:gridCol w:w="646"/>
        <w:gridCol w:w="7396"/>
        <w:gridCol w:w="154"/>
      </w:tblGrid>
      <w:tr>
        <w:trPr/>
        <w:tc>
          <w:tcPr>
            <w:tcW w:w="8042" w:type="dxa"/>
            <w:gridSpan w:val="2"/>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Date: May 14, 2024</w:t>
            </w:r>
          </w:p>
        </w:tc>
        <w:tc>
          <w:tcPr>
            <w:tcW w:w="154" w:type="dxa"/>
            <w:tcBorders/>
            <w:vAlign w:val="center"/>
          </w:tcPr>
          <w:p>
            <w:pPr>
              <w:pStyle w:val="TableContents"/>
              <w:bidi w:val="0"/>
              <w:spacing w:before="0" w:after="0"/>
              <w:ind w:left="0" w:right="0" w:hanging="0"/>
              <w:jc w:val="both"/>
              <w:rPr/>
            </w:pPr>
            <w:r>
              <w:rPr/>
              <w:t>​</w:t>
            </w:r>
          </w:p>
        </w:tc>
      </w:tr>
      <w:tr>
        <w:trPr/>
        <w:tc>
          <w:tcPr>
            <w:tcW w:w="8042" w:type="dxa"/>
            <w:gridSpan w:val="2"/>
            <w:tcBorders/>
            <w:vAlign w:val="center"/>
          </w:tcPr>
          <w:p>
            <w:pPr>
              <w:pStyle w:val="TableContents"/>
              <w:bidi w:val="0"/>
              <w:spacing w:before="0" w:after="0"/>
              <w:ind w:left="0" w:right="0" w:hanging="0"/>
              <w:jc w:val="both"/>
              <w:rPr/>
            </w:pPr>
            <w:r>
              <w:rPr/>
              <w:t>​</w:t>
            </w:r>
          </w:p>
        </w:tc>
        <w:tc>
          <w:tcPr>
            <w:tcW w:w="154" w:type="dxa"/>
            <w:tcBorders/>
            <w:vAlign w:val="center"/>
          </w:tcPr>
          <w:p>
            <w:pPr>
              <w:pStyle w:val="TableContents"/>
              <w:bidi w:val="0"/>
              <w:spacing w:before="0" w:after="0"/>
              <w:ind w:left="0" w:right="0" w:hanging="0"/>
              <w:jc w:val="both"/>
              <w:rPr/>
            </w:pPr>
            <w:r>
              <w:rPr/>
              <w:t>​</w:t>
            </w:r>
          </w:p>
        </w:tc>
      </w:tr>
      <w:tr>
        <w:trPr/>
        <w:tc>
          <w:tcPr>
            <w:tcW w:w="8042" w:type="dxa"/>
            <w:gridSpan w:val="2"/>
            <w:tcBorders>
              <w:bottom w:val="single" w:sz="2" w:space="0" w:color="000000"/>
            </w:tcBorders>
            <w:tcMar>
              <w:bottom w:w="28" w:type="dxa"/>
            </w:tcM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/s/ Mallorie Burak</w:t>
            </w:r>
          </w:p>
        </w:tc>
        <w:tc>
          <w:tcPr>
            <w:tcW w:w="154" w:type="dxa"/>
            <w:tcBorders/>
            <w:vAlign w:val="center"/>
          </w:tcPr>
          <w:p>
            <w:pPr>
              <w:pStyle w:val="TableContents"/>
              <w:bidi w:val="0"/>
              <w:spacing w:before="0" w:after="0"/>
              <w:ind w:left="0" w:right="0" w:hanging="0"/>
              <w:jc w:val="both"/>
              <w:rPr/>
            </w:pPr>
            <w:r>
              <w:rPr/>
              <w:t>​</w:t>
            </w:r>
          </w:p>
        </w:tc>
      </w:tr>
      <w:tr>
        <w:trPr/>
        <w:tc>
          <w:tcPr>
            <w:tcW w:w="646" w:type="dxa"/>
            <w:tcBorders>
              <w:top w:val="single" w:sz="2" w:space="0" w:color="000000"/>
            </w:tcBorders>
            <w:tcMar>
              <w:top w:w="28" w:type="dxa"/>
            </w:tcMar>
            <w:vAlign w:val="center"/>
          </w:tcPr>
          <w:p>
            <w:pPr>
              <w:pStyle w:val="TableContents"/>
              <w:pBdr/>
              <w:bidi w:val="0"/>
              <w:spacing w:before="0" w:after="0"/>
              <w:ind w:left="0" w:right="0" w:hanging="0"/>
              <w:jc w:val="both"/>
              <w:rPr>
                <w:rFonts w:ascii="Times New Roman;Times;serif" w:hAnsi="Times New Roman;Times;serif"/>
                <w:sz w:val="20"/>
              </w:rPr>
            </w:pPr>
            <w:r>
              <w:rPr>
                <w:rFonts w:ascii="Times New Roman;Times;serif" w:hAnsi="Times New Roman;Times;serif"/>
                <w:sz w:val="20"/>
              </w:rPr>
              <w:t>Name:</w:t>
            </w:r>
          </w:p>
        </w:tc>
        <w:tc>
          <w:tcPr>
            <w:tcW w:w="7396" w:type="dxa"/>
            <w:tcBorders>
              <w:top w:val="single" w:sz="2" w:space="0" w:color="000000"/>
            </w:tcBorders>
            <w:tcMar>
              <w:top w:w="28" w:type="dxa"/>
            </w:tcM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Mallorie Burak</w:t>
            </w:r>
          </w:p>
        </w:tc>
        <w:tc>
          <w:tcPr>
            <w:tcW w:w="154" w:type="dxa"/>
            <w:tcBorders/>
            <w:vAlign w:val="center"/>
          </w:tcPr>
          <w:p>
            <w:pPr>
              <w:pStyle w:val="TableContents"/>
              <w:bidi w:val="0"/>
              <w:spacing w:before="0" w:after="0"/>
              <w:ind w:left="0" w:right="0" w:hanging="0"/>
              <w:jc w:val="both"/>
              <w:rPr/>
            </w:pPr>
            <w:r>
              <w:rPr/>
              <w:t>​</w:t>
            </w:r>
          </w:p>
        </w:tc>
      </w:tr>
      <w:tr>
        <w:trPr/>
        <w:tc>
          <w:tcPr>
            <w:tcW w:w="646" w:type="dxa"/>
            <w:tcBorders/>
            <w:vAlign w:val="center"/>
          </w:tcPr>
          <w:p>
            <w:pPr>
              <w:pStyle w:val="TableContents"/>
              <w:pBdr/>
              <w:bidi w:val="0"/>
              <w:spacing w:before="0" w:after="0"/>
              <w:ind w:left="0" w:right="0" w:hanging="0"/>
              <w:jc w:val="both"/>
              <w:rPr>
                <w:rFonts w:ascii="Times New Roman;Times;serif" w:hAnsi="Times New Roman;Times;serif"/>
                <w:sz w:val="20"/>
              </w:rPr>
            </w:pPr>
            <w:r>
              <w:rPr>
                <w:rFonts w:ascii="Times New Roman;Times;serif" w:hAnsi="Times New Roman;Times;serif"/>
                <w:sz w:val="20"/>
              </w:rPr>
              <w:t>Title:</w:t>
            </w:r>
          </w:p>
        </w:tc>
        <w:tc>
          <w:tcPr>
            <w:tcW w:w="7396"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Chief Financial Officer</w:t>
            </w:r>
          </w:p>
        </w:tc>
        <w:tc>
          <w:tcPr>
            <w:tcW w:w="154" w:type="dxa"/>
            <w:tcBorders/>
            <w:vAlign w:val="center"/>
          </w:tcPr>
          <w:p>
            <w:pPr>
              <w:pStyle w:val="TableContents"/>
              <w:bidi w:val="0"/>
              <w:spacing w:before="0" w:after="0"/>
              <w:ind w:left="0" w:right="0" w:hanging="0"/>
              <w:jc w:val="both"/>
              <w:rPr/>
            </w:pPr>
            <w:r>
              <w:rPr/>
              <w:t>​</w:t>
            </w:r>
          </w:p>
        </w:tc>
      </w:tr>
      <w:tr>
        <w:trPr/>
        <w:tc>
          <w:tcPr>
            <w:tcW w:w="646" w:type="dxa"/>
            <w:tcBorders/>
            <w:vAlign w:val="center"/>
          </w:tcPr>
          <w:p>
            <w:pPr>
              <w:pStyle w:val="TableContents"/>
              <w:pBdr/>
              <w:bidi w:val="0"/>
              <w:spacing w:before="0" w:after="0"/>
              <w:ind w:left="0" w:right="0" w:hanging="0"/>
              <w:jc w:val="both"/>
              <w:rPr/>
            </w:pPr>
            <w:r>
              <w:rPr/>
              <w:t>​</w:t>
            </w:r>
          </w:p>
        </w:tc>
        <w:tc>
          <w:tcPr>
            <w:tcW w:w="7396"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(Principal Executive Officer, Principal Financial Officer and Principal Accounting Officer)</w:t>
            </w:r>
          </w:p>
        </w:tc>
        <w:tc>
          <w:tcPr>
            <w:tcW w:w="154" w:type="dxa"/>
            <w:tcBorders/>
            <w:vAlign w:val="center"/>
          </w:tcPr>
          <w:p>
            <w:pPr>
              <w:pStyle w:val="TableContents"/>
              <w:bidi w:val="0"/>
              <w:spacing w:before="0" w:after="0"/>
              <w:ind w:left="0" w:right="0" w:hanging="0"/>
              <w:jc w:val="both"/>
              <w:rPr/>
            </w:pPr>
            <w:r>
              <w:rPr/>
              <w:t>​</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pBdr/>
        <w:bidi w:val="0"/>
        <w:spacing w:before="0" w:after="0"/>
        <w:ind w:left="0" w:right="0" w:hanging="0"/>
        <w:jc w:val="right"/>
        <w:rPr>
          <w:rFonts w:ascii="Times New Roman;Times;serif" w:hAnsi="Times New Roman;Times;serif"/>
          <w:b/>
          <w:sz w:val="20"/>
        </w:rPr>
      </w:pPr>
      <w:bookmarkStart w:id="778" w:name="watt-20240331xex32d1.htm"/>
      <w:bookmarkStart w:id="779" w:name="kswatt20240331xex32d1"/>
      <w:bookmarkEnd w:id="778"/>
      <w:bookmarkEnd w:id="779"/>
      <w:r>
        <w:rPr>
          <w:rFonts w:ascii="Times New Roman;Times;serif" w:hAnsi="Times New Roman;Times;serif"/>
          <w:b/>
          <w:sz w:val="20"/>
        </w:rPr>
        <w:t>EXHIBIT 32.1</w:t>
      </w:r>
      <w:r>
        <w:br w:type="page"/>
      </w:r>
    </w:p>
    <w:p>
      <w:pPr>
        <w:pStyle w:val="TextBody"/>
        <w:pBdr/>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CERTIFICATION PURSUANT TO</w:t>
      </w:r>
    </w:p>
    <w:p>
      <w:pPr>
        <w:pStyle w:val="TextBody"/>
        <w:pBdr/>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18 U.S.C. SECTION 1350,</w:t>
      </w:r>
    </w:p>
    <w:p>
      <w:pPr>
        <w:pStyle w:val="TextBody"/>
        <w:pBdr/>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AS ADOPTED PURSUANT TO</w:t>
      </w:r>
    </w:p>
    <w:p>
      <w:pPr>
        <w:pStyle w:val="TextBody"/>
        <w:pBdr/>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SECTION 906 OF THE SARBANES-OXLEY ACT OF 2002</w:t>
      </w:r>
    </w:p>
    <w:p>
      <w:pPr>
        <w:pStyle w:val="TextBody"/>
        <w:pBdr/>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In connection with the Quarterly Report of Energous Corporation (the “Company”) on Form 10-Q for the period ended March 31, 2024 as filed with the Securities and Exchange Commission on the date hereof (the “Report”), I, Mallorie Burak, Chief Financial Officer, certify, pursuant to 18 U.S.C. § 1350, as adopted pursuant to § 906 of the Sarbanes-Oxley Act of 2002, that:</w:t>
      </w:r>
    </w:p>
    <w:tbl>
      <w:tblPr>
        <w:tblW w:w="9753" w:type="dxa"/>
        <w:jc w:val="left"/>
        <w:tblInd w:w="0" w:type="dxa"/>
        <w:tblLayout w:type="fixed"/>
        <w:tblCellMar>
          <w:top w:w="0" w:type="dxa"/>
          <w:left w:w="0" w:type="dxa"/>
          <w:bottom w:w="0" w:type="dxa"/>
          <w:right w:w="0" w:type="dxa"/>
        </w:tblCellMar>
      </w:tblPr>
      <w:tblGrid>
        <w:gridCol w:w="23"/>
        <w:gridCol w:w="170"/>
        <w:gridCol w:w="956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pBdr/>
              <w:bidi w:val="0"/>
              <w:spacing w:before="0" w:after="0"/>
              <w:jc w:val="left"/>
              <w:rPr>
                <w:rFonts w:ascii="Times New Roman;Times;serif" w:hAnsi="Times New Roman;Times;serif"/>
                <w:sz w:val="20"/>
              </w:rPr>
            </w:pPr>
            <w:r>
              <w:rPr>
                <w:rFonts w:ascii="Times New Roman;Times;serif" w:hAnsi="Times New Roman;Times;serif"/>
                <w:sz w:val="20"/>
              </w:rPr>
              <w:t>1.</w:t>
            </w:r>
          </w:p>
        </w:tc>
        <w:tc>
          <w:tcPr>
            <w:tcW w:w="9560" w:type="dxa"/>
            <w:tcBorders/>
            <w:vAlign w:val="center"/>
          </w:tcPr>
          <w:p>
            <w:pPr>
              <w:pStyle w:val="TableContents"/>
              <w:pBdr/>
              <w:bidi w:val="0"/>
              <w:spacing w:before="0" w:after="0"/>
              <w:jc w:val="left"/>
              <w:rPr>
                <w:rFonts w:ascii="Times New Roman;Times;serif" w:hAnsi="Times New Roman;Times;serif"/>
                <w:sz w:val="20"/>
              </w:rPr>
            </w:pPr>
            <w:r>
              <w:rPr>
                <w:rFonts w:ascii="Times New Roman;Times;serif" w:hAnsi="Times New Roman;Times;serif"/>
                <w:sz w:val="20"/>
              </w:rPr>
              <w:t>The Report fully complies with the requirements of section 13(a) or 15(d) of the Securities Exchange Act of 1934; and</w:t>
            </w:r>
          </w:p>
        </w:tc>
      </w:tr>
    </w:tbl>
    <w:tbl>
      <w:tblPr>
        <w:tblW w:w="10205" w:type="dxa"/>
        <w:jc w:val="left"/>
        <w:tblInd w:w="0" w:type="dxa"/>
        <w:tblLayout w:type="fixed"/>
        <w:tblCellMar>
          <w:top w:w="0" w:type="dxa"/>
          <w:left w:w="0" w:type="dxa"/>
          <w:bottom w:w="0" w:type="dxa"/>
          <w:right w:w="0" w:type="dxa"/>
        </w:tblCellMar>
      </w:tblPr>
      <w:tblGrid>
        <w:gridCol w:w="23"/>
        <w:gridCol w:w="155"/>
        <w:gridCol w:w="10027"/>
      </w:tblGrid>
      <w:tr>
        <w:trPr/>
        <w:tc>
          <w:tcPr>
            <w:tcW w:w="2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pBdr/>
              <w:bidi w:val="0"/>
              <w:spacing w:before="0" w:after="240"/>
              <w:jc w:val="left"/>
              <w:rPr>
                <w:rFonts w:ascii="Times New Roman;Times;serif" w:hAnsi="Times New Roman;Times;serif"/>
                <w:sz w:val="20"/>
              </w:rPr>
            </w:pPr>
            <w:r>
              <w:rPr>
                <w:rFonts w:ascii="Times New Roman;Times;serif" w:hAnsi="Times New Roman;Times;serif"/>
                <w:sz w:val="20"/>
              </w:rPr>
              <w:t>2.</w:t>
            </w:r>
          </w:p>
        </w:tc>
        <w:tc>
          <w:tcPr>
            <w:tcW w:w="10027" w:type="dxa"/>
            <w:tcBorders/>
            <w:vAlign w:val="center"/>
          </w:tcPr>
          <w:p>
            <w:pPr>
              <w:pStyle w:val="TableContents"/>
              <w:pBdr/>
              <w:bidi w:val="0"/>
              <w:spacing w:before="0" w:after="240"/>
              <w:jc w:val="left"/>
              <w:rPr>
                <w:rFonts w:ascii="Times New Roman;Times;serif" w:hAnsi="Times New Roman;Times;serif"/>
                <w:sz w:val="20"/>
              </w:rPr>
            </w:pPr>
            <w:r>
              <w:rPr>
                <w:rFonts w:ascii="Times New Roman;Times;serif" w:hAnsi="Times New Roman;Times;serif"/>
                <w:sz w:val="20"/>
              </w:rPr>
              <w:t>The information contained in the Report fairly presents, in all material respects, the financial condition and results of operations of the Company for the periods presented therein.</w:t>
            </w:r>
          </w:p>
        </w:tc>
      </w:tr>
    </w:tbl>
    <w:p>
      <w:pPr>
        <w:pStyle w:val="TextBody"/>
        <w:pBdr/>
        <w:bidi w:val="0"/>
        <w:spacing w:before="0" w:after="0"/>
        <w:ind w:left="0" w:right="0" w:hanging="0"/>
        <w:jc w:val="both"/>
        <w:rPr>
          <w:rFonts w:ascii="Times New Roman;Times;serif" w:hAnsi="Times New Roman;Times;serif"/>
          <w:sz w:val="20"/>
        </w:rPr>
      </w:pPr>
      <w:r>
        <w:rPr>
          <w:rFonts w:ascii="Times New Roman;Times;serif" w:hAnsi="Times New Roman;Times;serif"/>
          <w:sz w:val="20"/>
        </w:rPr>
        <w:t>A signed original of this written statement required by Section 906 has been provided to Energous Corporation and will be retained by Energous Corporation and furnished to the Securities and Exchange Commission or its staff upon request.</w:t>
      </w:r>
    </w:p>
    <w:p>
      <w:pPr>
        <w:pStyle w:val="TextBody"/>
        <w:pBdr/>
        <w:bidi w:val="0"/>
        <w:spacing w:before="0" w:after="0"/>
        <w:ind w:left="0" w:right="0" w:hanging="0"/>
        <w:jc w:val="both"/>
        <w:rPr/>
      </w:pPr>
      <w:r>
        <w:rPr/>
        <w:t>​</w:t>
      </w:r>
    </w:p>
    <w:tbl>
      <w:tblPr>
        <w:tblW w:w="10101" w:type="dxa"/>
        <w:jc w:val="center"/>
        <w:tblInd w:w="0" w:type="dxa"/>
        <w:tblLayout w:type="fixed"/>
        <w:tblCellMar>
          <w:top w:w="0" w:type="dxa"/>
          <w:left w:w="0" w:type="dxa"/>
          <w:bottom w:w="28" w:type="dxa"/>
          <w:right w:w="0" w:type="dxa"/>
        </w:tblCellMar>
      </w:tblPr>
      <w:tblGrid>
        <w:gridCol w:w="646"/>
        <w:gridCol w:w="9301"/>
        <w:gridCol w:w="154"/>
      </w:tblGrid>
      <w:tr>
        <w:trPr/>
        <w:tc>
          <w:tcPr>
            <w:tcW w:w="9947" w:type="dxa"/>
            <w:gridSpan w:val="2"/>
            <w:tcBorders>
              <w:bottom w:val="single" w:sz="2" w:space="0" w:color="000000"/>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/s/ Mallorie Burak</w:t>
            </w:r>
          </w:p>
        </w:tc>
        <w:tc>
          <w:tcPr>
            <w:tcW w:w="154" w:type="dxa"/>
            <w:tcBorders/>
            <w:tcMar>
              <w:bottom w:w="0" w:type="dxa"/>
            </w:tcMar>
            <w:vAlign w:val="center"/>
          </w:tcPr>
          <w:p>
            <w:pPr>
              <w:pStyle w:val="TableContents"/>
              <w:bidi w:val="0"/>
              <w:spacing w:before="0" w:after="0"/>
              <w:ind w:left="0" w:right="0" w:hanging="0"/>
              <w:jc w:val="both"/>
              <w:rPr/>
            </w:pPr>
            <w:r>
              <w:rPr/>
              <w:t>​</w:t>
            </w:r>
          </w:p>
        </w:tc>
      </w:tr>
      <w:tr>
        <w:trPr/>
        <w:tc>
          <w:tcPr>
            <w:tcW w:w="646" w:type="dxa"/>
            <w:tcBorders>
              <w:top w:val="single" w:sz="2" w:space="0" w:color="000000"/>
            </w:tcBorders>
            <w:tcMar>
              <w:top w:w="28" w:type="dxa"/>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Name:</w:t>
            </w:r>
          </w:p>
        </w:tc>
        <w:tc>
          <w:tcPr>
            <w:tcW w:w="9301" w:type="dxa"/>
            <w:tcBorders>
              <w:top w:val="single" w:sz="2" w:space="0" w:color="000000"/>
            </w:tcBorders>
            <w:tcMar>
              <w:top w:w="28" w:type="dxa"/>
              <w:bottom w:w="0" w:type="dxa"/>
            </w:tcM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Mallorie Burak</w:t>
            </w:r>
          </w:p>
        </w:tc>
        <w:tc>
          <w:tcPr>
            <w:tcW w:w="154" w:type="dxa"/>
            <w:tcBorders/>
            <w:tcMar>
              <w:bottom w:w="0" w:type="dxa"/>
            </w:tcMar>
            <w:vAlign w:val="center"/>
          </w:tcPr>
          <w:p>
            <w:pPr>
              <w:pStyle w:val="TableContents"/>
              <w:bidi w:val="0"/>
              <w:spacing w:before="0" w:after="0"/>
              <w:ind w:left="0" w:right="0" w:hanging="0"/>
              <w:jc w:val="both"/>
              <w:rPr/>
            </w:pPr>
            <w:r>
              <w:rPr/>
              <w:t>​</w:t>
            </w:r>
          </w:p>
        </w:tc>
      </w:tr>
      <w:tr>
        <w:trPr/>
        <w:tc>
          <w:tcPr>
            <w:tcW w:w="646" w:type="dxa"/>
            <w:tcBorders/>
            <w:tcMar>
              <w:bottom w:w="0" w:type="dxa"/>
            </w:tcM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Title:</w:t>
            </w:r>
          </w:p>
        </w:tc>
        <w:tc>
          <w:tcPr>
            <w:tcW w:w="9301" w:type="dxa"/>
            <w:tcBorders/>
            <w:tcMar>
              <w:bottom w:w="0" w:type="dxa"/>
            </w:tcM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Chief Financial Officer (Principal Executive Officer, Principal Financial Officer and Principal Accounting Officer)</w:t>
            </w:r>
          </w:p>
        </w:tc>
        <w:tc>
          <w:tcPr>
            <w:tcW w:w="154" w:type="dxa"/>
            <w:tcBorders/>
            <w:tcMar>
              <w:bottom w:w="0" w:type="dxa"/>
            </w:tcMar>
            <w:vAlign w:val="center"/>
          </w:tcPr>
          <w:p>
            <w:pPr>
              <w:pStyle w:val="TableContents"/>
              <w:bidi w:val="0"/>
              <w:spacing w:before="0" w:after="0"/>
              <w:ind w:left="0" w:right="0" w:hanging="0"/>
              <w:jc w:val="both"/>
              <w:rPr/>
            </w:pPr>
            <w:r>
              <w:rPr/>
              <w:t>​</w:t>
            </w:r>
          </w:p>
        </w:tc>
      </w:tr>
      <w:tr>
        <w:trPr/>
        <w:tc>
          <w:tcPr>
            <w:tcW w:w="646"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w:t>
            </w:r>
          </w:p>
        </w:tc>
        <w:tc>
          <w:tcPr>
            <w:tcW w:w="9301" w:type="dxa"/>
            <w:tcBorders/>
            <w:tcMar>
              <w:bottom w:w="0" w:type="dxa"/>
            </w:tcM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May 14, 2024</w:t>
            </w:r>
          </w:p>
        </w:tc>
        <w:tc>
          <w:tcPr>
            <w:tcW w:w="154" w:type="dxa"/>
            <w:tcBorders/>
            <w:tcMar>
              <w:bottom w:w="0" w:type="dxa"/>
            </w:tcMar>
            <w:vAlign w:val="center"/>
          </w:tcPr>
          <w:p>
            <w:pPr>
              <w:pStyle w:val="TableContents"/>
              <w:bidi w:val="0"/>
              <w:spacing w:before="0" w:after="0"/>
              <w:ind w:left="0" w:right="0" w:hanging="0"/>
              <w:jc w:val="both"/>
              <w:rPr/>
            </w:pPr>
            <w:r>
              <w:rPr/>
              <w:t>​</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Calibri">
    <w:altName w:val="Helvetica"/>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575793/000156459020038993/watt-ex31_26.htm" TargetMode="External"/><Relationship Id="rId3" Type="http://schemas.openxmlformats.org/officeDocument/2006/relationships/hyperlink" Target="https://www.sec.gov/Archives/edgar/data/1575793/000119312523213522/d495019dex31.htm" TargetMode="External"/><Relationship Id="rId4" Type="http://schemas.openxmlformats.org/officeDocument/2006/relationships/hyperlink" Target="https://www.sec.gov/Archives/edgar/data/1575793/000114420414015276/v371366_ex3-1.htm" TargetMode="External"/><Relationship Id="rId5" Type="http://schemas.openxmlformats.org/officeDocument/2006/relationships/hyperlink" Target="https://www.sec.gov/Archives/edgar/data/1575793/000119312524039956/d755387dex41.htm" TargetMode="External"/><Relationship Id="rId6" Type="http://schemas.openxmlformats.org/officeDocument/2006/relationships/hyperlink" Target="https://www.sec.gov/Archives/edgar/data/1575793/000119312524039956/d755387dex42.htm" TargetMode="External"/><Relationship Id="rId7" Type="http://schemas.openxmlformats.org/officeDocument/2006/relationships/hyperlink" Target="https://www.sec.gov/Archives/edgar/data/1575793/000119312524039956/d755387dex101.htm" TargetMode="External"/><Relationship Id="rId8" Type="http://schemas.openxmlformats.org/officeDocument/2006/relationships/hyperlink" Target="https://www.sec.gov/Archives/edgar/data/1575793/000110465924040625/tm249988d1_ex99-3.htm"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6</Pages>
  <Words>15116</Words>
  <Characters>82141</Characters>
  <CharactersWithSpaces>98111</CharactersWithSpaces>
  <Paragraphs>3242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