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40" w:hanging="331"/>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7" w:lineRule="exact"/>
        <w:rPr>
          <w:rFonts w:ascii="MS PGothic" w:cs="MS PGothic" w:eastAsia="MS PGothic" w:hAnsi="MS PGothic"/>
          <w:sz w:val="18"/>
          <w:szCs w:val="18"/>
          <w:color w:val="auto"/>
          <w:highlight w:val="black"/>
        </w:rPr>
      </w:pPr>
    </w:p>
    <w:p>
      <w:pPr>
        <w:ind w:left="28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QUARTERLY PERIOD ENDED MARCH 31, 2026</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0" w:lineRule="exact"/>
        <w:rPr>
          <w:sz w:val="24"/>
          <w:szCs w:val="24"/>
          <w:color w:val="auto"/>
        </w:rPr>
      </w:pPr>
    </w:p>
    <w:p>
      <w:pPr>
        <w:ind w:left="340" w:hanging="331"/>
        <w:spacing w:after="0"/>
        <w:tabs>
          <w:tab w:leader="none" w:pos="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1137285</wp:posOffset>
            </wp:positionH>
            <wp:positionV relativeFrom="paragraph">
              <wp:posOffset>80010</wp:posOffset>
            </wp:positionV>
            <wp:extent cx="4029075" cy="1131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29075"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001-36379</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ENERGOUS CORPORATION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jc w:val="center"/>
              <w:ind w:left="171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tcPr>
          <w:p>
            <w:pPr>
              <w:jc w:val="right"/>
              <w:ind w:right="1959"/>
              <w:spacing w:after="0"/>
              <w:rPr>
                <w:sz w:val="20"/>
                <w:szCs w:val="20"/>
                <w:color w:val="auto"/>
              </w:rPr>
            </w:pPr>
            <w:r>
              <w:rPr>
                <w:rFonts w:ascii="Times New Roman" w:cs="Times New Roman" w:eastAsia="Times New Roman" w:hAnsi="Times New Roman"/>
                <w:sz w:val="16"/>
                <w:szCs w:val="16"/>
                <w:b w:val="1"/>
                <w:bCs w:val="1"/>
                <w:color w:val="auto"/>
              </w:rPr>
              <w:t>46-1318953</w:t>
            </w:r>
          </w:p>
        </w:tc>
      </w:tr>
      <w:tr>
        <w:trPr>
          <w:trHeight w:val="212"/>
        </w:trPr>
        <w:tc>
          <w:tcPr>
            <w:tcW w:w="4260" w:type="dxa"/>
            <w:vAlign w:val="bottom"/>
            <w:gridSpan w:val="4"/>
          </w:tcPr>
          <w:p>
            <w:pPr>
              <w:jc w:val="center"/>
              <w:ind w:left="539"/>
              <w:spacing w:after="0"/>
              <w:rPr>
                <w:sz w:val="20"/>
                <w:szCs w:val="20"/>
                <w:color w:val="auto"/>
              </w:rPr>
            </w:pPr>
            <w:r>
              <w:rPr>
                <w:rFonts w:ascii="Times New Roman" w:cs="Times New Roman" w:eastAsia="Times New Roman" w:hAnsi="Times New Roman"/>
                <w:sz w:val="16"/>
                <w:szCs w:val="16"/>
                <w:i w:val="1"/>
                <w:iCs w:val="1"/>
                <w:color w:val="auto"/>
                <w:w w:val="99"/>
              </w:rPr>
              <w:t>(State of incorporation)</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tcPr>
          <w:p>
            <w:pPr>
              <w:jc w:val="center"/>
              <w:ind w:right="1159"/>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tc>
      </w:tr>
      <w:tr>
        <w:trPr>
          <w:trHeight w:val="283"/>
        </w:trPr>
        <w:tc>
          <w:tcPr>
            <w:tcW w:w="3080" w:type="dxa"/>
            <w:vAlign w:val="bottom"/>
          </w:tcPr>
          <w:p>
            <w:pPr>
              <w:spacing w:after="0"/>
              <w:rPr>
                <w:sz w:val="24"/>
                <w:szCs w:val="24"/>
                <w:color w:val="auto"/>
              </w:rPr>
            </w:pPr>
          </w:p>
        </w:tc>
        <w:tc>
          <w:tcPr>
            <w:tcW w:w="6840" w:type="dxa"/>
            <w:vAlign w:val="bottom"/>
            <w:gridSpan w:val="7"/>
          </w:tcPr>
          <w:p>
            <w:pPr>
              <w:jc w:val="center"/>
              <w:ind w:right="2999"/>
              <w:spacing w:after="0"/>
              <w:rPr>
                <w:sz w:val="20"/>
                <w:szCs w:val="20"/>
                <w:color w:val="auto"/>
              </w:rPr>
            </w:pPr>
            <w:r>
              <w:rPr>
                <w:rFonts w:ascii="Times New Roman" w:cs="Times New Roman" w:eastAsia="Times New Roman" w:hAnsi="Times New Roman"/>
                <w:sz w:val="16"/>
                <w:szCs w:val="16"/>
                <w:b w:val="1"/>
                <w:bCs w:val="1"/>
                <w:color w:val="auto"/>
              </w:rPr>
              <w:t>3590 North First Street, Suite 330, San Jose, CA 95134</w:t>
            </w:r>
          </w:p>
        </w:tc>
      </w:tr>
      <w:tr>
        <w:trPr>
          <w:trHeight w:val="166"/>
        </w:trPr>
        <w:tc>
          <w:tcPr>
            <w:tcW w:w="3080" w:type="dxa"/>
            <w:vAlign w:val="bottom"/>
          </w:tcPr>
          <w:p>
            <w:pPr>
              <w:spacing w:after="0"/>
              <w:rPr>
                <w:sz w:val="14"/>
                <w:szCs w:val="14"/>
                <w:color w:val="auto"/>
              </w:rPr>
            </w:pPr>
          </w:p>
        </w:tc>
        <w:tc>
          <w:tcPr>
            <w:tcW w:w="3240" w:type="dxa"/>
            <w:vAlign w:val="bottom"/>
            <w:gridSpan w:val="6"/>
          </w:tcPr>
          <w:p>
            <w:pPr>
              <w:jc w:val="center"/>
              <w:ind w:left="451"/>
              <w:spacing w:after="0"/>
              <w:rPr>
                <w:sz w:val="20"/>
                <w:szCs w:val="20"/>
                <w:color w:val="auto"/>
              </w:rPr>
            </w:pPr>
            <w:r>
              <w:rPr>
                <w:rFonts w:ascii="Times New Roman" w:cs="Times New Roman" w:eastAsia="Times New Roman" w:hAnsi="Times New Roman"/>
                <w:sz w:val="13"/>
                <w:szCs w:val="13"/>
                <w:i w:val="1"/>
                <w:iCs w:val="1"/>
                <w:color w:val="auto"/>
                <w:w w:val="96"/>
              </w:rPr>
              <w:t xml:space="preserve">(Address of principal executive office) </w:t>
            </w:r>
            <w:r>
              <w:rPr>
                <w:rFonts w:ascii="Times New Roman" w:cs="Times New Roman" w:eastAsia="Times New Roman" w:hAnsi="Times New Roman"/>
                <w:sz w:val="13"/>
                <w:szCs w:val="13"/>
                <w:color w:val="auto"/>
                <w:w w:val="96"/>
              </w:rPr>
              <w:t>(Zip code)</w:t>
            </w:r>
          </w:p>
        </w:tc>
        <w:tc>
          <w:tcPr>
            <w:tcW w:w="3600" w:type="dxa"/>
            <w:vAlign w:val="bottom"/>
          </w:tcPr>
          <w:p>
            <w:pPr>
              <w:spacing w:after="0"/>
              <w:rPr>
                <w:sz w:val="14"/>
                <w:szCs w:val="14"/>
                <w:color w:val="auto"/>
              </w:rPr>
            </w:pPr>
          </w:p>
        </w:tc>
      </w:tr>
      <w:tr>
        <w:trPr>
          <w:trHeight w:val="266"/>
        </w:trPr>
        <w:tc>
          <w:tcPr>
            <w:tcW w:w="30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(408) 963-0200</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166"/>
        </w:trPr>
        <w:tc>
          <w:tcPr>
            <w:tcW w:w="3080" w:type="dxa"/>
            <w:vAlign w:val="bottom"/>
          </w:tcPr>
          <w:p>
            <w:pPr>
              <w:spacing w:after="0"/>
              <w:rPr>
                <w:sz w:val="14"/>
                <w:szCs w:val="14"/>
                <w:color w:val="auto"/>
              </w:rPr>
            </w:pPr>
          </w:p>
        </w:tc>
        <w:tc>
          <w:tcPr>
            <w:tcW w:w="3240" w:type="dxa"/>
            <w:vAlign w:val="bottom"/>
            <w:gridSpan w:val="6"/>
          </w:tcPr>
          <w:p>
            <w:pPr>
              <w:jc w:val="center"/>
              <w:ind w:left="451"/>
              <w:spacing w:after="0"/>
              <w:rPr>
                <w:sz w:val="20"/>
                <w:szCs w:val="20"/>
                <w:color w:val="auto"/>
              </w:rPr>
            </w:pPr>
            <w:r>
              <w:rPr>
                <w:rFonts w:ascii="Times New Roman" w:cs="Times New Roman" w:eastAsia="Times New Roman" w:hAnsi="Times New Roman"/>
                <w:sz w:val="13"/>
                <w:szCs w:val="13"/>
                <w:i w:val="1"/>
                <w:iCs w:val="1"/>
                <w:color w:val="auto"/>
                <w:w w:val="95"/>
              </w:rPr>
              <w:t>(Registrant’s telephone number, including area code)</w:t>
            </w:r>
          </w:p>
        </w:tc>
        <w:tc>
          <w:tcPr>
            <w:tcW w:w="3600" w:type="dxa"/>
            <w:vAlign w:val="bottom"/>
          </w:tcPr>
          <w:p>
            <w:pPr>
              <w:spacing w:after="0"/>
              <w:rPr>
                <w:sz w:val="14"/>
                <w:szCs w:val="14"/>
                <w:color w:val="auto"/>
              </w:rPr>
            </w:pPr>
          </w:p>
        </w:tc>
      </w:tr>
      <w:tr>
        <w:trPr>
          <w:trHeight w:val="266"/>
        </w:trPr>
        <w:tc>
          <w:tcPr>
            <w:tcW w:w="426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301"/>
        </w:trPr>
        <w:tc>
          <w:tcPr>
            <w:tcW w:w="3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5"/>
        </w:trPr>
        <w:tc>
          <w:tcPr>
            <w:tcW w:w="308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70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Symbol(s)</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6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080" w:type="dxa"/>
            <w:vAlign w:val="bottom"/>
            <w:tcBorders>
              <w:top w:val="single" w:sz="8" w:color="auto"/>
            </w:tcBorders>
          </w:tcPr>
          <w:p>
            <w:pPr>
              <w:jc w:val="center"/>
              <w:ind w:left="619"/>
              <w:spacing w:after="0"/>
              <w:rPr>
                <w:sz w:val="20"/>
                <w:szCs w:val="20"/>
                <w:color w:val="auto"/>
              </w:rPr>
            </w:pPr>
            <w:r>
              <w:rPr>
                <w:rFonts w:ascii="Times New Roman" w:cs="Times New Roman" w:eastAsia="Times New Roman" w:hAnsi="Times New Roman"/>
                <w:sz w:val="16"/>
                <w:szCs w:val="16"/>
                <w:color w:val="auto"/>
              </w:rPr>
              <w:t>Common Stock, $0.00001 par value</w:t>
            </w: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w w:val="90"/>
              </w:rPr>
              <w:t>WATT</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0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The Nasdaq Stock Market</w:t>
            </w:r>
          </w:p>
        </w:tc>
      </w:tr>
    </w:tbl>
    <w:p>
      <w:pPr>
        <w:spacing w:after="0" w:line="7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w:t>
      </w:r>
    </w:p>
    <w:p>
      <w:pPr>
        <w:spacing w:after="0" w:line="26" w:lineRule="exact"/>
        <w:rPr>
          <w:sz w:val="24"/>
          <w:szCs w:val="24"/>
          <w:color w:val="auto"/>
        </w:rPr>
      </w:pPr>
    </w:p>
    <w:p>
      <w:pPr>
        <w:ind w:right="240"/>
        <w:spacing w:after="0" w:line="216" w:lineRule="exact"/>
        <w:rPr>
          <w:sz w:val="20"/>
          <w:szCs w:val="20"/>
          <w:color w:val="auto"/>
        </w:rPr>
      </w:pPr>
      <w:r>
        <w:rPr>
          <w:rFonts w:ascii="Times New Roman" w:cs="Times New Roman" w:eastAsia="Times New Roman" w:hAnsi="Times New Roman"/>
          <w:sz w:val="16"/>
          <w:szCs w:val="16"/>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340"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40"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2"/>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7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61" w:lineRule="exact"/>
        <w:rPr>
          <w:sz w:val="24"/>
          <w:szCs w:val="24"/>
          <w:color w:val="auto"/>
        </w:rPr>
      </w:pPr>
    </w:p>
    <w:p>
      <w:pPr>
        <w:ind w:right="20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340" w:right="860"/>
        <w:spacing w:after="0" w:line="26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10, 2026, there were 5,501,101 shares of our Common Stock, par value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484505</wp:posOffset>
            </wp:positionV>
            <wp:extent cx="629221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64135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107315</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3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540" w:type="dxa"/>
            <w:vAlign w:val="bottom"/>
          </w:tcPr>
          <w:p>
            <w:pPr>
              <w:spacing w:after="0"/>
              <w:rPr>
                <w:sz w:val="17"/>
                <w:szCs w:val="17"/>
                <w:color w:val="auto"/>
              </w:rPr>
            </w:pPr>
          </w:p>
        </w:tc>
      </w:tr>
      <w:tr>
        <w:trPr>
          <w:trHeight w:val="754"/>
        </w:trPr>
        <w:tc>
          <w:tcPr>
            <w:tcW w:w="5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gridSpan w:val="4"/>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8"/>
              </w:rPr>
              <w:t>ENERGOUS CORPORATION</w:t>
            </w:r>
          </w:p>
        </w:tc>
        <w:tc>
          <w:tcPr>
            <w:tcW w:w="154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540" w:type="dxa"/>
            <w:vAlign w:val="bottom"/>
          </w:tcPr>
          <w:p>
            <w:pPr>
              <w:spacing w:after="0"/>
              <w:rPr>
                <w:sz w:val="18"/>
                <w:szCs w:val="18"/>
                <w:color w:val="auto"/>
              </w:rPr>
            </w:pPr>
          </w:p>
        </w:tc>
      </w:tr>
      <w:tr>
        <w:trPr>
          <w:trHeight w:val="238"/>
        </w:trPr>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4"/>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2026</w:t>
            </w:r>
          </w:p>
        </w:tc>
        <w:tc>
          <w:tcPr>
            <w:tcW w:w="154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540" w:type="dxa"/>
            <w:vAlign w:val="bottom"/>
          </w:tcPr>
          <w:p>
            <w:pPr>
              <w:spacing w:after="0"/>
              <w:rPr>
                <w:sz w:val="24"/>
                <w:szCs w:val="24"/>
                <w:color w:val="auto"/>
              </w:rPr>
            </w:pPr>
          </w:p>
        </w:tc>
      </w:tr>
      <w:tr>
        <w:trPr>
          <w:trHeight w:val="405"/>
        </w:trPr>
        <w:tc>
          <w:tcPr>
            <w:tcW w:w="29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PART I - FINANCIAL INFORMATION</w:t>
            </w:r>
          </w:p>
        </w:tc>
        <w:tc>
          <w:tcPr>
            <w:tcW w:w="5420" w:type="dxa"/>
            <w:vAlign w:val="bottom"/>
            <w:gridSpan w:val="4"/>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83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83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2"/>
        </w:trPr>
        <w:tc>
          <w:tcPr>
            <w:tcW w:w="486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 About Market Risk</w:t>
            </w:r>
          </w:p>
        </w:tc>
        <w:tc>
          <w:tcPr>
            <w:tcW w:w="2160" w:type="dxa"/>
            <w:vAlign w:val="bottom"/>
            <w:tcBorders>
              <w:top w:val="single" w:sz="8" w:color="0000EE"/>
            </w:tcBorders>
            <w:gridSpan w:val="2"/>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2"/>
        </w:trPr>
        <w:tc>
          <w:tcPr>
            <w:tcW w:w="23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6020" w:type="dxa"/>
            <w:vAlign w:val="bottom"/>
            <w:gridSpan w:val="7"/>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2"/>
        </w:trPr>
        <w:tc>
          <w:tcPr>
            <w:tcW w:w="26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PART II – OTHER INFORMATION</w:t>
            </w:r>
          </w:p>
        </w:tc>
        <w:tc>
          <w:tcPr>
            <w:tcW w:w="5700" w:type="dxa"/>
            <w:vAlign w:val="bottom"/>
            <w:gridSpan w:val="6"/>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2"/>
        </w:trPr>
        <w:tc>
          <w:tcPr>
            <w:tcW w:w="19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6480" w:type="dxa"/>
            <w:vAlign w:val="bottom"/>
            <w:gridSpan w:val="9"/>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2"/>
        </w:trPr>
        <w:tc>
          <w:tcPr>
            <w:tcW w:w="1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6780" w:type="dxa"/>
            <w:vAlign w:val="bottom"/>
            <w:gridSpan w:val="11"/>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2"/>
        </w:trPr>
        <w:tc>
          <w:tcPr>
            <w:tcW w:w="49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460" w:type="dxa"/>
            <w:vAlign w:val="bottom"/>
            <w:gridSpan w:val="2"/>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EE"/>
              </w:rPr>
              <w:t>Item 3.</w:t>
            </w:r>
          </w:p>
        </w:tc>
        <w:tc>
          <w:tcPr>
            <w:tcW w:w="784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2"/>
        </w:trPr>
        <w:tc>
          <w:tcPr>
            <w:tcW w:w="5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4.</w:t>
            </w:r>
          </w:p>
        </w:tc>
        <w:tc>
          <w:tcPr>
            <w:tcW w:w="1800" w:type="dxa"/>
            <w:vAlign w:val="bottom"/>
            <w:tcBorders>
              <w:top w:val="single" w:sz="8" w:color="0000EE"/>
              <w:bottom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600" w:type="dxa"/>
            <w:vAlign w:val="bottom"/>
            <w:tcBorders>
              <w:top w:val="single" w:sz="8" w:color="0000EE"/>
            </w:tcBorders>
            <w:gridSpan w:val="3"/>
          </w:tcPr>
          <w:p>
            <w:pPr>
              <w:spacing w:after="0"/>
              <w:rPr>
                <w:sz w:val="24"/>
                <w:szCs w:val="24"/>
                <w:color w:val="auto"/>
              </w:rPr>
            </w:pPr>
          </w:p>
        </w:tc>
        <w:tc>
          <w:tcPr>
            <w:tcW w:w="5440" w:type="dxa"/>
            <w:vAlign w:val="bottom"/>
            <w:gridSpan w:val="5"/>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2"/>
        </w:trPr>
        <w:tc>
          <w:tcPr>
            <w:tcW w:w="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5.</w:t>
            </w:r>
          </w:p>
        </w:tc>
        <w:tc>
          <w:tcPr>
            <w:tcW w:w="1340" w:type="dxa"/>
            <w:vAlign w:val="bottom"/>
            <w:tcBorders>
              <w:bottom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500" w:type="dxa"/>
            <w:vAlign w:val="bottom"/>
            <w:gridSpan w:val="10"/>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EE"/>
              </w:rPr>
              <w:t>Item 6.</w:t>
            </w:r>
          </w:p>
        </w:tc>
        <w:tc>
          <w:tcPr>
            <w:tcW w:w="784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EE"/>
              </w:rPr>
              <w:t>Exhibits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320" w:type="dxa"/>
            <w:vAlign w:val="bottom"/>
            <w:vMerge w:val="restart"/>
          </w:tcPr>
          <w:p>
            <w:pPr>
              <w:ind w:left="7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11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March 31, 2026</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 2025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ind w:left="3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36,605</w:t>
            </w: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45,590</w:t>
            </w: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gridSpan w:val="2"/>
          </w:tcPr>
          <w:p>
            <w:pPr>
              <w:spacing w:after="0"/>
              <w:rPr>
                <w:sz w:val="21"/>
                <w:szCs w:val="21"/>
                <w:color w:val="auto"/>
              </w:rPr>
            </w:pPr>
          </w:p>
        </w:tc>
        <w:tc>
          <w:tcPr>
            <w:tcW w:w="2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ind w:left="160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loan payable, net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liabilities, long-term portion</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10,000,000 shares authorized as of March 31, 2026 and</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2025; no shares issued or outstanding as of March 31, 2026 or December 31,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$0.00001 par value, 200,000,000 shares authorized as of March 31, 2026 and</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2025; 5,501,099 and 2,200,240 shares issued and outstanding as of March 31,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 and December 31, 2025, respectively.</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454,447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(411,689)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42,759</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45,590</w:t>
            </w:r>
          </w:p>
        </w:tc>
        <w:tc>
          <w:tcPr>
            <w:tcW w:w="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60" w:type="dxa"/>
            <w:vAlign w:val="bottom"/>
          </w:tcPr>
          <w:p>
            <w:pPr>
              <w:jc w:val="right"/>
              <w:ind w:right="14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00" w:right="1040" w:hanging="1541"/>
        <w:spacing w:after="0" w:line="532" w:lineRule="auto"/>
        <w:tabs>
          <w:tab w:leader="none" w:pos="6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balance sheet as of December 31, 2025 was derived from the audited balance sheet as of that date. The accompanying notes are an integral part of these condensed financial statements.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432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 For the Three Months Ended March 31,</w:t>
            </w: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7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Severance expense</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Expenses from abandoned financing transaction</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17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49"/>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197"/>
        </w:trPr>
        <w:tc>
          <w:tcPr>
            <w:tcW w:w="56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loss per common share</w:t>
            </w:r>
          </w:p>
        </w:tc>
        <w:tc>
          <w:tcPr>
            <w:tcW w:w="17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(0.43)</w:t>
            </w: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1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3,882,415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948,109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8"/>
          <w:szCs w:val="18"/>
          <w:color w:val="auto"/>
        </w:rPr>
        <w:t>Note: Share and per share amounts have been retroactively adjusted to reflect the impact of a 1-for-30 reverse stock split effected in August 2025, as discussed in Note 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5"/>
        </w:trPr>
        <w:tc>
          <w:tcPr>
            <w:tcW w:w="5300" w:type="dxa"/>
            <w:vAlign w:val="bottom"/>
            <w:gridSpan w:val="3"/>
          </w:tcPr>
          <w:p>
            <w:pPr>
              <w:ind w:left="5120"/>
              <w:spacing w:after="0"/>
              <w:rPr>
                <w:sz w:val="20"/>
                <w:szCs w:val="20"/>
                <w:color w:val="auto"/>
              </w:rPr>
            </w:pPr>
            <w:r>
              <w:rPr>
                <w:rFonts w:ascii="Times New Roman" w:cs="Times New Roman" w:eastAsia="Times New Roman" w:hAnsi="Times New Roman"/>
                <w:sz w:val="13"/>
                <w:szCs w:val="13"/>
                <w:b w:val="1"/>
                <w:bCs w:val="1"/>
                <w:color w:val="auto"/>
              </w:rPr>
              <w:t>​​​</w:t>
            </w:r>
          </w:p>
        </w:tc>
        <w:tc>
          <w:tcPr>
            <w:tcW w:w="162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   Paid-in</w:t>
            </w:r>
          </w:p>
        </w:tc>
        <w:tc>
          <w:tcPr>
            <w:tcW w:w="100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42"/>
        </w:trPr>
        <w:tc>
          <w:tcPr>
            <w:tcW w:w="5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r>
      <w:tr>
        <w:trPr>
          <w:trHeight w:val="142"/>
        </w:trPr>
        <w:tc>
          <w:tcPr>
            <w:tcW w:w="5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as of January 1, 2026</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2,200,240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422,530</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(410,033)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12,498</w:t>
            </w:r>
          </w:p>
        </w:tc>
      </w:tr>
      <w:tr>
        <w:trPr>
          <w:trHeight w:val="148"/>
        </w:trPr>
        <w:tc>
          <w:tcPr>
            <w:tcW w:w="53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Stock-based compensation - restricted stock units (“RSUs”)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48"/>
        </w:trPr>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shares for RSUs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3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Issuance of shares in an at-the-market (“ATM”) placement, net of $1,013 in issuance costs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3,299,728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31,867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31,867</w:t>
            </w:r>
          </w:p>
        </w:tc>
      </w:tr>
      <w:tr>
        <w:trPr>
          <w:trHeight w:val="148"/>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tcBorders>
              <w:bottom w:val="single" w:sz="8" w:color="auto"/>
            </w:tcBorders>
            <w:gridSpan w:val="2"/>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(1,656)</w:t>
            </w:r>
          </w:p>
        </w:tc>
      </w:tr>
      <w:tr>
        <w:trPr>
          <w:trHeight w:val="142"/>
        </w:trPr>
        <w:tc>
          <w:tcPr>
            <w:tcW w:w="52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Balance as of March 31, 2026</w:t>
            </w:r>
          </w:p>
        </w:tc>
        <w:tc>
          <w:tcPr>
            <w:tcW w:w="100" w:type="dxa"/>
            <w:vAlign w:val="bottom"/>
            <w:tcBorders>
              <w:bottom w:val="single" w:sz="8" w:color="auto"/>
            </w:tcBorders>
            <w:gridSpan w:val="2"/>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5,501,099</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454,447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(411,689)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42,759</w:t>
            </w:r>
          </w:p>
        </w:tc>
      </w:tr>
      <w:tr>
        <w:trPr>
          <w:trHeight w:val="20"/>
        </w:trPr>
        <w:tc>
          <w:tcPr>
            <w:tcW w:w="5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42"/>
        </w:trPr>
        <w:tc>
          <w:tcPr>
            <w:tcW w:w="5300" w:type="dxa"/>
            <w:vAlign w:val="bottom"/>
            <w:gridSpan w:val="3"/>
          </w:tcPr>
          <w:p>
            <w:pPr>
              <w:ind w:left="514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spacing w:after="0"/>
              <w:rPr>
                <w:sz w:val="24"/>
                <w:szCs w:val="24"/>
                <w:color w:val="auto"/>
              </w:rPr>
            </w:pP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60" w:type="dxa"/>
            <w:vAlign w:val="bottom"/>
            <w:gridSpan w:val="3"/>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65"/>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4"/>
                <w:szCs w:val="14"/>
                <w:color w:val="auto"/>
              </w:rPr>
            </w:pPr>
          </w:p>
        </w:tc>
        <w:tc>
          <w:tcPr>
            <w:tcW w:w="90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42"/>
        </w:trPr>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2"/>
                <w:szCs w:val="12"/>
                <w:color w:val="auto"/>
              </w:rPr>
            </w:pPr>
          </w:p>
        </w:tc>
        <w:tc>
          <w:tcPr>
            <w:tcW w:w="9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Equity (Deficit)</w:t>
            </w:r>
          </w:p>
        </w:tc>
      </w:tr>
      <w:tr>
        <w:trPr>
          <w:trHeight w:val="142"/>
        </w:trPr>
        <w:tc>
          <w:tcPr>
            <w:tcW w:w="522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as of January 1, 2025</w:t>
            </w: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452,533</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399,362</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(400,440)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(1,077)</w:t>
            </w:r>
          </w:p>
        </w:tc>
      </w:tr>
      <w:tr>
        <w:trPr>
          <w:trHeight w:val="148"/>
        </w:trPr>
        <w:tc>
          <w:tcPr>
            <w:tcW w:w="53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Stock-based compensation - RSUs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48"/>
        </w:trPr>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shares for RSUs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3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Shares issued to vendor for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49"/>
        </w:trPr>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shares in an ATM placement, net of $940 in issuance costs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623,440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13,803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13,803</w:t>
            </w:r>
          </w:p>
        </w:tc>
      </w:tr>
      <w:tr>
        <w:trPr>
          <w:trHeight w:val="148"/>
        </w:trPr>
        <w:tc>
          <w:tcPr>
            <w:tcW w:w="5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Net loss</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(3,366)</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(3,366)</w:t>
            </w:r>
          </w:p>
        </w:tc>
      </w:tr>
      <w:tr>
        <w:trPr>
          <w:trHeight w:val="142"/>
        </w:trPr>
        <w:tc>
          <w:tcPr>
            <w:tcW w:w="530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as of March 31, 2025</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1,079,788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413,301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(403,806)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9,496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8"/>
          <w:szCs w:val="18"/>
          <w:color w:val="auto"/>
        </w:rPr>
        <w:t>Note: Share and per share amounts have been retroactively adjusted to reflect the impact of a 1-for-30 reverse stock split effected in August 2025, as discussed in Note 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3760" w:type="dxa"/>
            <w:vAlign w:val="bottom"/>
            <w:gridSpan w:val="7"/>
          </w:tcPr>
          <w:p>
            <w:pPr>
              <w:ind w:left="900"/>
              <w:spacing w:after="0"/>
              <w:rPr>
                <w:sz w:val="20"/>
                <w:szCs w:val="20"/>
                <w:color w:val="auto"/>
              </w:rPr>
            </w:pPr>
            <w:r>
              <w:rPr>
                <w:rFonts w:ascii="Times New Roman" w:cs="Times New Roman" w:eastAsia="Times New Roman" w:hAnsi="Times New Roman"/>
                <w:sz w:val="14"/>
                <w:szCs w:val="14"/>
                <w:b w:val="1"/>
                <w:bCs w:val="1"/>
                <w:color w:val="auto"/>
              </w:rPr>
              <w:t>​​​  For the 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tcBorders>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interest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short-term loan fees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right-of-use assets (“ROUs”)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severance expense</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Repayments of short-term loan</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Repayments of financed insurance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proceeds from an ATM offering</w:t>
            </w:r>
          </w:p>
        </w:tc>
        <w:tc>
          <w:tcPr>
            <w:tcW w:w="10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31,867</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31,814</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Cash and cash equivalents - beginning</w:t>
            </w:r>
          </w:p>
        </w:tc>
        <w:tc>
          <w:tcPr>
            <w:tcW w:w="10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 - ending</w:t>
            </w:r>
          </w:p>
        </w:tc>
        <w:tc>
          <w:tcPr>
            <w:tcW w:w="10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36,605</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paid</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0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in ROUs and operating lease liabilities from lease modification</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Decrease in ROUs from shares issued to landlord</w:t>
            </w: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Accrued interest in short-term loan payable</w:t>
            </w:r>
          </w:p>
        </w:tc>
        <w:tc>
          <w:tcPr>
            <w:tcW w:w="10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Organization, Nature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Energous Corporation d/b/a Energous Wireless Power Solutions (the “Company”) has developed scalable, over-the-air Wireless Power Network (“WPN”) technology that integrates advanced semiconductor chipsets, software controls, hardware designs, and antenna systems to enable radio frequency (“RF”)-based charging for ambient Internet of Things (“IoT”) devices, transforming supply chain capabilities from limited tracking to overall business intelligence. The Company’s WPN technology consists of transmitter systems, receiver integrated circuits, and supporting software designed to deliver power and data to battery-free IoT devices across a range of operating distances and power levels. These capabilities support applications that require continuous operation without wired power connections or periodic battery replacement.</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With a patent portfolio exceeding 300 patents, the Company’s solutions support both near-field and at-a-distance wireless power transmission and include advanced receiver technology designed for use across multiple device categories. Applications include retail sensors, electronic shelf labels (“ESLs”), asset trackers, air quality monitors, motion detectors, and other monitoring solutions.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To date, the Company has developed and released multiple transmitter and battery-free receiver products. The Company’s transmitters vary in form factors, power specifications, and operating frequencies, and our receivers are designed to support a range of wireless power-enabled device applications, including:</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9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Device Type</w:t>
            </w:r>
          </w:p>
        </w:tc>
        <w:tc>
          <w:tcPr>
            <w:tcW w:w="4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Application</w:t>
            </w: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RF Tags</w:t>
            </w:r>
          </w:p>
        </w:tc>
        <w:tc>
          <w:tcPr>
            <w:tcW w:w="4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Cold Chain, Asset Tracking, Medical IoT</w:t>
            </w: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Ambient IoT Sensors</w:t>
            </w:r>
          </w:p>
        </w:tc>
        <w:tc>
          <w:tcPr>
            <w:tcW w:w="4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Cold Chain, Logistics, Asset Tracking</w:t>
            </w: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Electronic Shelf Labels</w:t>
            </w:r>
          </w:p>
        </w:tc>
        <w:tc>
          <w:tcPr>
            <w:tcW w:w="4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Retail and Industrial IoT</w:t>
            </w:r>
          </w:p>
        </w:tc>
      </w:tr>
    </w:tbl>
    <w:p>
      <w:pPr>
        <w:spacing w:after="0" w:line="19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first WPN-enabled product featuring the Company’s technology entered the market in 2019. In the fourth quarter of 2021, the Company commenced shipments of at-a-distance PowerBridge transmitter systems for commercial IoT applications and proof-of-concept deployments. In the second quarter of 2025, the Company introduced the battery-free e-Sense tag and the e-Compass cloud-based software platform, which together supported the first end-to-end wireless power-enabled IoT device monitoring and management solution. As the Company continues to innovate its technology applications, the Company anticipates the release of additional wireless power-enabled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August 7, 2025, with the prior approval of stockholders at the Company’s 2025 annual meeting of stockholders held on June 11, 2025, the Company announced that its Board of Directors (the “Board”) had approved a reverse stock split of the Company’s common stock at a ratio of 1-for-30, effective August 11, 2025 (the “Reverse Stock Split”). Upon effectiveness of the Reverse Stock Split, every thirty shares of issued and outstanding common stock held were combined into one share of common stock. No fractional shares were distributed as a result of the reverse stock split and stockholders were entitled to a cash payment in lieu of fractional shares. Additionally, the par value of the Company’s common stock did not change.</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information presented herein, unless otherwise indicated herein, reflects the Reverse Stock Split of the Company’s outstanding shares of common stock, and unless otherwise indicated, all such amounts and corresponding conversion price or exercise price data set forth herein have been adjusted to give effect to such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Liquidity and Management Plans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generated revenue of $3.1  million and $0.3 million, respectively, and incurred net losses of $1.7 million and $3.4 million, respectively. Net cash used in operating activities was $5.6 million and $4.7 million for the three months ended March 31, 2026 and 2025, respectively.</w:t>
      </w:r>
    </w:p>
    <w:p>
      <w:pPr>
        <w:spacing w:after="0" w:line="17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cash on hand of $36.6 million. Based upon its cash on hand as of March 31, 2026 and anticipated collection of accounts receivable, the Company is currently meeting its liquidity requirements.</w:t>
      </w:r>
    </w:p>
    <w:p>
      <w:pPr>
        <w:spacing w:after="0" w:line="160"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205-40, </w:t>
      </w:r>
      <w:r>
        <w:rPr>
          <w:rFonts w:ascii="Times New Roman" w:cs="Times New Roman" w:eastAsia="Times New Roman" w:hAnsi="Times New Roman"/>
          <w:sz w:val="18"/>
          <w:szCs w:val="18"/>
          <w:i w:val="1"/>
          <w:iCs w:val="1"/>
          <w:color w:val="auto"/>
        </w:rPr>
        <w:t>Presentation of Financial Statements—Going Concern</w:t>
      </w:r>
      <w:r>
        <w:rPr>
          <w:rFonts w:ascii="Times New Roman" w:cs="Times New Roman" w:eastAsia="Times New Roman" w:hAnsi="Times New Roman"/>
          <w:sz w:val="18"/>
          <w:szCs w:val="18"/>
          <w:color w:val="auto"/>
        </w:rPr>
        <w:t>, management has evaluated whether conditions or events, considered in the aggregate, raise questions about the Company’s ability to continue as a going concern within one year after the date the financial statements are issued. Based on current operating levels and existing cash balances, management believes that the Company has sufficient liquidity to fund operations for at least the next twelve months</w:t>
      </w:r>
    </w:p>
    <w:p>
      <w:pPr>
        <w:spacing w:after="0" w:line="18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the Company gains traction in the market with its new technology and continues to invest capital in transitioning and scaling the business from research and development of new technologies to commercial production, there can be no assurance that its available resources and revenue generated from its business operations will be sufficient to sustain its operations, as adoption of this emerging technology by enterprise customers may take longer than expected. Accordingly, the Company may decide to pursue additional financing, which could include offerings of equity or debt securities, bank financing, commercial agreements with customers or strategic partners, and other alternatives, depending upon market conditions. There is no assurance that such financing will be available on terms that the Company would find acceptable, or at all. If the Company is unsuccessful in implementing this plan, the Company will be required to make further cost and expense reductions or modifications to its on-going operations and strategic plans.</w:t>
      </w:r>
    </w:p>
    <w:p>
      <w:pPr>
        <w:spacing w:after="0" w:line="19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market for products using the Company’s technology is broad and evolving, so the Company’s success is dependent upon many factors, including customer acceptance of its existing products, technical feasibility of future products, regulatory approvals, the development of complementary technologies, competition and global market fluctuations.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of America (“U.S. GAAP”), and pursuant to the accounting and disclosure rules and regulations of the U.S. Securities and Exchange Commission (the “SEC”). Certain information and note disclosures have been condensed or omitted pursuant to such rules and regulations. The unaudited condensed financial statements have been prepared on the same basis as the annual financial statements and, in the opinion of management, reflect all adjustments, which include only normal recurring adjustments, necessary for a fair presentation of the periods presented. The results of operations for the three months ended March 31, 2026 are not necessarily indicative of the results to be expected for the full fiscal year ending December 31, 2026, or for other future periods.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interim unaudited condensed financial statements should be read in conjunction with the audited financial statements and notes thereto for the fiscal year ended December 31, 2025 included in the Company’s Annual Report on Form 10-K for the fiscal year ended December 31, 2025, filed with the SEC on March 26, 2026 (the “2025 Annual Report”). The accounting policies used in preparing these interim unaudited condensed financial statements are consistent with those described in the 2025 Annual Report</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amounts of revenue and expenses during the reporting periods.</w:t>
      </w:r>
    </w:p>
    <w:p>
      <w:pPr>
        <w:spacing w:after="0" w:line="14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significant estimates and assumptions include recognition of revenue, inventory valuation, fair value of warrant liabilities, accounting for lease obligations and the valuation allowance on deferred tax assets.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and accounts receivable. As of March 31, 2026 and December 31, 2025, the Company had cash balances in various operating accounts in excess of federally insured limits. The Company maintains its cash and cash equivalents with what it considers high credit quality financial institutions.</w:t>
      </w:r>
    </w:p>
    <w:p>
      <w:pPr>
        <w:spacing w:after="0" w:line="1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Two customers accounted for approximately 83% of the Company’s revenue for the three months ended March 31, 2026 and three customers accounted for approximately 86% of the Company’s revenue for the three months ended March 31, 2025. Three customers accounted for approximately 92% of the Company’s accounts receivable balance as of March 31, 2026. One customer accounted for approximately 99% of the Company’s accounts receivable balance as of December 31, 2025. The Company does not require collateral or other security to support accounts receivable. To reduce risk, the Company’s management performs ongoing credit evaluations of its customers’ financial condition.</w:t>
      </w:r>
    </w:p>
    <w:p>
      <w:pPr>
        <w:spacing w:after="0" w:line="160"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With the launch of its new U.S.-based contract manufacturer, the Company’s product sales were supplied by two contract manufacturers during the three months ended March 31, 2026 and one contract manufacturer during the three months ended March 31, 2025.</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with an original maturity at the date of purchase of three months or less to be cash equivalents.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Financial Accounting Standards Board (“FASB”)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Offering costs associated with warrants classified as liabilities are expensed as incurred and are presented as offering costs related to warrant liability in the statement of operations. Offering costs associated with the sale of warrants classified as equity are charged against proceeds received.</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follows ASC 820, “Fair Value Measurements” (“ASC 820”), which establishes a common definition of fair value to be applied when U.S. GAAP requires the use of fair value, establishes a framework for measuring fair value, and requires certain disclosure about such fair value measurements.</w:t>
      </w:r>
    </w:p>
    <w:p>
      <w:pPr>
        <w:spacing w:after="0" w:line="17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ASC 820 establishes a hierarchy for inputs used in measuring fair value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what market participants would use in pricing the asset or liability based on the best information available in the circumstances. The hierarchy is broken down into three levels based on the reliability of inputs as follows:</w:t>
      </w:r>
    </w:p>
    <w:p>
      <w:pPr>
        <w:spacing w:after="0" w:line="187" w:lineRule="exact"/>
        <w:rPr>
          <w:sz w:val="20"/>
          <w:szCs w:val="20"/>
          <w:color w:val="auto"/>
        </w:rPr>
      </w:pPr>
    </w:p>
    <w:p>
      <w:pPr>
        <w:ind w:left="1000" w:right="14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in active markets for identical assets or liabilities to which the Company has access at a measurement date.</w:t>
      </w:r>
    </w:p>
    <w:p>
      <w:pPr>
        <w:spacing w:after="0" w:line="161" w:lineRule="exact"/>
        <w:rPr>
          <w:rFonts w:ascii="Times New Roman" w:cs="Times New Roman" w:eastAsia="Times New Roman" w:hAnsi="Times New Roman"/>
          <w:sz w:val="18"/>
          <w:szCs w:val="18"/>
          <w:color w:val="auto"/>
        </w:rPr>
      </w:pPr>
    </w:p>
    <w:p>
      <w:pPr>
        <w:ind w:left="1000" w:hanging="317"/>
        <w:spacing w:after="0" w:line="261"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quoted prices that are observable for the asset or liability, either directly or indirectly; these include quoted prices for similar assets or liabilities in an active market, quoted prices for identical assets and liabilities in markets that are not active, or other inputs that are observable or can be corroborated by observable market data for substantially the full term of the assets or liabilities.</w:t>
      </w:r>
    </w:p>
    <w:p>
      <w:pPr>
        <w:spacing w:after="0" w:line="179" w:lineRule="exact"/>
        <w:rPr>
          <w:rFonts w:ascii="Times New Roman" w:cs="Times New Roman" w:eastAsia="Times New Roman" w:hAnsi="Times New Roman"/>
          <w:sz w:val="18"/>
          <w:szCs w:val="18"/>
          <w:color w:val="auto"/>
        </w:rPr>
      </w:pPr>
    </w:p>
    <w:p>
      <w:pPr>
        <w:ind w:left="1000" w:right="280" w:hanging="317"/>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for which little or no market data exists and for which the Company must develop its own assumptions regarding the assumptions that market participants would use in pricing the asset or liability, including assumptions regarding risk.</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Because of the uncertainties inherent in the valuation of assets or liabilities for which there are no observable inputs, those estimated fair values may differ significantly from the values that may have been used had a ready market for the assets or liabilities existed.</w:t>
      </w:r>
    </w:p>
    <w:p>
      <w:pPr>
        <w:spacing w:after="0" w:line="162"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The carrying amounts of the Company’s financial assets and liabilities, such as cash, cash equivalents, prepaid expenses and other current assets, accounts payable and accrued expenses, are an approximate of their fair values because of the short maturity of these instruments. The carrying amounts of the Company’s short-term debt and lease liabilities approximate fair value due to the market interest rates that these obligations bear and interest rates currently available to the Company. The Company’s derivative liabilities recognized at fair value on a recurring basis are a level 3 measurement (see Note 14 – Fair Value Measurement).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follows ASC 606, “Revenue from Contracts with Customers” (“Topic 606”). In accordance with Topic 606, the Company recognizes revenue using the following five-step approach:</w:t>
      </w:r>
    </w:p>
    <w:p>
      <w:pPr>
        <w:spacing w:after="0" w:line="162" w:lineRule="exact"/>
        <w:rPr>
          <w:sz w:val="20"/>
          <w:szCs w:val="20"/>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of the contract.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performance obligations are satisfied.</w:t>
      </w:r>
    </w:p>
    <w:p>
      <w:pPr>
        <w:spacing w:after="0" w:line="2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Company’s revenue consists of its single segment of wireless charging system solutions. The wireless charging system revenue consists of revenue from product development projects and production-level systems. During the three months ended March 31, 2026 and 2025, the Company recognized $3.1 million and $0.3 million in revenue, respectively (see Note 12 – Revenue Recognition for additional information on revenue disaggregation).</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 continued</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records a majority of its revenue based on the shipment of products that it sells. Generally, there is a five-day return policy on the Company’s shipment of products. Additionally, 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the point in time at which the performance obligation is met. The payment associated with achieving the performance obligation is generally commensurate with the Company’s effort or the value of the deliverable and is nonrefundable. Any deferred revenue is recognized upon achievement of the performance obligation or expiration of a support agreement. Payment terms for most customer invoices are a minimum of net 30 days. Product sales are usually subject to a warranty of a minimum of one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reflects the cost of shipping its products to customers as a cost of revenue. Reimbursements received from customers for freight costs are recognized as product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reviews its receivables for collectibility based on historical loss patterns, aging of the receivables, and assessments of specific identifiable client accounts considered at risk or uncollectible and provides allowances for potential credit losses, as needed. The Company also considers any changes to the financial condition of its clients and any other external market factors that could impact the collectibility of the receivables in the determination of the allowance for credit losses. Based on these assessments, the Company did not record an allowance for credit losses on its accounts receivable as of both March 31, 2026 and December 31,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Inventory is stated at the lower of cost, determined on a weighted average cost method, or net realizable value. Net realizable value is calculated at the end of each reporting period and adjustment, if needed, is made. At the point of loss recognition, a new lower cost basis for that inventory is established and subsequent changes in facts and circumstances do not result in the restoration or increase in the new cost basis.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are charged to operations as incurred. The Company incurred research and development costs of $1.0 million and $1.2 million for the three months ended March 31, 2026 and 2025,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accounts for equity instruments issued to employees, board members and contractors in accordance with accounting guidance that requires awards to be recorded at their fair value on the date of grant and amortized over the vesting period of the award. The Company amortizes compensation costs on a straight-line basis over the requisite service period of the award, which is typically the vesting term of the equity instrument issued. Forfeitures are recorded as they occur.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“Income Taxes” (“ASC 740”). Deferred tax assets and liabilities are recognized for the expected future tax consequences of temporary differences between consolidated financial statement carrying amounts and the tax basis of existing assets and liabilities and net operating loss and tax credit carryforwards. Deferred tax assets and liabilities are measured using the enacted tax rates expected to apply in the years in which those tax assets and liabilities are expected to be realized. The effect on deferred tax assets and liabilities of a change in tax rates is recognized in the period that includes the enactment date. A valuation allowance is established if it is more likely than not that all or a portion of the deferred tax asset will not be realized.</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The Company continues to assess the need for a valuation allowance on the deferred tax assets by evaluating both positive and negative evidence that may exist. Any adjustment to the valuation allowance on deferred tax assets would be recorded in the statements of operations for the period that the adjustment is determined to be required.</w:t>
      </w:r>
    </w:p>
    <w:p>
      <w:pPr>
        <w:spacing w:after="0" w:line="14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 tax position in accordance with ASC 740. 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The guidance from ASC 740 also discusses the classification of related interest and penalties on income taxes. The Company’s policy is to record interest and penalties on uncertain tax positions as a component of income tax expense.</w:t>
      </w:r>
    </w:p>
    <w:p>
      <w:pPr>
        <w:spacing w:after="0" w:line="1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Among other provisions, this act includes permanently extending and modifying certain expiring provisions of the 2017 Tax Cuts and Jobs Act and immediate expensing of domestic research and development expenses. The Company does not believe the impact of these provisions and the OBBBA to have a material impact on its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 average number of shares of common stock outstanding during the period. Diluted net loss per common share is computed using the weighted average number of common shares and, if dilutive, potential common shares outstanding during the period. Potential common shares consist of the incremental common shares issuable upon the exercise of warrants (using the treasury stock method) and the vesting of RSUs. The computation of diluted net loss per common share excludes potentially dilutive securities of 726,978 and 62,411 for the three months ended March 31, 2026 and 2025, respectively, because their inclusion would be antidilutive.</w:t>
      </w:r>
    </w:p>
    <w:p>
      <w:pPr>
        <w:spacing w:after="0" w:line="14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Potentially dilutive securities outlined in the table below have been excluded from the computation of diluted net loss per share because the effect of their inclusion would have been anti-dilutive.</w:t>
      </w:r>
    </w:p>
    <w:p>
      <w:pPr>
        <w:spacing w:after="0" w:line="12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48"/>
        </w:trPr>
        <w:tc>
          <w:tcPr>
            <w:tcW w:w="4240" w:type="dxa"/>
            <w:vAlign w:val="bottom"/>
            <w:vMerge w:val="restart"/>
          </w:tcPr>
          <w:p>
            <w:pPr>
              <w:ind w:left="4200"/>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gridSpan w:val="2"/>
          </w:tcPr>
          <w:p>
            <w:pPr>
              <w:jc w:val="right"/>
              <w:ind w:right="161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173"/>
        </w:trPr>
        <w:tc>
          <w:tcPr>
            <w:tcW w:w="4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7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80" w:type="dxa"/>
            <w:vAlign w:val="bottom"/>
            <w:gridSpan w:val="2"/>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 to investors</w:t>
            </w:r>
          </w:p>
        </w:tc>
        <w:tc>
          <w:tcPr>
            <w:tcW w:w="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677,428</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47,764</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14,647</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potentially dilutive securities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the table above includes 633,111 warrants expiring on September 10, 2030, which have an exercise price of $7.79 per share, and 44,317 warrants expiring on September 10, 2030, which have an exercise price of $9.90 per share. For the three months ended March 31, 2025, the table above includes 34,014 warrants expiring on February 20, 2029, which have an exercise price of $55.20 per share and 13,750 warrants expiring on March 28, 2029, which, as of March 31, 2025 had an exercise price of $9.00 per share.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and are depreciated using the straight-line method over the useful lives (in years) of the related asset. The Company currently uses the following expected life terms for depreciating property and equipment: computer software – 1-2 years, computer hardware – 3 years, furniture and fixtures – 7 years, leasehold improvements – shorter of estimated life or remaining life of the 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ROU assets and operating lease liabilities.</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ROU assets represent the right to use an underlying asset for the lease term, and lease liabilities represent the obligation to make lease payments arising from the lease. Operating lease ROU assets and liabilities are measured and recorded at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8 – Commitments and Contingencies, </w:t>
      </w:r>
      <w:r>
        <w:rPr>
          <w:rFonts w:ascii="Times New Roman" w:cs="Times New Roman" w:eastAsia="Times New Roman" w:hAnsi="Times New Roman"/>
          <w:sz w:val="18"/>
          <w:szCs w:val="18"/>
          <w:i w:val="1"/>
          <w:iCs w:val="1"/>
          <w:color w:val="auto"/>
        </w:rPr>
        <w:t>Operating Leases</w:t>
      </w:r>
      <w:r>
        <w:rPr>
          <w:rFonts w:ascii="Times New Roman" w:cs="Times New Roman" w:eastAsia="Times New Roman" w:hAnsi="Times New Roman"/>
          <w:sz w:val="18"/>
          <w:szCs w:val="18"/>
          <w:color w:val="auto"/>
        </w:rPr>
        <w:t xml:space="preserve"> for further discussion of the Company’s operating 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has one operating segment and one reportable segment as its chief operating decision maker (“CODM”), who is its Chief Executive Officer and Chief Financial Officer. The CODM reviews financial information on a regular basis for purposes of allocating resources and evaluating financial performance. The CODM also reviews and utilizes functional expenses, such as cost of revenue, research and development, sales and marketing and general and administrative, to manage the Company’s operations. All long-lived assets are located in the United States and substantially all revenue is attributed to customers based in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July 2025, the FASB issued Accounting Standards Update (“ASU”) 2025-05, “Measurement of Credit Losses for Accounts Receivable and Contract Assets,” which provides a practical expedient to measure credit losses on accounts receivable and contract assets. The ASU is effective for annual periods beginning after December 15, 2025, and interim periods within those annual reporting periods. Early adoption is permitted. The Company adopted this standard on January 1, 2026. The adoption of this standard did not have a material impact on the Company’s financial statements and related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This ASU requires the disaggregation of certain expenses in the notes to the financial statements, to provide enhanced transparency into the expense captions presented on the face of the income statement. This ASU is effective on a prospective basis for fiscal years beginning after December 15, 2026 and for interim periods beginning after December 15, 2027, with early adoption permitted. This ASU may be applied either prospectively or retrospectively. The Company is currently evaluating the impact of the new standard on the Company’s financial statements and related disclosures.</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 continued</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intends to improve the navigability of the guidance in ASC 270, “Interim Reporting” (“ASC 270”) and clarify when it applies. The amendments also provide additional guidance on what disclosures should be provided in interim reporting periods. The guidance is effective for fiscal years beginning after December 15, 2027, including interim periods within those fiscal years, and permits prospective or full retrospective adoption. Early adoption is permitted. The Company is evaluating the impact of this guidance on its financial statements and related disclosures.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which addresses suggestions received from stakeholders regarding the Accounting Standards Codification and makes other incremental improvements to U.S. GAAP. The update represents changes to the Codification that clarify, correct errors in or make other improvements to a variety of topics that are intended to make it easier to understand and apply. ASU 2025-12 is effective for fiscal years beginning after December 15, 2026 and interim periods within those fiscal years. Entities are required to apply the amendments to ASC 260, “Earnings Per Share” (“ASC 260”), retrospectively. All other amendments may be applied prospectively or retrospectively. Early adoption is permitted. The Company is evaluating the impact of this guidance on its financial statements and related disclosures.</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Management has reviewed other recently issued accounting pronouncements issued or proposed by the FASB and does not believe any of these accounting pronouncements have or will have a material impact on the condensed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Prepaid Expenses and Other Current Assets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Below is a summary of the Company’s prepaid expenses and other current assets as of March 31, 2026 and December 31, 2025 (in thousands):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26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March 31, 2026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 with contract manufacturer</w:t>
            </w:r>
          </w:p>
        </w:tc>
        <w:tc>
          <w:tcPr>
            <w:tcW w:w="1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Deposit for intellectual property renewals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subscriptions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deposits</w:t>
            </w:r>
          </w:p>
        </w:tc>
        <w:tc>
          <w:tcPr>
            <w:tcW w:w="1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addition to the prepaid expenses and other current assets disclosed above, the Company had $0.3 million in other assets relating to deposits for intellectual property renewals as of both March 31, 2026 and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Company’s inventory as of March 31, 2026 and December 31, 2025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Pr>
          <w:p>
            <w:pPr>
              <w:ind w:left="72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680" w:type="dxa"/>
            <w:vAlign w:val="bottom"/>
            <w:tcBorders>
              <w:bottom w:val="single" w:sz="8" w:color="auto"/>
            </w:tcBorders>
          </w:tcPr>
          <w:p>
            <w:pPr>
              <w:spacing w:after="0"/>
              <w:rPr>
                <w:sz w:val="15"/>
                <w:szCs w:val="15"/>
                <w:color w:val="auto"/>
              </w:rPr>
            </w:pPr>
          </w:p>
        </w:tc>
      </w:tr>
      <w:tr>
        <w:trPr>
          <w:trHeight w:val="142"/>
        </w:trPr>
        <w:tc>
          <w:tcPr>
            <w:tcW w:w="7340" w:type="dxa"/>
            <w:vAlign w:val="bottom"/>
          </w:tcPr>
          <w:p>
            <w:pPr>
              <w:ind w:left="72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248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   ​​​December 31, 2025</w:t>
            </w: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w:t>
            </w:r>
          </w:p>
        </w:tc>
      </w:tr>
      <w:tr>
        <w:trPr>
          <w:trHeight w:val="20"/>
        </w:trPr>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Company property and equipment as of March 31, 2026 and December 31, 2025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48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2"/>
                <w:szCs w:val="12"/>
                <w:color w:val="auto"/>
              </w:rPr>
            </w:pPr>
          </w:p>
        </w:tc>
        <w:tc>
          <w:tcPr>
            <w:tcW w:w="1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Pr>
          <w:p>
            <w:pPr>
              <w:spacing w:after="0"/>
              <w:rPr>
                <w:sz w:val="12"/>
                <w:szCs w:val="12"/>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2500" w:type="dxa"/>
            <w:vAlign w:val="bottom"/>
            <w:tcBorders>
              <w:top w:val="single" w:sz="8" w:color="CCEEFF"/>
            </w:tcBorders>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18"/>
                <w:szCs w:val="18"/>
                <w:color w:val="auto"/>
              </w:rPr>
            </w:pPr>
          </w:p>
        </w:tc>
      </w:tr>
      <w:tr>
        <w:trPr>
          <w:trHeight w:val="216"/>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18"/>
                <w:szCs w:val="18"/>
                <w:color w:val="auto"/>
              </w:rPr>
            </w:pPr>
          </w:p>
        </w:tc>
      </w:tr>
      <w:tr>
        <w:trPr>
          <w:trHeight w:val="209"/>
        </w:trPr>
        <w:tc>
          <w:tcPr>
            <w:tcW w:w="48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2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0" w:type="dxa"/>
            <w:vAlign w:val="bottom"/>
          </w:tcPr>
          <w:p>
            <w:pPr>
              <w:spacing w:after="0"/>
              <w:rPr>
                <w:sz w:val="18"/>
                <w:szCs w:val="18"/>
                <w:color w:val="auto"/>
              </w:rPr>
            </w:pPr>
          </w:p>
        </w:tc>
      </w:tr>
      <w:tr>
        <w:trPr>
          <w:trHeight w:val="210"/>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5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did not have any disposals of property and equipment during the three months ended March 31, 2026 and March 31, 2025. Total depreciation and amortization expense of the Company’s property and equipment was approximately $34,000 and $45,000 for the three months ended March 31, 2026 and 2025, respectively, of which, an immaterial amount was included in cost of revenue for the three months ended March 31, 2026 and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Company’s accrued expenses as of March 31, 2026 and December 31, 2025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080" w:type="dxa"/>
            <w:vAlign w:val="bottom"/>
          </w:tcPr>
          <w:p>
            <w:pPr>
              <w:ind w:left="4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760" w:type="dxa"/>
            <w:vAlign w:val="bottom"/>
            <w:tcBorders>
              <w:bottom w:val="single" w:sz="8" w:color="auto"/>
            </w:tcBorders>
          </w:tcPr>
          <w:p>
            <w:pPr>
              <w:spacing w:after="0"/>
              <w:rPr>
                <w:sz w:val="15"/>
                <w:szCs w:val="15"/>
                <w:color w:val="auto"/>
              </w:rPr>
            </w:pPr>
          </w:p>
        </w:tc>
      </w:tr>
      <w:tr>
        <w:trPr>
          <w:trHeight w:val="142"/>
        </w:trPr>
        <w:tc>
          <w:tcPr>
            <w:tcW w:w="5080" w:type="dxa"/>
            <w:vAlign w:val="bottom"/>
          </w:tcPr>
          <w:p>
            <w:pPr>
              <w:ind w:left="49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8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560" w:type="dxa"/>
            <w:vAlign w:val="bottom"/>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December 31, 2025</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Accrued purchased inventory received</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stock registration expense</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 received</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expenses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0"/>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San Jose 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office space for its corporate headquarters in San Jose, California under an operating lease.</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March 19, 2025, the Company entered into an amendment to the lease, which relocated the Company to a smaller suite within the same building and extended the lease term through December 31, 2027. The Company agreed to issue 2,500 shares of its common stock to the landlord upon signing the amendment as partial consideration for the amended lease and agreed to new monthly payments beginning October 2025 of approximately $37,000, escalating to approximately $46,000 during 2026 and $51,000 during 2027. As a result of the new lease amendment signed on March 19, 2025, the ROU asset and operating lease liability were both increased by approximately $0.9 million. The Company recorded lease expense of $0.1 million and $0.2 million for the three months ended March 31, 2026 and 2025,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Lease Commitments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follows ASC 842, “Leases” (“Topic 842”) and recognizes the required ROU assets and operating lease liabilities on its balance sheets. The Company anticipates having future total lease payments of $1.0 million through the fourth quarter of 2027. As of March 31, 2026, the Company has total operating lease right-of-use assets of $0.8 million, current operating lease liabilities of $0.5 million and long-term operating lease liabilities of $0.4 million. The weighted average remaining lease term is 1.75 years as of March 31, 2026.</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undiscounted cash flows to lease liabilities recognized as of March 31, 2026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52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8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(nine months remaining)</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8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09"/>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16"/>
        </w:trPr>
        <w:tc>
          <w:tcPr>
            <w:tcW w:w="8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Present value discount (8.0% weighted average)</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9"/>
        </w:trPr>
        <w:tc>
          <w:tcPr>
            <w:tcW w:w="8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0"/>
        </w:trPr>
        <w:tc>
          <w:tcPr>
            <w:tcW w:w="8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Litigations, Claims and Assessments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Bonus Plans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January 12, 2026, the Board, on the recommendation of the Compensation Committee, approved the 2026 Corporate Bonus Plan (the “2026 Bonus Plan”), whereby employees’ bonuses will be based upon achievement of performance objectives set by the Compensation Committee and paid annually. Employees must be continuously employed throughout the applicable performance period and payment date and achieve the performance objectives.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the 2026 Bonus Plan, the Compensation Committee is responsible for selecting the amounts of potential bonuses for executive officers and vice presidents and defining the annual performance metrics against which the bonus compensation will be measured. The level of achievement against pre-defined performance metrics is used to determine whether any such bonuses will be paid and whether those performance metrics have been satisfactorily achieved. The Company accrued $0.2 million in bonus expense under the 2026 Bonus Plan during the three months ended March 31, 2026, which the Company plans to pay during the first quarter of 2027.</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February 21, 2025, the Board, on the recommendation of the Compensation Committee, approved the 2025 Corporate Bonus Plan (the “2025 Bonus Plan”), whereby employees’ bonuses will be based upon achievement of performance objectives set by the Compensation Committee and paid annually. Employees must be continuously employed throughout the applicable performance period and payment date and achieve the performance objectives.</w:t>
      </w:r>
    </w:p>
    <w:p>
      <w:pPr>
        <w:spacing w:after="0" w:line="18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Under the 2025 Bonus Plan, the Compensation Committee is responsible for selecting the amounts of potential bonuses for executive officers and vice presidents and defining the annual performance metrics against which the bonus compensation will be measured. The level of achievement against pre-defined performance metrics is used to determine whether any such bonuses will be paid and whether those performance metrics have been satisfactorily achieved. The Company did not accrue any bonus expense under the 2025 Bonus Plan during the three months ended March 31, 2025. Based upon achievement of the performance objectives, as approved by the Compensation Committee, payments due under the 2025 Bonus Plan were paid in February of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Short-term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for Insurance Premiums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April 29, 2025, the Company financed approximately $0.3 million in business insurance premiums to be repaid in nine installments of approximately $35,000 with a borrowing rate of 6.99% per year. On October 15, 2025, the Company financed approximately $0.1 million in cyber liability and additional insurance premiums to be repaid in 11 installments of approximately $6,000 with a borrowing rate of 6.09% per year. As of March 31, 2026, the Company had an outstanding balance of approximately $35,000 on the financing for its insurance premiums with a weighted average borrowing rate of 6.09% per year.</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Capital Stock and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holders of the Company’s common stock are entitled to one vote per share. Holders of common stock are entitled to receive ratably such dividends, if any, as may be declared by the Board out of legally available funds. Upon the liquidation, dissolution or winding up of the Company, holders of common stock are entitled to share ratably in all assets of the Company that are legally available for distribution.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2023 Offering</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28, 2023, the Company completed an underwritten offering pursuant to which it issued and sold an aggregate of (i) 13,750 shares of its common stock and (ii) warrants to purchase up to 13,750 shares of its common stock (the “2023 Warrants”), for net proceeds of $2.7 million, after deducting underwriting discounts, commission and expenses payable by the Company. The 2023 Warrants were immediately exercisable upon issuance and had a term of six years and an initial exercise price of $240.00.</w:t>
      </w:r>
    </w:p>
    <w:p>
      <w:pPr>
        <w:spacing w:after="0" w:line="153"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The Company allocated the proceeds received first to the 2023 Warrants based on the fair value of the 2023 Warrants as determined at initial measurement, with the remaining proceeds allocated to the shares of common stock (see Note 14 – Warrant Liability and Note 15</w:t>
      </w:r>
    </w:p>
    <w:p>
      <w:pPr>
        <w:spacing w:after="0" w:line="1"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 Fair Value Measurements). Pursuant to the terms of the 2023 Warrants, the exercise price was adjusted to $49.80 and $9.00 during 2023 and 2024, respectively, and was further adjusted to $8.40 as of June 30, 2025. As of December 31, 2025, the 2023 Warrants had been fully exercised.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At-the-Market Offering Program</w:t>
      </w:r>
    </w:p>
    <w:p>
      <w:pPr>
        <w:spacing w:after="0" w:line="18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June 21, 2024, the Company filed a prospectus supplement covering the offering, issuance and sale of up to $3.4 million in shares of the Company’s common stock pursuant to an At the Market Offering Agreement, dated June 21, 2024, between the Company and H.C. Wainwright &amp; Co., LLC (the “ATM Program”).</w:t>
      </w:r>
    </w:p>
    <w:p>
      <w:pPr>
        <w:spacing w:after="0" w:line="14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December 30, 2024, the Company filed a prospectus supplement for the issuance and sale of an additional $7.46 million in shares of common stock under the ATM Program. During January 2025, the Company sold 209,348 shares of its common stock under the ATM Program for net proceeds of approximately $7.0 million (net of commissions and other related offering expenses of approximately $0.4 million).</w:t>
      </w:r>
    </w:p>
    <w:p>
      <w:pPr>
        <w:spacing w:after="0" w:line="139"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On January 6, 2025, the Company filed a prospectus supplement for the issuance and sale of an additional $6.6 million in shares of common stock under the ATM Program. During January and February 2025, the Company sold 343,465 shares of its common stock under the ATM Program for net proceeds of approximately $6.3 million (net of commissions and other related offering expenses of approximately $0.3 million).</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February 13, 2025, the Company filed a prospectus supplement for the issuance and sale of an additional $80.0 million in shares of common stock under the ATM Program. On September 10, 2025, the ATM Program was reduced to up to $70.0 million in shares of common stock. During the three months ended March 31, 2026, the Company sold 3,299,728 shares of its common stock for net proceeds of $31.9 million (net of commissions and other related offering expenses of $1.0 million). As of March 31, 2026, approximately $31.7 million in shares of common stock remained available for issuance under the ATM Program, subject to availability of authorized shares.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Capital Stock and Warrants,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2025 Offering</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September 10, 2025, the Company entered into a securities purchase agreement (the “Purchase Agreement”) with an institutional investor (the “Investor”), providing for the issuance and sale by the Company, in a registered direct offering (the “2025 Offering”), of (i) 120,000 shares of the Company’s common stock, (ii) pre-funded warrants to purchase up to 465,347 shares of common stock (the “2025 Pre-Funded Warrants”), and (iii) warrants to purchase up to an aggregate of 585,347 shares of common stock (the “2025 Warrants”). Each share of common stock and 2025 Pre-Funded Warrant was offered and sold together with an accompanying 2025 Warrant at a combined price of $7.92 per share of common stock or 2025 Pre-Funded Warrant and accompanying 2025 Warrant, as applicable. Each 2025 Pre-Funded Warrant and 2025 Warrant is exercisable at any time on or after the date of issuance to purchase one share of common stock at a price of either $0.00001 per share, in the case of the 2025 Pre-Funded Warrants, or $7.79 per share, in the case of the 2025 Warrants. The 2025 Pre-Funded Warrants expire when they are exercised in full and the 2025 Warrants expire five years from the date of issuance. As of March 31, 2026, no 2025 Pre-Funded Warrants and 585,347 2025 Warrants were outstanding.</w:t>
      </w:r>
    </w:p>
    <w:p>
      <w:pPr>
        <w:spacing w:after="0" w:line="19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2025 Offering closed on September 11, 2025. The Company received net proceeds of approximately $4.0 million from the 2025 Offering, after deducting placement agent fees and estimated offering expenses payable by the Company.</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Engagement Letter, dated as of July 9, 2024, as amended to date (the “Original Engagement Letter”), between the Company and H.C. Wainwright &amp; Co., LLC (“Wainwright”), and the Engagement Letter Joinder Agreement, dated as of September 10, 2025 (the “Joinder Agreement” and, together with the Original Engagement Letter, the “Engagement Letter”), by and among the Company, Wainwright and Rodman &amp; Renshaw LLC (“Rodman &amp; Renshaw” and, together with Wainwright, the “Placement Agents”), the Company, in connection with the closing of the 2025 Offering, agreed to issue to the Placement Agents or their respective designees warrants (the “Registered Direct Offering Placement Agent Warrants”) to purchase up to an aggregate of 40,974 shares of common stock. The Registered Direct Offering Placement Agent Warrants have substantially the same terms as the 2025 Warrants, except the Registered Direct Offering Placement Agent Warrants are exercisable at any time on or after the date of issuance to purchase one share of common stock at a price of $9.90 per share and the Registered Direct Offering Placement Agent Warrants expire on September 10, 2030. As of March 31, 2026, the Registered Direct Offering Placement Agent Warrants were still outstanding.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 Inducement Offering</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September 10, 2025, in connection with the 2025 Offering, the Company entered into a letter agreement (the “Letter Agreement”) with the Investor for the immediate exercise of the outstanding 2023 Warrants and 2024 Warrants (the “Original Warrants”) to purchase an aggregate of 47,764 shares of common stock and having exercise prices of $6.7595 and $55.20 per share, respectively (the “Concurrent Warrant Exercise Transaction”). The 2023 Warrants were exercised at the exercise price of $6.8845 and the 2024 Warrants were exercised at a reduced exercise price of $7.92 per share for aggregate gross proceeds to the Company of approximately $0.4 million.</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consideration for the exercise of the 2023 Warrants and 2024 Warrants for cash, the Company issued new unregistered warrants (the “New Warrants”) to purchase up to an aggregate of 47,764 shares of common stock at a fixed exercise price of $7.79 per share (the “New Warrant Shares”). The New Warrants are exercisable immediately upon issuance and will expire five years following the initial issuance date. The New Warrants are classified as equity warrants. Except as described herein, the New Warrants are substantially similar to the Original Warrants. The closing of the Concurrent Warrant Exercise Transaction occurred on September 11, 2025. As of March 31, 2026, the New Warrant Shares are still outstanding.</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Also pursuant to the Engagement Letter, the Company, in connection with the closing of the Concurrent Warrant Exercise Transaction, agreed to issue to the Placement Agents or their respective designees warrants (the “Concurrent Warrant Exercise Transaction Placement Agent Warrants”) to purchase up to an aggregate of 3,343 shares of common stock. The Concurrent Warrant Exercise Transaction Placement Agent Warrants have substantially the same terms as the New Warrants, except the Concurrent Warrant Exercise Transaction Placement Agent Warrants are immediately exercisable to purchase one share of common stock at a price of $9.90 per share and the Concurrent Warrant Exercise Transaction Placement Agent Warrants expire on September 10, 2030. As of March 31, 2026, the Concurrent Warrant Exercise Transaction Placement Agent Warrants were still outstanding.</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Capital Stock and Warrants, continued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 Offering</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October 11, 2024, the Company filed a Regulation A Offering Statement on Form 1-A with an offering of a maximum of 166,667 Units (the “Regulation A Offering”), with each Unit consisting of one share of Series A Convertible Preferred Stock (initially convertible into two shares of common stock) and three common stock purchase warrants, two to each purchase one share of common stock at an exercise price of $45.00 per share and one to purchase one share of common stock at $60.00 per share, for an aggregate of 166,667 shares of Series A Convertible Preferred Stock (and 333,333 shares of common stock underlying the shares of Series A Convertible Preferred Stock) and warrants to purchase up to an aggregate of 333,333 shares of common stock at an exercise price of $45.00 per share and 166,667 shares of common stock at an exercise price of $60.00 per share, at an offering price of $45.00 per Unit, for a maximum offering amount of $7,500,000. The Regulation A Offering was qualified by the SEC on November 22, 2024.</w:t>
      </w:r>
    </w:p>
    <w:p>
      <w:pPr>
        <w:spacing w:after="0" w:line="192"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On March 11, 2025, the Company withdrew the Regulation A Offering. No sales of Units were made pursuant to the Regulation A Offering. The Company’s prepaid expenses and other current assets as of December 31, 2024 included approximately $0.3 million in prepaid financing expenses related to the Regulation A Offering. An additional $0.4 million in expenses related to the Regulation A Offering was recorded during the three months ended March 31, 2025. Upon termination of the Regulation A Offering, the Company recorded a one-time total write-off of $0.7 million as expenses related to an abandoned financing transaction during the three months ended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Outstanding</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outstanding shares of common stock may occasionally include shares that are deemed delivered under U.S. GAAP. Shares that are deemed delivered currently include shares that have vested, but have not yet been delivered, under tax-deferred equity awards. There are no voting rights for shares that are deemed delivered under U.S. GAAP until the actual delivery of shares takes place. There are currently 200,000,000 shares of common stock authorized for issuance. As of March 31, 2026, there were 5,501,099 shares of the Company’s common stock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reserved the following shares of common stock for future issuance: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Pr>
          <w:p>
            <w:pPr>
              <w:ind w:left="720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March 31, 2025</w:t>
            </w: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outstanding</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49,550</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677,428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47,764</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issuance under the 2024 Equity Incentive Plan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w:t>
            </w: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765,464</w:t>
            </w:r>
          </w:p>
        </w:tc>
        <w:tc>
          <w:tcPr>
            <w:tcW w:w="2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73,080</w:t>
            </w:r>
          </w:p>
        </w:tc>
      </w:tr>
      <w:tr>
        <w:trPr>
          <w:trHeight w:val="20"/>
        </w:trPr>
        <w:tc>
          <w:tcPr>
            <w:tcW w:w="7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2017 Equity Inducement Plan</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December 28, 2017, the Board approved the 2017 Equity Inducement Plan. Under the 2017 Equity Inducement Plan, the Board reserved 1,000 shares for the grant of RSUs. These grants will be administered by the Board or a committee of the Board. Under the 2017 Equity Inducement Plan, awards could be granted to individuals who (a) were being hired as an employee by the Company or any subsidiary and such award is a material inducement to such person being hired; (b) were being rehired as an employee following a bona fide period of interruption of employment with the Company or any subsidiary; or (c) would become an employee of the Company or any subsidiary in connection with a merger or acquisition.</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 continued</w:t>
      </w:r>
    </w:p>
    <w:p>
      <w:pPr>
        <w:spacing w:after="0" w:line="22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On July 20, 2022, the Board increased the number of shares of common stock reserved and available for issuance under the 2017 Equity Inducement Plan by 3,333 shares. On March 28, 2024, the Board increased the number of shares of common stock reserved and available for issuance under the 2017 Equity Inducement Plan by 4,050 shares. As of March 31, 2026, there are 841 RSUs granted and outstanding under the 2017 Equity Inducement Plan. No new equity award grants are to be issued from the 2017 Equity Inducement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Equity Incentive Plan</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June 12, 2024, the Energous Corporation 2024 Equity Incentive Plan (the “2024 Equity Incentive Plan”) was approved by stockholders for the issuance of equity incentive awards to eligible participants, which replaced the following equity plans of the Company: (i) the 2013 Equity Incentive Plan, (ii) 2014 Non-Employee Equity Compensation Plan, (iii) the Performance Share Unit Plan and (iv) the 2017 Equity Inducement Plan (collectively, the “Prior Equity Plans”). All existing outstanding awards remain outstanding under the Prior Equity Plans, and an additional 15,200 shares of common stock were approved for issuance under the 2024 Equity Incentive Plan. On June 11, 2025, the Company’s stockholders approved an increase of the available share reserve under the 2024 Equity Incentive Plan by 66,667 shares.</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March 31, 2026, there are 48,709 RSUs granted and outstanding under the 2024 Equity Incentive Plan. As of March 31, 2026, 38,486 shares of common stock remain available for issuance under the 2024 Equity Incentive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Compensation Committee granted directors an aggregate of 7,290 RSUs for service on the Board, of which 250 RSUs are subject to approval at the next annual meeting of stockholders. These RSU awards vest on the one-year anniversary of the grant date.</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Board granted employees an aggregate of 32,400 RSUs, of which 23,500 RSUs are subject to approval at the next annual meeting of stockholders. These RSU awards vest over four years.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March 31, 2026, the unamortized fair value of outstanding RSUs was $0.4 million. The unamortized amount will be expensed over a weighted average period of 2.7 years. A summary of the activity related to RSUs for the three months ended March 31, 2026 is presented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ind w:left="708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spacing w:after="0"/>
              <w:rPr>
                <w:sz w:val="13"/>
                <w:szCs w:val="13"/>
                <w:color w:val="auto"/>
              </w:rPr>
            </w:pP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112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72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forfeited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RSUs vested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10"/>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49,550</w:t>
            </w:r>
          </w:p>
        </w:tc>
        <w:tc>
          <w:tcPr>
            <w:tcW w:w="5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of stock-based compensation was reflected within the statements of operations as (in thousands):</w:t>
      </w:r>
    </w:p>
    <w:p>
      <w:pPr>
        <w:spacing w:after="0" w:line="23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360" w:type="dxa"/>
            <w:vAlign w:val="bottom"/>
            <w:gridSpan w:val="2"/>
          </w:tcPr>
          <w:p>
            <w:pPr>
              <w:ind w:left="72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3"/>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6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gridSpan w:val="2"/>
          </w:tcPr>
          <w:p>
            <w:pPr>
              <w:spacing w:after="0"/>
              <w:rPr>
                <w:sz w:val="18"/>
                <w:szCs w:val="18"/>
                <w:color w:val="auto"/>
              </w:rPr>
            </w:pPr>
          </w:p>
        </w:tc>
        <w:tc>
          <w:tcPr>
            <w:tcW w:w="2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7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27"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Revenue Recognition</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tables depict the disaggregation of revenue by product or service and geographic region of the customers for the three months ended March 31, 2026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20" w:type="dxa"/>
            <w:vAlign w:val="bottom"/>
          </w:tcPr>
          <w:p>
            <w:pPr>
              <w:spacing w:after="0"/>
              <w:rPr>
                <w:sz w:val="15"/>
                <w:szCs w:val="15"/>
                <w:color w:val="auto"/>
              </w:rPr>
            </w:pPr>
          </w:p>
        </w:tc>
        <w:tc>
          <w:tcPr>
            <w:tcW w:w="2800" w:type="dxa"/>
            <w:vAlign w:val="bottom"/>
            <w:gridSpan w:val="7"/>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  For the three months ended March 31,</w:t>
            </w:r>
          </w:p>
        </w:tc>
        <w:tc>
          <w:tcPr>
            <w:tcW w:w="0" w:type="dxa"/>
            <w:vAlign w:val="bottom"/>
          </w:tcPr>
          <w:p>
            <w:pPr>
              <w:spacing w:after="0"/>
              <w:rPr>
                <w:sz w:val="1"/>
                <w:szCs w:val="1"/>
                <w:color w:val="auto"/>
              </w:rPr>
            </w:pPr>
          </w:p>
        </w:tc>
      </w:tr>
      <w:tr>
        <w:trPr>
          <w:trHeight w:val="142"/>
        </w:trPr>
        <w:tc>
          <w:tcPr>
            <w:tcW w:w="7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 by product/service</w:t>
            </w:r>
          </w:p>
        </w:tc>
        <w:tc>
          <w:tcPr>
            <w:tcW w:w="2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tcBorders>
            <w:gridSpan w:val="3"/>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7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PowerBridge sales and shipping</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7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by geographic region</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71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gridSpan w:val="3"/>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220" w:type="dxa"/>
            <w:vAlign w:val="bottom"/>
            <w:gridSpan w:val="2"/>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revenue recognized during the three months ended March 31, 2026 and 2025 was recognized at a point in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balance sheet line items that reflect accounts receivable and contract liabilities as of March 31, 2026, December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were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gridSpan w:val="3"/>
          </w:tcPr>
          <w:p>
            <w:pPr>
              <w:ind w:left="60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Balances as of</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42"/>
        </w:trPr>
        <w:tc>
          <w:tcPr>
            <w:tcW w:w="6060" w:type="dxa"/>
            <w:vAlign w:val="bottom"/>
          </w:tcPr>
          <w:p>
            <w:pPr>
              <w:ind w:left="59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0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40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December 31, 2025</w:t>
            </w:r>
          </w:p>
        </w:tc>
        <w:tc>
          <w:tcPr>
            <w:tcW w:w="140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December 31, 2024</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7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3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expects to satisfy its obligations under deferred revenue and collect all net trade receivables within one year of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Warrant Liability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Warrants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March 2023, the Company issued warrants to purchase up to 13,750 shares of its common stock. The 2023 Warrants had a six-year term and were exercisable upon issuance on March 28, 2023. Each 2023 Warrant was initially exercisable for one share of the Company’s common stock at a price of $240.00 per share. As of September 11, 2025, the exercise price was adjusted to $8.40 per share (subject to further adjustment in certain circumstances, including in the event of stock dividends and splits; recapitalizations; change of control transactions; and issuances or sales of, or agreements to issue or sell, shares of common stock or common stock equivalents at a price per share less than the then-applicable exercise price of the 2023 Warrants, including sales under the ATM Program, the “Exercise Price”).</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the event of certain transactions such as a merger, consolidation, tender offer, reorganization, or other change in control, if holders of common stock are given any choice as to the consideration to be received, the holder of each 2023 Warrant shall be given the same choice of alternate consideration. In the event of certain transactions that are not within the Company’s control, such as a merger, consolidation, tender offer, reorganization, or other change in control of the Company, each holder of a 2023 Warrant shall be entitled to receive the same form of consideration at the Black Scholes value of the unexercised portion of the 2023 Warrant that is being offered and paid to holders of common stock, including the option to exercise the 2023 Warrants on a “cashless basis.”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Warrant Liability, continued</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the Company issues additional shares of common stock or equity-linked securities for a consideration per share less than the Exercise Price, then such Exercise Price will be reduced to a new lower price pursuant to the terms of the 2023 Warrants. Additionally, if the Exercise Price of any outstanding derivative securities is modified by the Company such that such security’s modified exercise price is below the Exercise Price, the Exercise Price will adjust downward pursuant to the terms of the 2023 Warrant. This provision would not apply for stock or stock equivalents which fall under shares that qualify for exempt issuance, such as if the Company adjusted the option exercise price for an option granted to an employee, officer, or director.</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accounted for the 2023 Warrants in accordance with the derivative guidance contained in ASC 815-40, as the warrants did not meet the criteria for equity treatment. The Company believes that the adjustments to the Exercise Price is based on a variable that is not an input to the fair value of a “fixed-for-fixed” option as defined under ASC 815-40, and thus the 2023 Warrants are not eligible for an exception from derivative accounting. As such, the 2023 Warrants were initially measured at fair value and recorded as a liability in the amount of $3.1 million. The Company recorded a change in fair value of the warrant liability of a decrease of $0.3 million for the three months ended March 31, 2025. There was no change in fair value of the warrant liability during the three months ended March 31, 2026. As of March 31, 2026 and December 31, 2025, the 2023 Warrants had been fully exercised in the Concurrent Warrant Exercise Transaction, eliminating the recorded warrant liability. See Note 14 - Fair Value Measurements for details on changes of fair value of the warrant liability.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Fair Value Measurements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as of March 31, 2026 and December 31, 2025 and indicate the fair value hierarchy of the valuation inputs utilized to determine such fair value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2140" w:type="dxa"/>
            <w:vAlign w:val="bottom"/>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2"/>
                <w:szCs w:val="12"/>
                <w:color w:val="auto"/>
              </w:rPr>
            </w:pPr>
          </w:p>
        </w:tc>
        <w:tc>
          <w:tcPr>
            <w:tcW w:w="3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2"/>
                <w:szCs w:val="12"/>
                <w:color w:val="auto"/>
              </w:rPr>
            </w:pPr>
          </w:p>
        </w:tc>
        <w:tc>
          <w:tcPr>
            <w:tcW w:w="3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2"/>
                <w:szCs w:val="12"/>
                <w:color w:val="auto"/>
              </w:rPr>
            </w:pPr>
          </w:p>
        </w:tc>
        <w:tc>
          <w:tcPr>
            <w:tcW w:w="4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3260" w:type="dxa"/>
            <w:vAlign w:val="bottom"/>
          </w:tcPr>
          <w:p>
            <w:pPr>
              <w:spacing w:after="0"/>
              <w:rPr>
                <w:sz w:val="24"/>
                <w:szCs w:val="24"/>
                <w:color w:val="auto"/>
              </w:rPr>
            </w:pPr>
          </w:p>
        </w:tc>
        <w:tc>
          <w:tcPr>
            <w:tcW w:w="2320" w:type="dxa"/>
            <w:vAlign w:val="bottom"/>
            <w:gridSpan w:val="3"/>
          </w:tcPr>
          <w:p>
            <w:pPr>
              <w:ind w:left="20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2160" w:type="dxa"/>
            <w:vAlign w:val="bottom"/>
            <w:gridSpan w:val="2"/>
          </w:tcPr>
          <w:p>
            <w:pPr>
              <w:ind w:left="20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among Level 1, Level 2, or Level 3 categories during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Warrants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utilized a Monte Carlo simulation model for the 2023 Warrants at each reporting period, with changes in fair value recognized in the statements of operations. The estimated fair value of the 2023 Warrant liability was determined using Level 3 inputs. Inherent in a Monte Carlo simulation model are assumptions related to expected share-price volatility, expected life, risk-free interest rate, and dividend yield.</w:t>
      </w:r>
    </w:p>
    <w:p>
      <w:pPr>
        <w:spacing w:after="0" w:line="39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Fair Value Measurements,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2023 Warrants are as follows: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780" w:type="dxa"/>
            <w:vAlign w:val="bottom"/>
            <w:tcBorders>
              <w:bottom w:val="single" w:sz="8" w:color="CCEEFF"/>
            </w:tcBorders>
          </w:tcPr>
          <w:p>
            <w:pPr>
              <w:ind w:left="56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6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6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6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6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3.9 %</w:t>
            </w: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0 %</w:t>
            </w:r>
          </w:p>
        </w:tc>
      </w:tr>
    </w:tbl>
    <w:p>
      <w:pPr>
        <w:spacing w:after="0" w:line="17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change in the fair value of the 2023 Warrant liability was a decrease of $0.3 million during the three months ended March 31, 2025 (see Note 13 – Warrant Liability). On September 10, 2025, the 2023 Warrants were fully exercised in the Concurrent Warrant Exercise Transaction, eliminating the recorded warrant liability.</w:t>
      </w:r>
    </w:p>
    <w:p>
      <w:pPr>
        <w:spacing w:after="0" w:line="10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3940" w:type="dxa"/>
            <w:vAlign w:val="bottom"/>
            <w:gridSpan w:val="8"/>
          </w:tcPr>
          <w:p>
            <w:pPr>
              <w:ind w:left="14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0"/>
        </w:trPr>
        <w:tc>
          <w:tcPr>
            <w:tcW w:w="4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142"/>
        </w:trPr>
        <w:tc>
          <w:tcPr>
            <w:tcW w:w="4000" w:type="dxa"/>
            <w:vAlign w:val="bottom"/>
          </w:tcPr>
          <w:p>
            <w:pPr>
              <w:spacing w:after="0"/>
              <w:rPr>
                <w:sz w:val="12"/>
                <w:szCs w:val="12"/>
                <w:color w:val="auto"/>
              </w:rPr>
            </w:pPr>
          </w:p>
        </w:tc>
        <w:tc>
          <w:tcPr>
            <w:tcW w:w="1760" w:type="dxa"/>
            <w:vAlign w:val="bottom"/>
            <w:gridSpan w:val="3"/>
          </w:tcPr>
          <w:p>
            <w:pPr>
              <w:ind w:left="14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2"/>
                <w:szCs w:val="12"/>
                <w:color w:val="auto"/>
              </w:rPr>
            </w:pPr>
          </w:p>
        </w:tc>
        <w:tc>
          <w:tcPr>
            <w:tcW w:w="44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value</w:t>
            </w:r>
          </w:p>
        </w:tc>
        <w:tc>
          <w:tcPr>
            <w:tcW w:w="1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value of warrant liability</w:t>
            </w:r>
          </w:p>
        </w:tc>
        <w:tc>
          <w:tcPr>
            <w:tcW w:w="15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09"/>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value</w:t>
            </w:r>
          </w:p>
        </w:tc>
        <w:tc>
          <w:tcPr>
            <w:tcW w:w="15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4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Employee Benefit Plan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administers a 401(K) retirement plan (the “401(K) Plan”) in which all employees are eligible to participate. Each eligible employee may elect to contribute to the 401(K) Plan. During the three months ended March 31, 2026 and 2025, the Company made matching contributions of $24,000 and $51,000,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April 6, 2026, the Company financed approximately $0.4 million in business insurance premiums to be repaid in 11 installments of approximately $33,000 with a borrowing rate of 6.15%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As used in this Quarterly Report on Form 10-Q (this “Report”), unless the context otherwise requires the terms “we,” “us,” “our,” and “Energous” refer to Energous Corporation d/b/a Energous Wireless Power Solutions, a Delaware corporation. This Report contains forward-looking statements within the meaning of Section 27A of the Securities Act of 1933, as amended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“would,” “should,” “could,” “seek,” “intend,” “plan,” “continue,”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expectations with respect to future financings; expectations for revenues, liquidity, cash flows and financial performance; and expectations regarding the release of additional wireless power-enabled products.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 Important factors that could cause our actual results and financial condition to differ materially from those indicated in the forward-looking statements include, among others: our ability to develop commercially feasible technology or commercialize such technology; timing of customer implementations of our technology in consumer products; timing and receipt of regulatory approvals in the United States and internationally; our ability to find and maintain contract manufacturing partners; market acceptance of our technology; competition in our industry; our ability to protect our intellectual property; our ability to maintain or improve our financial position, cash flows, and liquidity and our expected financial needs; and other risks and uncertainties described in the Risk Factors and in Management’s Discussion and Analysis sections of our most recently filed Annual Report on Form 10-K and subsequently filed Quarterly Reports on Form 10-Q, including this Report. We undertake no obligation to publicly update any of our forward-looking statements, whether as a result of new information, future developments or otherwise.</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developed scalable, over-the-air WPN technology that integrates advanced semiconductor chipsets, software controls, hardware designs, and antenna systems to enable RF-based charging for ambient IoT devices, transforming supply chain capabilities from limited tracking to overall business intelligence. Our WPN technology consists of transmitter systems, receiver integrated circuits, and supporting software designed to deliver power and data to battery-free IoT devices across a range of operating distances and power levels. These capabilities support applications that require continuous operation without wired power connections or periodic battery replacement.</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With a patent portfolio exceeding 300 patents, our solutions support both near-field and at-a-distance wireless power transmission and include advanced receiver technology designed for use across multiple device categories. Applications include retail sensors, ESLs, asset trackers, air quality monitors, motion detectors, and other monitoring solutions.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To date, we have developed and released multiple transmitter and battery-free receiver products. Our transmitters vary in form factors, power specifications, and operating frequencies, and our receivers are designed to support a range of wireless power-enabled device applications, including:</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9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Device Type</w:t>
            </w:r>
          </w:p>
        </w:tc>
        <w:tc>
          <w:tcPr>
            <w:tcW w:w="4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Application</w:t>
            </w:r>
          </w:p>
        </w:tc>
      </w:tr>
      <w:tr>
        <w:trPr>
          <w:trHeight w:val="209"/>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RF Tags</w:t>
            </w:r>
          </w:p>
        </w:tc>
        <w:tc>
          <w:tcPr>
            <w:tcW w:w="4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Cold Chain, Asset Tracking, Medical IoT</w:t>
            </w: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Ambient IoT Sensors</w:t>
            </w:r>
          </w:p>
        </w:tc>
        <w:tc>
          <w:tcPr>
            <w:tcW w:w="4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Cold Chain, Logistics, Asset Tracking</w:t>
            </w:r>
          </w:p>
        </w:tc>
      </w:tr>
      <w:tr>
        <w:trPr>
          <w:trHeight w:val="210"/>
        </w:trPr>
        <w:tc>
          <w:tcPr>
            <w:tcW w:w="4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Electronic Shelf Labels</w:t>
            </w:r>
          </w:p>
        </w:tc>
        <w:tc>
          <w:tcPr>
            <w:tcW w:w="4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Retail and Industrial IoT</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first WPN-enabled product featuring our technology entered the market in 2019. In the fourth quarter of 2021, we commenced shipments of at-a-distance PowerBridge transmitter systems for commercial IoT applications and proof-of-concept deployments. In the second quarter of 2025, we introduced the battery-free e-Sense tag and the e-Compass cloud-based software platform, which together supported the first end-to-end wireless power-enabled IoT device monitoring and management solution. As we continue to innovate our technology applications, we anticipate the release of additional wireless power-enabled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Current Global Economic Conditions on Our Business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Uncertainty in the global economy presents significant risks to our business. We are subject to ongoing exposure related to the current macroeconomic environment, including inflation, rising interest rates, geopolitical factors such as the ongoing conflict between Russia and Ukraine, tensions between the United States and China as well as China and Taiwan, conflicts in the Middle East, and supply chain disruptions. These conditions may affect various aspects of our business, including our operations, financial position, cash flow, inventory management, supply chains, global regulatory approvals, purchasing trends, customer payment patterns, and the broader industry environment, as well as our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Cost of revenue consists of direct materials, direct labor and overhead for our production-level wireless charging systems. Research and development expenses include costs associated with our efforts to develop our technology, including personnel compensation, consulting, engineering supplies and components,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sales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2026 and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Condensed Statements of Operations data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3600" w:type="dxa"/>
            <w:vAlign w:val="bottom"/>
            <w:gridSpan w:val="9"/>
          </w:tcPr>
          <w:p>
            <w:pPr>
              <w:ind w:left="11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4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Change</w:t>
            </w:r>
          </w:p>
        </w:tc>
        <w:tc>
          <w:tcPr>
            <w:tcW w:w="96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Change</w:t>
            </w:r>
          </w:p>
        </w:tc>
        <w:tc>
          <w:tcPr>
            <w:tcW w:w="0" w:type="dxa"/>
            <w:vAlign w:val="bottom"/>
          </w:tcPr>
          <w:p>
            <w:pPr>
              <w:spacing w:after="0" w:line="20" w:lineRule="exact"/>
              <w:rPr>
                <w:sz w:val="1"/>
                <w:szCs w:val="1"/>
                <w:color w:val="auto"/>
              </w:rPr>
            </w:pPr>
          </w:p>
        </w:tc>
      </w:tr>
      <w:tr>
        <w:trPr>
          <w:trHeight w:val="142"/>
        </w:trPr>
        <w:tc>
          <w:tcPr>
            <w:tcW w:w="4560" w:type="dxa"/>
            <w:vAlign w:val="bottom"/>
          </w:tcPr>
          <w:p>
            <w:pPr>
              <w:spacing w:after="0"/>
              <w:rPr>
                <w:sz w:val="12"/>
                <w:szCs w:val="12"/>
                <w:color w:val="auto"/>
              </w:rPr>
            </w:pPr>
          </w:p>
        </w:tc>
        <w:tc>
          <w:tcPr>
            <w:tcW w:w="1420" w:type="dxa"/>
            <w:vAlign w:val="bottom"/>
            <w:gridSpan w:val="3"/>
          </w:tcPr>
          <w:p>
            <w:pPr>
              <w:ind w:left="1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40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$ 2,739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1,077 %</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(372)</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from abandoned financing transaction</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(656)</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964 %</w:t>
            </w: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$ 1,710</w:t>
            </w:r>
          </w:p>
        </w:tc>
        <w:tc>
          <w:tcPr>
            <w:tcW w:w="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line="20" w:lineRule="exact"/>
              <w:rPr>
                <w:sz w:val="1"/>
                <w:szCs w:val="1"/>
                <w:color w:val="auto"/>
              </w:rPr>
            </w:pPr>
          </w:p>
        </w:tc>
      </w:tr>
      <w:tr>
        <w:trPr>
          <w:trHeight w:val="844"/>
        </w:trPr>
        <w:tc>
          <w:tcPr>
            <w:tcW w:w="4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During the three months ended March 31, 2026 and 2025, we recorded revenue of $3.1 million and $0.3 million,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799% period-over-period increase is primarily due to the expansion of commercial deployments with multinational enterprise retailers, including two Fortune 10 companies, deploying our WPN technology in connection with their infrastructure modernization initiatives as well as large scale proof-of-concept deployments with enterprise customers referred through the Company’s participation in the Amazon Web Services (“AWS”) Partner Network and other channel partners.</w:t>
      </w:r>
    </w:p>
    <w:p>
      <w:pPr>
        <w:spacing w:after="0" w:line="17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Costs and Expenses and Loss from Operations. </w:t>
      </w:r>
      <w:r>
        <w:rPr>
          <w:rFonts w:ascii="Times New Roman" w:cs="Times New Roman" w:eastAsia="Times New Roman" w:hAnsi="Times New Roman"/>
          <w:sz w:val="18"/>
          <w:szCs w:val="18"/>
          <w:color w:val="auto"/>
        </w:rPr>
        <w:t>Costs and expenses are made up of cost of revenue, research and development,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marketing, general and administrative and severance expenses. Loss from operations for the three months ended March 31, 2026 and 2025 was $1.8 million and $3.6 million,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464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w:t>
            </w:r>
          </w:p>
        </w:tc>
        <w:tc>
          <w:tcPr>
            <w:tcW w:w="40" w:type="dxa"/>
            <w:vAlign w:val="bottom"/>
          </w:tcPr>
          <w:p>
            <w:pPr>
              <w:spacing w:after="0"/>
              <w:rPr>
                <w:sz w:val="15"/>
                <w:szCs w:val="15"/>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line="20" w:lineRule="exact"/>
              <w:rPr>
                <w:sz w:val="1"/>
                <w:szCs w:val="1"/>
                <w:color w:val="auto"/>
              </w:rPr>
            </w:pP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Change</w:t>
            </w:r>
          </w:p>
        </w:tc>
        <w:tc>
          <w:tcPr>
            <w:tcW w:w="0" w:type="dxa"/>
            <w:vAlign w:val="bottom"/>
          </w:tcPr>
          <w:p>
            <w:pPr>
              <w:spacing w:after="0" w:line="20" w:lineRule="exact"/>
              <w:rPr>
                <w:sz w:val="1"/>
                <w:szCs w:val="1"/>
                <w:color w:val="auto"/>
              </w:rPr>
            </w:pPr>
          </w:p>
        </w:tc>
      </w:tr>
      <w:tr>
        <w:trPr>
          <w:trHeight w:val="142"/>
        </w:trPr>
        <w:tc>
          <w:tcPr>
            <w:tcW w:w="3600" w:type="dxa"/>
            <w:vAlign w:val="bottom"/>
          </w:tcPr>
          <w:p>
            <w:pPr>
              <w:spacing w:after="0"/>
              <w:rPr>
                <w:sz w:val="12"/>
                <w:szCs w:val="12"/>
                <w:color w:val="auto"/>
              </w:rPr>
            </w:pPr>
          </w:p>
        </w:tc>
        <w:tc>
          <w:tcPr>
            <w:tcW w:w="2220" w:type="dxa"/>
            <w:vAlign w:val="bottom"/>
            <w:gridSpan w:val="3"/>
          </w:tcPr>
          <w:p>
            <w:pPr>
              <w:jc w:val="right"/>
              <w:ind w:right="1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$ 1,737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695</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64 %</w:t>
            </w:r>
          </w:p>
        </w:tc>
        <w:tc>
          <w:tcPr>
            <w:tcW w:w="7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40" w:type="dxa"/>
            <w:vAlign w:val="bottom"/>
          </w:tcPr>
          <w:p>
            <w:pPr>
              <w:spacing w:after="0"/>
              <w:rPr>
                <w:sz w:val="20"/>
                <w:szCs w:val="20"/>
                <w:color w:val="auto"/>
              </w:rPr>
            </w:pPr>
          </w:p>
        </w:tc>
        <w:tc>
          <w:tcPr>
            <w:tcW w:w="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Cost of revenue was $2.0 million and $0.3 million, respectively, for the three months ended March 31, 2026 and 2025, respectively. The increase is primarily due to higher sales volume of PowerBridge Pro transmitters that were shipped during the first quarter of 2026. With the ramp up of our volume manufacturing during 2025 and early 2026 and other strategic efforts made to optimize operations, product margins improved significantly, transitioning from a gross profit in the first quarter 2025 of $0.1 million to a gross profit in the first quarter 2026 of approximately $1.1 million, representing a 1,077% year over year improvement in gross profit for the same quarter last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4300" w:type="dxa"/>
            <w:vAlign w:val="bottom"/>
            <w:gridSpan w:val="7"/>
          </w:tcPr>
          <w:p>
            <w:pPr>
              <w:ind w:left="17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line="20" w:lineRule="exact"/>
              <w:rPr>
                <w:sz w:val="1"/>
                <w:szCs w:val="1"/>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Change</w:t>
            </w:r>
          </w:p>
        </w:tc>
        <w:tc>
          <w:tcPr>
            <w:tcW w:w="0" w:type="dxa"/>
            <w:vAlign w:val="bottom"/>
          </w:tcPr>
          <w:p>
            <w:pPr>
              <w:spacing w:after="0" w:line="20" w:lineRule="exact"/>
              <w:rPr>
                <w:sz w:val="1"/>
                <w:szCs w:val="1"/>
                <w:color w:val="auto"/>
              </w:rPr>
            </w:pPr>
          </w:p>
        </w:tc>
      </w:tr>
      <w:tr>
        <w:trPr>
          <w:trHeight w:val="142"/>
        </w:trPr>
        <w:tc>
          <w:tcPr>
            <w:tcW w:w="3720" w:type="dxa"/>
            <w:vAlign w:val="bottom"/>
          </w:tcPr>
          <w:p>
            <w:pPr>
              <w:spacing w:after="0"/>
              <w:rPr>
                <w:sz w:val="12"/>
                <w:szCs w:val="12"/>
                <w:color w:val="auto"/>
              </w:rPr>
            </w:pPr>
          </w:p>
        </w:tc>
        <w:tc>
          <w:tcPr>
            <w:tcW w:w="2080" w:type="dxa"/>
            <w:vAlign w:val="bottom"/>
            <w:gridSpan w:val="3"/>
          </w:tcPr>
          <w:p>
            <w:pPr>
              <w:ind w:left="17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3"/>
              </w:rPr>
              <w:t>(15)</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33 %</w:t>
            </w: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40" w:type="dxa"/>
            <w:vAlign w:val="bottom"/>
          </w:tcPr>
          <w:p>
            <w:pPr>
              <w:spacing w:after="0"/>
              <w:rPr>
                <w:sz w:val="20"/>
                <w:szCs w:val="20"/>
                <w:color w:val="auto"/>
              </w:rPr>
            </w:pPr>
          </w:p>
        </w:tc>
        <w:tc>
          <w:tcPr>
            <w:tcW w:w="7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Research and development (“R&amp;D”) costs were $1.0 million and $1.2 million, respectively, for the three months ended March 31, 2026 and 2025. The decrease of $0.2 million is primarily due to a $0.1 million decrease in third party services and a $0.1 million decrease in payroll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Costs: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4660" w:type="dxa"/>
            <w:vAlign w:val="bottom"/>
            <w:gridSpan w:val="9"/>
          </w:tcPr>
          <w:p>
            <w:pPr>
              <w:ind w:left="19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w:t>
            </w:r>
          </w:p>
        </w:tc>
        <w:tc>
          <w:tcPr>
            <w:tcW w:w="220" w:type="dxa"/>
            <w:vAlign w:val="bottom"/>
          </w:tcPr>
          <w:p>
            <w:pPr>
              <w:spacing w:after="0"/>
              <w:rPr>
                <w:sz w:val="15"/>
                <w:szCs w:val="15"/>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Change</w:t>
            </w:r>
          </w:p>
        </w:tc>
        <w:tc>
          <w:tcPr>
            <w:tcW w:w="0" w:type="dxa"/>
            <w:vAlign w:val="bottom"/>
          </w:tcPr>
          <w:p>
            <w:pPr>
              <w:spacing w:after="0" w:line="20" w:lineRule="exact"/>
              <w:rPr>
                <w:sz w:val="1"/>
                <w:szCs w:val="1"/>
                <w:color w:val="auto"/>
              </w:rPr>
            </w:pPr>
          </w:p>
        </w:tc>
      </w:tr>
      <w:tr>
        <w:trPr>
          <w:trHeight w:val="142"/>
        </w:trPr>
        <w:tc>
          <w:tcPr>
            <w:tcW w:w="3620" w:type="dxa"/>
            <w:vAlign w:val="bottom"/>
          </w:tcPr>
          <w:p>
            <w:pPr>
              <w:spacing w:after="0"/>
              <w:rPr>
                <w:sz w:val="12"/>
                <w:szCs w:val="12"/>
                <w:color w:val="auto"/>
              </w:rPr>
            </w:pPr>
          </w:p>
        </w:tc>
        <w:tc>
          <w:tcPr>
            <w:tcW w:w="2220" w:type="dxa"/>
            <w:vAlign w:val="bottom"/>
            <w:gridSpan w:val="3"/>
          </w:tcPr>
          <w:p>
            <w:pPr>
              <w:ind w:left="19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9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589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17 %</w:t>
            </w:r>
          </w:p>
        </w:tc>
        <w:tc>
          <w:tcPr>
            <w:tcW w:w="740" w:type="dxa"/>
            <w:vAlign w:val="bottom"/>
          </w:tcPr>
          <w:p>
            <w:pPr>
              <w:spacing w:after="0"/>
              <w:rPr>
                <w:sz w:val="20"/>
                <w:szCs w:val="20"/>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172 %</w:t>
            </w:r>
          </w:p>
        </w:tc>
        <w:tc>
          <w:tcPr>
            <w:tcW w:w="220" w:type="dxa"/>
            <w:vAlign w:val="bottom"/>
          </w:tcPr>
          <w:p>
            <w:pPr>
              <w:spacing w:after="0"/>
              <w:rPr>
                <w:sz w:val="20"/>
                <w:szCs w:val="20"/>
                <w:color w:val="auto"/>
              </w:rPr>
            </w:pPr>
          </w:p>
        </w:tc>
        <w:tc>
          <w:tcPr>
            <w:tcW w:w="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costs for both the three months ended March 31, 2026 and 2025 were $0.5 million and $0.6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is primarily due to a $0.1 million decrease in consulting fees.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Costs: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4520" w:type="dxa"/>
            <w:vAlign w:val="bottom"/>
            <w:gridSpan w:val="9"/>
          </w:tcPr>
          <w:p>
            <w:pPr>
              <w:ind w:left="17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w:t>
            </w:r>
          </w:p>
        </w:tc>
        <w:tc>
          <w:tcPr>
            <w:tcW w:w="40" w:type="dxa"/>
            <w:vAlign w:val="bottom"/>
          </w:tcPr>
          <w:p>
            <w:pPr>
              <w:spacing w:after="0"/>
              <w:rPr>
                <w:sz w:val="15"/>
                <w:szCs w:val="15"/>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line="20" w:lineRule="exact"/>
              <w:rPr>
                <w:sz w:val="1"/>
                <w:szCs w:val="1"/>
                <w:color w:val="auto"/>
              </w:rPr>
            </w:pP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Change</w:t>
            </w:r>
          </w:p>
        </w:tc>
        <w:tc>
          <w:tcPr>
            <w:tcW w:w="0" w:type="dxa"/>
            <w:vAlign w:val="bottom"/>
          </w:tcPr>
          <w:p>
            <w:pPr>
              <w:spacing w:after="0" w:line="20" w:lineRule="exact"/>
              <w:rPr>
                <w:sz w:val="1"/>
                <w:szCs w:val="1"/>
                <w:color w:val="auto"/>
              </w:rPr>
            </w:pPr>
          </w:p>
        </w:tc>
      </w:tr>
      <w:tr>
        <w:trPr>
          <w:trHeight w:val="142"/>
        </w:trPr>
        <w:tc>
          <w:tcPr>
            <w:tcW w:w="3720" w:type="dxa"/>
            <w:vAlign w:val="bottom"/>
          </w:tcPr>
          <w:p>
            <w:pPr>
              <w:spacing w:after="0"/>
              <w:rPr>
                <w:sz w:val="12"/>
                <w:szCs w:val="12"/>
                <w:color w:val="auto"/>
              </w:rPr>
            </w:pPr>
          </w:p>
        </w:tc>
        <w:tc>
          <w:tcPr>
            <w:tcW w:w="2100" w:type="dxa"/>
            <w:vAlign w:val="bottom"/>
            <w:gridSpan w:val="3"/>
          </w:tcPr>
          <w:p>
            <w:pPr>
              <w:ind w:left="17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895</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45 %</w:t>
            </w:r>
          </w:p>
        </w:tc>
        <w:tc>
          <w:tcPr>
            <w:tcW w:w="740" w:type="dxa"/>
            <w:vAlign w:val="bottom"/>
          </w:tcPr>
          <w:p>
            <w:pPr>
              <w:spacing w:after="0"/>
              <w:rPr>
                <w:sz w:val="20"/>
                <w:szCs w:val="20"/>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261 %</w:t>
            </w:r>
          </w:p>
        </w:tc>
        <w:tc>
          <w:tcPr>
            <w:tcW w:w="40" w:type="dxa"/>
            <w:vAlign w:val="bottom"/>
          </w:tcPr>
          <w:p>
            <w:pPr>
              <w:spacing w:after="0"/>
              <w:rPr>
                <w:sz w:val="20"/>
                <w:szCs w:val="20"/>
                <w:color w:val="auto"/>
              </w:rPr>
            </w:pPr>
          </w:p>
        </w:tc>
        <w:tc>
          <w:tcPr>
            <w:tcW w:w="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General and administrative costs for the three months ended March 31, 2026 and 2025 were $1.4 million and $0.9 million, respectively. The increase of $0.5 million was primarily due to $0.1 million increase in compensation from the achievement of 2026 Bonus Plan metrics, a $0.3 million increase in legal fees, and a $0.1 million increase in stock registration and transfer expenses, partially offset by a $0.1 million decrease in office rent and facility expenses.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4640" w:type="dxa"/>
            <w:vAlign w:val="bottom"/>
            <w:gridSpan w:val="10"/>
          </w:tcPr>
          <w:p>
            <w:pPr>
              <w:ind w:left="19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Change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Change</w:t>
            </w:r>
          </w:p>
        </w:tc>
        <w:tc>
          <w:tcPr>
            <w:tcW w:w="0" w:type="dxa"/>
            <w:vAlign w:val="bottom"/>
          </w:tcPr>
          <w:p>
            <w:pPr>
              <w:spacing w:after="0" w:line="20" w:lineRule="exact"/>
              <w:rPr>
                <w:sz w:val="1"/>
                <w:szCs w:val="1"/>
                <w:color w:val="auto"/>
              </w:rPr>
            </w:pPr>
          </w:p>
        </w:tc>
      </w:tr>
      <w:tr>
        <w:trPr>
          <w:trHeight w:val="142"/>
        </w:trPr>
        <w:tc>
          <w:tcPr>
            <w:tcW w:w="3660" w:type="dxa"/>
            <w:vAlign w:val="bottom"/>
          </w:tcPr>
          <w:p>
            <w:pPr>
              <w:spacing w:after="0"/>
              <w:rPr>
                <w:sz w:val="12"/>
                <w:szCs w:val="12"/>
                <w:color w:val="auto"/>
              </w:rPr>
            </w:pPr>
          </w:p>
        </w:tc>
        <w:tc>
          <w:tcPr>
            <w:tcW w:w="2260" w:type="dxa"/>
            <w:vAlign w:val="bottom"/>
            <w:gridSpan w:val="3"/>
          </w:tcPr>
          <w:p>
            <w:pPr>
              <w:ind w:left="19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20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0 %</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108 %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Severance expense for the three months ended March 31, 2025 of $0.4 million related to separation with certain non-executive employees. There was no such expense for the three months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from Abandoned Financing Transaction: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3760" w:type="dxa"/>
            <w:vAlign w:val="bottom"/>
            <w:gridSpan w:val="9"/>
          </w:tcPr>
          <w:p>
            <w:pPr>
              <w:ind w:left="10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w:t>
            </w:r>
          </w:p>
        </w:tc>
        <w:tc>
          <w:tcPr>
            <w:tcW w:w="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line="20" w:lineRule="exact"/>
              <w:rPr>
                <w:sz w:val="1"/>
                <w:szCs w:val="1"/>
                <w:color w:val="auto"/>
              </w:rPr>
            </w:pP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Change</w:t>
            </w:r>
          </w:p>
        </w:tc>
        <w:tc>
          <w:tcPr>
            <w:tcW w:w="0" w:type="dxa"/>
            <w:vAlign w:val="bottom"/>
          </w:tcPr>
          <w:p>
            <w:pPr>
              <w:spacing w:after="0" w:line="20" w:lineRule="exact"/>
              <w:rPr>
                <w:sz w:val="1"/>
                <w:szCs w:val="1"/>
                <w:color w:val="auto"/>
              </w:rPr>
            </w:pPr>
          </w:p>
        </w:tc>
      </w:tr>
      <w:tr>
        <w:trPr>
          <w:trHeight w:val="142"/>
        </w:trPr>
        <w:tc>
          <w:tcPr>
            <w:tcW w:w="4480" w:type="dxa"/>
            <w:vAlign w:val="bottom"/>
          </w:tcPr>
          <w:p>
            <w:pPr>
              <w:spacing w:after="0"/>
              <w:rPr>
                <w:sz w:val="12"/>
                <w:szCs w:val="12"/>
                <w:color w:val="auto"/>
              </w:rPr>
            </w:pPr>
          </w:p>
        </w:tc>
        <w:tc>
          <w:tcPr>
            <w:tcW w:w="1360" w:type="dxa"/>
            <w:vAlign w:val="bottom"/>
            <w:gridSpan w:val="3"/>
          </w:tcPr>
          <w:p>
            <w:pPr>
              <w:ind w:left="10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from abandoned financing transaction</w:t>
            </w:r>
          </w:p>
        </w:tc>
        <w:tc>
          <w:tcPr>
            <w:tcW w:w="1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656</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0 %</w:t>
            </w:r>
          </w:p>
        </w:tc>
        <w:tc>
          <w:tcPr>
            <w:tcW w:w="720" w:type="dxa"/>
            <w:vAlign w:val="bottom"/>
          </w:tcPr>
          <w:p>
            <w:pPr>
              <w:spacing w:after="0"/>
              <w:rPr>
                <w:sz w:val="20"/>
                <w:szCs w:val="20"/>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191 %</w:t>
            </w:r>
          </w:p>
        </w:tc>
        <w:tc>
          <w:tcPr>
            <w:tcW w:w="40" w:type="dxa"/>
            <w:vAlign w:val="bottom"/>
          </w:tcPr>
          <w:p>
            <w:pPr>
              <w:spacing w:after="0"/>
              <w:rPr>
                <w:sz w:val="20"/>
                <w:szCs w:val="20"/>
                <w:color w:val="auto"/>
              </w:rPr>
            </w:pPr>
          </w:p>
        </w:tc>
        <w:tc>
          <w:tcPr>
            <w:tcW w:w="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Expenses from the abandoned financing transaction was $0.7 million for the three months ended March 31, 2025, primarily attributable to our decision not to pursue the convertible preferred equity offering under Regulation A. This decision was made because we were able to secure less dilutive financing through our ATM Program at a lower cost of capital. There was no such expense for the three months ended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3860" w:type="dxa"/>
            <w:vAlign w:val="bottom"/>
            <w:gridSpan w:val="7"/>
          </w:tcPr>
          <w:p>
            <w:pPr>
              <w:ind w:left="13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spacing w:after="0"/>
              <w:rPr>
                <w:sz w:val="15"/>
                <w:szCs w:val="15"/>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Change</w:t>
            </w:r>
          </w:p>
        </w:tc>
        <w:tc>
          <w:tcPr>
            <w:tcW w:w="9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Change</w:t>
            </w:r>
          </w:p>
        </w:tc>
        <w:tc>
          <w:tcPr>
            <w:tcW w:w="0" w:type="dxa"/>
            <w:vAlign w:val="bottom"/>
          </w:tcPr>
          <w:p>
            <w:pPr>
              <w:spacing w:after="0" w:line="20" w:lineRule="exact"/>
              <w:rPr>
                <w:sz w:val="1"/>
                <w:szCs w:val="1"/>
                <w:color w:val="auto"/>
              </w:rPr>
            </w:pPr>
          </w:p>
        </w:tc>
      </w:tr>
      <w:tr>
        <w:trPr>
          <w:trHeight w:val="142"/>
        </w:trPr>
        <w:tc>
          <w:tcPr>
            <w:tcW w:w="4240" w:type="dxa"/>
            <w:vAlign w:val="bottom"/>
          </w:tcPr>
          <w:p>
            <w:pPr>
              <w:spacing w:after="0"/>
              <w:rPr>
                <w:sz w:val="12"/>
                <w:szCs w:val="12"/>
                <w:color w:val="auto"/>
              </w:rPr>
            </w:pPr>
          </w:p>
        </w:tc>
        <w:tc>
          <w:tcPr>
            <w:tcW w:w="1700" w:type="dxa"/>
            <w:vAlign w:val="bottom"/>
            <w:gridSpan w:val="2"/>
          </w:tcPr>
          <w:p>
            <w:pPr>
              <w:ind w:left="13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2"/>
                <w:szCs w:val="12"/>
                <w:color w:val="auto"/>
              </w:rPr>
            </w:pPr>
          </w:p>
        </w:tc>
        <w:tc>
          <w:tcPr>
            <w:tcW w:w="48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gridSpan w:val="3"/>
            <w:vMerge w:val="continue"/>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60" w:type="dxa"/>
            <w:vAlign w:val="bottom"/>
            <w:tcBorders>
              <w:right w:val="single" w:sz="8" w:color="CCEEFF"/>
            </w:tcBorders>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shd w:val="clear" w:color="auto" w:fill="CCEEFF"/>
          </w:tcPr>
          <w:p>
            <w:pPr>
              <w:spacing w:after="0"/>
              <w:rPr>
                <w:sz w:val="18"/>
                <w:szCs w:val="18"/>
                <w:color w:val="auto"/>
              </w:rPr>
            </w:pPr>
          </w:p>
        </w:tc>
        <w:tc>
          <w:tcPr>
            <w:tcW w:w="146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tcBorders>
              <w:lef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964 %</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4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expense resulting from the change in fair value of the warrant liability was $0.3 million for the three months ended March 31, 2025. On September 10, 2025, the 2023 Warrants were fully exercised, eliminating the related warrant liability. As of both December 31, 2025 and March 31, 2026, we no longer have warrants classified as a liability on our balance sheet.</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interest income for the three months ended March 31, 2026 was $0.2 million from interest earned in our money market account. Net interest expense for the three months ended March 31, 2025 was approximately $22,000 from short-term loan interest expense of $187,000, partially offset by interest income of $165,000 earned in our money market account.</w:t>
      </w:r>
    </w:p>
    <w:p>
      <w:pPr>
        <w:spacing w:after="0" w:line="13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w:t>
      </w:r>
      <w:r>
        <w:rPr>
          <w:rFonts w:ascii="Times New Roman" w:cs="Times New Roman" w:eastAsia="Times New Roman" w:hAnsi="Times New Roman"/>
          <w:sz w:val="18"/>
          <w:szCs w:val="18"/>
          <w:color w:val="auto"/>
        </w:rPr>
        <w:t>As a result of the above, net loss for the three months ended March 31, 2026 was $1.7 million as compared to $3.4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March 31,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generally accepted accounting principles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of America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spacing w:after="0" w:line="14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Some of these judgments can be subjective and complex, and, consequently, actual results may differ from these estimates. Although we believe that management’s estimates and assumptions are reasonable, they are based upon information available at the time the estimates and assumptions were made. Actual results could differ from those estimates.</w:t>
      </w:r>
    </w:p>
    <w:p>
      <w:pPr>
        <w:spacing w:after="0" w:line="14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Accounting Standards Codification (“ASC”) 205-40</w:t>
      </w:r>
      <w:r>
        <w:rPr>
          <w:rFonts w:ascii="Times New Roman" w:cs="Times New Roman" w:eastAsia="Times New Roman" w:hAnsi="Times New Roman"/>
          <w:sz w:val="18"/>
          <w:szCs w:val="18"/>
          <w:i w:val="1"/>
          <w:iCs w:val="1"/>
          <w:color w:val="auto"/>
        </w:rPr>
        <w:t xml:space="preserve"> Presentation of Financial Statements - Going Concern</w:t>
      </w:r>
      <w:r>
        <w:rPr>
          <w:rFonts w:ascii="Times New Roman" w:cs="Times New Roman" w:eastAsia="Times New Roman" w:hAnsi="Times New Roman"/>
          <w:sz w:val="18"/>
          <w:szCs w:val="18"/>
          <w:color w:val="auto"/>
        </w:rPr>
        <w:t>,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to assess our ability to continue as a going concern. In accordance with this guidance, we have evaluated whether there are conditions and events, considered in the aggregate, that raise substantial doubt about our ability to continue as a going concern within one year after the date that the financial statements are issued. We anticipate cash flows generated from operations and our cash and cash equivalents will be sufficient to meet our liquidity needs for at least the next 12 months.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Determining the extent to which conditions or events raise substantial doubt about our ability to continue as a going concern requires significant judgment and estimation by us. Our significant estimates related to this analysis may include identifying business factors used in the forecasted financial results and liquidity. We believe that the estimated values used in our going concern analysis are based on reasonable assumptions. However, such assumptions are inherently uncertain, and actual results could differ materially from those estimates.</w:t>
      </w:r>
    </w:p>
    <w:p>
      <w:pPr>
        <w:spacing w:after="0" w:line="14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We account for warrants as either equity-classified or liability-classified instruments based on an assessment of the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4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spacing w:after="0" w:line="16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proceeds received.</w:t>
      </w:r>
    </w:p>
    <w:p>
      <w:pPr>
        <w:spacing w:after="0" w:line="133"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We follow ASC 606, “Revenue from Contracts with Customers” (“Topic 606”). In accordance with Topic 606,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revenue using the following five-step approach:</w:t>
      </w:r>
    </w:p>
    <w:p>
      <w:pPr>
        <w:spacing w:after="0" w:line="120" w:lineRule="exact"/>
        <w:rPr>
          <w:sz w:val="20"/>
          <w:szCs w:val="20"/>
          <w:color w:val="auto"/>
        </w:rPr>
      </w:pPr>
    </w:p>
    <w:p>
      <w:pPr>
        <w:ind w:left="1340" w:hanging="333"/>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the customer.</w:t>
      </w:r>
    </w:p>
    <w:p>
      <w:pPr>
        <w:spacing w:after="0" w:line="198"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84"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of the contract.</w:t>
      </w:r>
    </w:p>
    <w:p>
      <w:pPr>
        <w:spacing w:after="0" w:line="184"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of the contract.</w:t>
      </w:r>
    </w:p>
    <w:p>
      <w:pPr>
        <w:spacing w:after="0" w:line="198"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performance obligations are satisfied.</w:t>
      </w:r>
    </w:p>
    <w:p>
      <w:pPr>
        <w:spacing w:after="0" w:line="18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revenue consists of its single segment of wireless charging system solutions. The wireless charging system revenue consists of revenue from product development projects and production-level systems.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record a majority of our revenue based on the shipment of products that we sell. Generally, there is a five-day return policy on our shipment of products. Additionally, we record revenue associated with product development projects that we enter into with certain customers. In general, these product development projects are complex, and we do not have certainty about our ability to achieve the project milestones. The achievement of a milestone is dependent on our performance obligation and requires acceptance by the customer. We recognize this revenue at the point in time at which the performance obligation is met. The payment associated with achieving the performance obligation is generally commensurate with our effort or the value of the deliverable and is nonrefundable. Any deferred revenue is recognized upon achievement of the performance obligation or expiration of a support agreement.</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management believes there have been no significant changes to the items that we disclosed within our critical accounting policies and estimates in “Management’s Discussion and Analysis of Financial Condition and Results of Operations” in our Annual Report on Form 10-K for the year ended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we recorded revenue of $3.1 million and $0.3 million, respectively. We incurred a net loss of $1.7 million and $3.4 million for the three months ended March 31, 2026 and 2025, respectively. Net cash used in operating activities was $5.6 million and $4.7 million for the three months ended March 31, 2026 and 2025, respectively.</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of March 31, 2026, we had cash on hand of $36.6 million. Based upon our cash on hand as of March 31, 2026 and anticipated collection of accounts receivable, we are currently meeting our liquidity requirements.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205-40, </w:t>
      </w:r>
      <w:r>
        <w:rPr>
          <w:rFonts w:ascii="Times New Roman" w:cs="Times New Roman" w:eastAsia="Times New Roman" w:hAnsi="Times New Roman"/>
          <w:sz w:val="18"/>
          <w:szCs w:val="18"/>
          <w:i w:val="1"/>
          <w:iCs w:val="1"/>
          <w:color w:val="auto"/>
        </w:rPr>
        <w:t>Presentation of Financial Statements—Going Concern</w:t>
      </w:r>
      <w:r>
        <w:rPr>
          <w:rFonts w:ascii="Times New Roman" w:cs="Times New Roman" w:eastAsia="Times New Roman" w:hAnsi="Times New Roman"/>
          <w:sz w:val="18"/>
          <w:szCs w:val="18"/>
          <w:color w:val="auto"/>
        </w:rPr>
        <w:t>, management has evaluated whether conditions or events, considered in the aggregate, raise questions about our ability to continue as a going concern within one year after the date the financial statements are issued. Based on current operating levels and existing cash balances, management believes that we have sufficient liquidity to fund operations for at least the next twelve months</w:t>
      </w:r>
    </w:p>
    <w:p>
      <w:pPr>
        <w:spacing w:after="0" w:line="14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we gain traction in the market with our new technology and continues to invest capital in transitioning and scaling the business from research and development of new technologies to commercial production, there can be no assurance that our available resources and revenue generated from our business operations will be sufficient to sustain our operations, as adoption of this emerging technology by enterprise customers may take longer than expected. Accordingly, we may decide to pursue additional financing, which could include offerings of equity or debt securities, bank financing, commercial agreements with customers or strategic partners, and other alternatives, depending upon market conditions. There is no assurance that such financing will be available on terms that we would find acceptable, or at all. If we are unsuccessful in implementing this plan, we will be required to make further cost and expense reductions or modifications to its on-going operations and strategic plans.</w:t>
      </w:r>
    </w:p>
    <w:p>
      <w:pPr>
        <w:spacing w:after="0" w:line="16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market for products using our technology is broad and evolving, so our success is dependent upon many factors, including customer acceptance of its existing products, technical feasibility of future products, regulatory approvals, the development of complementary technologies, competition and global market fluctuations.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 During the three months ended March 31, 2026, cash flows used in operating activities were $5.6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consisting of a net loss of $1.7 million, less adjustments to reconcile net loss to net cash used in operating activities aggregating $0.1 million (principally stock-based compensation of $50,000 and depreciation and amortization of $34,000), a $2.7 million increase in prepaid expenses and other current assets, a $1.3 million decrease in accrued expenses, a $0.2 million increase in accounts receivable, a $0.1 million decrease in operating lease liabilities, a $0.1 million increase in other assets and a $47,000 decrease in accounts payable, partially offset by a $0.3 million decrease in inventory, a $0.1 million decrease in right-of-use lease assets and a $0.1 million increase in deferred revenue.</w:t>
      </w:r>
    </w:p>
    <w:p>
      <w:pPr>
        <w:spacing w:after="0" w:line="1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2025, cash flows used in operating activities were $4.7 million, consisting of a net loss of $3.4 million, plus adjustments to reconcile net loss to net cash used in operating activities aggregating $0.1 million (principally change in fair value of warrant liability of $0.3 million, partially offset by stock-based compensation of $0.1 million and depreciation and amortization and amortization of short-term loan fees totaling approximately $0.1 million), a $0.6 million decrease in accounts payable, a $0.5 million decrease in accrued expenses, a $0.2 million increase in accounts receivable, a $0.2 million decrease in operating lease liabilities and a $0.1 million increase in inventory, partially offset by a $0.3 million decrease in operating lease right-of-use assets, a $0.1 million decrease in prepaid expenses and other current assets and a $0.1 million increase in accrued severance.</w:t>
      </w:r>
    </w:p>
    <w:p>
      <w:pPr>
        <w:spacing w:after="0" w:line="146"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 During the three months ended March 31, 2026 and 2025, cash flows used in investing activities were $38,000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$21,000, respectively. A small amount of hardware and equipment was purchased during each period.</w:t>
      </w:r>
    </w:p>
    <w:p>
      <w:pPr>
        <w:spacing w:after="0" w:line="118"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 During the three months ended March 31, 2026, cash flows provided by financing activities were $31.8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primarily consisted of $31.9 million in net proceeds from the sale of shares of our common stock under the ATM Program, partially offset by $0.1 million in repayments of financed insurance.</w:t>
      </w:r>
    </w:p>
    <w:p>
      <w:pPr>
        <w:spacing w:after="0" w:line="14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cash flows provided by financing activities were $13.4 million, which primarily consisted of $13.8 million in net proceeds from the sale of shares of our common stock under the ATM Program, partially offset by $0.3 million in repayments of a short-term loan and $0.1 million in repayments of financed insurance.</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Fundraising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 Program</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June 21, 2024, we entered into the At the Market Offering Agreement with H.C. Wainwright &amp; Co., LLC, as sales agent, pursuant to which we could issue and sell of up to $3.45 million in shares of our common stock (as amended to date, the “ATM Program”).</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February 13, 2025, the Company filed a prospectus supplement for the issuance and sale of an additional $80.0 million in shares of common stock under the ATM Program, which ATM capacity was subsequently reduced to up to $70.0 million in shares of common stock on September 10, 2025. During the three months ended March 31, 2026, we sold 3,299,728 shares of our common stock under the ATM Program for net proceeds of approximately $31.9 million (net of commissions and other related offering expenses of approximately $1.0 million). As of March 31, 2026, approximately $31.7 million in shares of common stock remained available for issuance under the ATM Program, subject to availability of authorized shares.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Offering</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September 10, 2025, we entered into a securities purchase agreement with an institutional investor (the “Investor”), providing for the issuance and sale, in a registered direct offering (the “2025 Offering”), of (i) 120,000 shares of our common stock, (ii) pre-funded warrants to purchase up to 465,347 shares of common stock (the “2025 Pre-Funded Warrants”), and (iii) warrants to purchase up to an aggregate of 585,347 shares of common stock (the “2025 Warrants”). Each share of common stock and 2025 Pre-Funded Warrant was offered and sold together with an accompanying 2025 Warrant at a combined price of $7.92 per share of common stock or 2025 Pre-Funded Warrant and accompanying 2025 Warrant, as applicable. Each 2025 Pre-Funded Warrant and 2025 Warrant is exercisable at any time on or after the date of issuance to purchase one share of common stock at a price of either $0.00001 per share, in the case of the 2025 Pre-Funded Warrants, or $7.79 per share, in the case of the 2025 Warrants. The 2025 Pre-Funded Warrants expire when they are exercised in full and the 2025 Warrants expire five years from the date of issuance. As of March 31, 2026, no 2025 Pre-Funded Warrants and 585,347 2025 Warrants were outstanding.</w:t>
      </w:r>
    </w:p>
    <w:p>
      <w:pPr>
        <w:spacing w:after="0" w:line="1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2025 Offering closed on September 11, 2025. We received net proceeds of approximately $4.0 million from the 2025 Offering, after deducting placement agent fees and estimated offering expenses.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pursuant to the Engagement Letter, dated as of July 9, 2024, as amended on December 20, 2024 and August 20, 2025 (the “Original Engagement Letter”), between the Company and H.C. Wainwright &amp; Co., LLC (“Wainwright”), and the Engagement Letter Joinder Agreement, dated as of September 10, 2025 (the “Joinder Agreement” and, together with the Original Engagement Letter, the “Engagement Letter”), by and among Energous, Wainwright and Rodman &amp; Renshaw LLC (“Rodman &amp; Renshaw” and, together with Wainwright, the “Placement Agents”), Energous, in connection with the closing of the 2025 Offering, agreed to issue to the Placement Agents or their respective designees warrants (the “Registered Direct Offering Placement Agent Warrants”) to purchase up to an aggregate of 40,974 shares of common stock. The Registered Direct Offering Placement Agent Warrants have substantially the same terms as the 2025 Warrants, except the Registered Direct Offering Placement Agent Warrants are exercisable at any time on or after the date of issuance to purchase one share of common stock at a price of $9.90 per share and the Registered Direct Offering Placement Agent Warrants expire on September 10, 2030. As of March 31, 2026, the Registered Direct Offering Placement Agent Warrants were still outstanding.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Inducement Offering</w:t>
      </w:r>
    </w:p>
    <w:p>
      <w:pPr>
        <w:spacing w:after="0" w:line="20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On September 10, 2025, in connection with the 2025 Offering, we entered into a letter agreement (the “Letter Agreement”) with the Investor for the immediate exercise of certain of our 2023 Warrants and 2024 Warrants to purchase an aggregate of 47,764 shares of common stock and having exercise prices of $6.7595 and $55.20 per share, respectively (the “Concurrent Warrant Exercise Transaction”). The 2023 Warrants were exercised at the exercise price of $6.8845 and the 2024 Warrants were exercised at a reduced exercise price of $7.92 per share for aggregate gross proceeds to the Company of approximately $364,000.</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consideration for the exercise of the 2023 Warrants and 2024 Warrants for cash, we issued new unregistered warrants (the “New Warrants”) to purchase up to an aggregate of 47,764 shares of common stock at an exercise price of $7.79 per share (the “New Warrant Shares”). The New Warrants are exercisable immediately upon issuance and will expire five years following the initial issuance date. Except as described herein, the New Warrants are substantially similar to the 2023 Warrants and 2024 Warrants. The closing of the Concurrent Warrant Exercise Transaction occurred on September 11, 2025. As of March 31, 2026, the New Warrant Shares were still outstanding.</w:t>
      </w:r>
    </w:p>
    <w:p>
      <w:pPr>
        <w:spacing w:after="0" w:line="14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Also pursuant to the Engagement Letter, Energous, in connection with the closing of the Concurrent Warrant Exercise Transaction, agreed to issue to the Placement Agents or their respective designees warrants (the “Concurrent Warrant Exercise Transaction Placement Agent Warrants”) to purchase up to an aggregate of 3,343 shares of Common Stock. The Concurrent Warrant Exercise Transaction Placement Agent Warrants have substantially the same terms as the New Warrants, except the Concurrent Warrant Exercise Transaction Placement Agent Warrants are immediately exercisable to purchase one share of common stock at a price of $9.90 per share and the Concurrent Warrant Exercise Transaction Placement Agent Warrants expire on September 10, 2030. As of March 31, 2026, the Concurrent Warrant Exercise Transaction Placement Agent Warrants were still outstanding.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established disclosure controls and procedures to ensure that material information relating to us is made known to the officers who certify our financial reports and the Board. Under the supervision and with the participation of our management, including our principal executive officer and principal financial officer, we conducted an evaluation of our disclosure controls and procedures as such term is defined under Rule 13a-15(e) and 15d-15(e) under the Exchange Act.</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Based on the evaluation, our principal executive officer and principal financial officer concluded that these disclosure controls and procedures were effective as of March 31, 2026 to provide reasonable assurance that information required to be disclosed by us in reports that we file under the Exchange Act is recorded, processed, summarized, and reported, within the time periods specified in the SEC’s rules and forms and that information required to be disclosed by us in our reports filed or submitted under the Exchange Act is accumulated and communicated to management, including our principal executive officer and principal financial officer, as appropriate to allow timely decisions regarding required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may be subject to claims and legal actions arising in the ordinary course of business from time to time. We are not currently party to any pending legal proceedings that we believe will have a material adverse effect on our business, financial condition or cash flow.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future performance is subject to a variety of risks and uncertainties that could materially and adversely affect our business, financial condition, results of operations, and the trading price of our common stock. These risks and uncertainties are described in Part I, Item 1A. “Risk Factors” in our Annual Report on Form 10-K for the year ended December 31, 2025. There have been no material changes to these risks and uncertainties described in our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filed, furnished or incorporated by reference as a part of this Quarterly Report on Form 10-Q:</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4780" w:type="dxa"/>
            <w:vAlign w:val="bottom"/>
            <w:gridSpan w:val="9"/>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8660" w:type="dxa"/>
            <w:vAlign w:val="bottom"/>
            <w:gridSpan w:val="11"/>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Second Amended and Restated Certificate of Incorporation of Energous Corporation, as amended (incorporated by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reference to Exhibit 3.1 to the Quarterly Report on Form 10-Q filed on August 10, 2020).</w:t>
              </w:r>
            </w:hyperlink>
          </w:p>
        </w:tc>
        <w:tc>
          <w:tcPr>
            <w:tcW w:w="1820" w:type="dxa"/>
            <w:vAlign w:val="bottom"/>
            <w:tcBorders>
              <w:top w:val="single" w:sz="8" w:color="0000EE"/>
            </w:tcBorders>
            <w:gridSpan w:val="5"/>
          </w:tcPr>
          <w:p>
            <w:pPr>
              <w:spacing w:after="0"/>
              <w:rPr>
                <w:sz w:val="17"/>
                <w:szCs w:val="17"/>
                <w:color w:val="auto"/>
              </w:rPr>
            </w:pPr>
          </w:p>
        </w:tc>
        <w:tc>
          <w:tcPr>
            <w:tcW w:w="4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8660" w:type="dxa"/>
            <w:vAlign w:val="bottom"/>
            <w:gridSpan w:val="11"/>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Certificate of Amendment to the Second Amended and Restated Certificate of Incorporation of Energous Corporation</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(incorporated by reference to Exhibit 3.1 to the Current Report on Form 8-K filed on August 15, 2023).</w:t>
              </w:r>
            </w:hyperlink>
          </w:p>
        </w:tc>
        <w:tc>
          <w:tcPr>
            <w:tcW w:w="1020" w:type="dxa"/>
            <w:vAlign w:val="bottom"/>
            <w:tcBorders>
              <w:top w:val="single" w:sz="8" w:color="0000EE"/>
            </w:tcBorders>
            <w:gridSpan w:val="4"/>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4"/>
                <w:szCs w:val="24"/>
                <w:color w:val="auto"/>
              </w:rPr>
            </w:pPr>
          </w:p>
        </w:tc>
        <w:tc>
          <w:tcPr>
            <w:tcW w:w="8660" w:type="dxa"/>
            <w:vAlign w:val="bottom"/>
            <w:gridSpan w:val="11"/>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Certificate of Amendment to the Second Amended and Restated Certificate of Incorporation of Energous Corporation</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(incorporated by reference to Exhibit 3.1 to the Current Report on Form 8-K filed on August 11, 2025).</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4"/>
                <w:szCs w:val="24"/>
                <w:color w:val="auto"/>
              </w:rPr>
            </w:pPr>
          </w:p>
        </w:tc>
        <w:tc>
          <w:tcPr>
            <w:tcW w:w="81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Second Amended and Restated Bylaws of Energous Corporation (incorporated by reference to Exhibit 3.1 to the</w:t>
              </w:r>
            </w:hyperlink>
          </w:p>
        </w:tc>
        <w:tc>
          <w:tcPr>
            <w:tcW w:w="5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Current Report on Form 8-K filed on April 11, 2025).</w:t>
              </w:r>
            </w:hyperlink>
          </w:p>
        </w:tc>
        <w:tc>
          <w:tcPr>
            <w:tcW w:w="47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7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Pursuant to Rule 13a-14(a) or Rule 15d-14(a) of the Securities Exchange Act of 1934.</w:t>
            </w:r>
          </w:p>
        </w:tc>
        <w:tc>
          <w:tcPr>
            <w:tcW w:w="15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86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348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866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86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24"/>
                <w:szCs w:val="24"/>
                <w:color w:val="auto"/>
              </w:rPr>
            </w:pPr>
          </w:p>
        </w:tc>
        <w:tc>
          <w:tcPr>
            <w:tcW w:w="86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4"/>
                <w:szCs w:val="24"/>
                <w:color w:val="auto"/>
              </w:rPr>
            </w:pPr>
          </w:p>
        </w:tc>
        <w:tc>
          <w:tcPr>
            <w:tcW w:w="86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24"/>
                <w:szCs w:val="24"/>
                <w:color w:val="auto"/>
              </w:rPr>
            </w:pPr>
          </w:p>
        </w:tc>
        <w:tc>
          <w:tcPr>
            <w:tcW w:w="86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86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20" w:hanging="1211"/>
        <w:spacing w:after="0"/>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contained in Exhibit 101).</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-187960</wp:posOffset>
            </wp:positionV>
            <wp:extent cx="15684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20" w:type="dxa"/>
            <w:vAlign w:val="bottom"/>
          </w:tcPr>
          <w:p>
            <w:pPr>
              <w:spacing w:after="0"/>
              <w:rPr>
                <w:sz w:val="19"/>
                <w:szCs w:val="19"/>
                <w:color w:val="auto"/>
              </w:rPr>
            </w:pPr>
          </w:p>
        </w:tc>
        <w:tc>
          <w:tcPr>
            <w:tcW w:w="670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ENERGOUS CORPORATION</w:t>
            </w:r>
          </w:p>
        </w:tc>
      </w:tr>
      <w:tr>
        <w:trPr>
          <w:trHeight w:val="234"/>
        </w:trPr>
        <w:tc>
          <w:tcPr>
            <w:tcW w:w="3220" w:type="dxa"/>
            <w:vAlign w:val="bottom"/>
          </w:tcPr>
          <w:p>
            <w:pPr>
              <w:spacing w:after="0"/>
              <w:rPr>
                <w:sz w:val="20"/>
                <w:szCs w:val="20"/>
                <w:color w:val="auto"/>
              </w:rPr>
            </w:pPr>
          </w:p>
        </w:tc>
        <w:tc>
          <w:tcPr>
            <w:tcW w:w="670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670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By: /s/ Mallorie Burak</w:t>
            </w:r>
          </w:p>
        </w:tc>
      </w:tr>
      <w:tr>
        <w:trPr>
          <w:trHeight w:val="191"/>
        </w:trPr>
        <w:tc>
          <w:tcPr>
            <w:tcW w:w="3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640" w:type="dxa"/>
            <w:vAlign w:val="bottom"/>
            <w:tcBorders>
              <w:top w:val="single" w:sz="8" w:color="auto"/>
            </w:tcBorders>
            <w:gridSpan w:val="2"/>
          </w:tcPr>
          <w:p>
            <w:pPr>
              <w:jc w:val="center"/>
              <w:ind w:right="2950"/>
              <w:spacing w:after="0" w:line="191" w:lineRule="exact"/>
              <w:rPr>
                <w:sz w:val="20"/>
                <w:szCs w:val="20"/>
                <w:color w:val="auto"/>
              </w:rPr>
            </w:pPr>
            <w:r>
              <w:rPr>
                <w:rFonts w:ascii="Times New Roman" w:cs="Times New Roman" w:eastAsia="Times New Roman" w:hAnsi="Times New Roman"/>
                <w:sz w:val="18"/>
                <w:szCs w:val="18"/>
                <w:color w:val="auto"/>
              </w:rPr>
              <w:t>Name:Mallorie Burak</w:t>
            </w: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6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Title: Chief Executive Officer and Chief Financial Officer</w:t>
            </w: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(Principal Executive Officer and Principal Financial</w:t>
            </w:r>
          </w:p>
        </w:tc>
      </w:tr>
      <w:tr>
        <w:trPr>
          <w:trHeight w:val="234"/>
        </w:trPr>
        <w:tc>
          <w:tcPr>
            <w:tcW w:w="3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0" w:type="dxa"/>
            <w:vAlign w:val="bottom"/>
          </w:tcPr>
          <w:p>
            <w:pPr>
              <w:jc w:val="center"/>
              <w:ind w:right="3010"/>
              <w:spacing w:after="0"/>
              <w:rPr>
                <w:sz w:val="20"/>
                <w:szCs w:val="20"/>
                <w:color w:val="auto"/>
              </w:rPr>
            </w:pPr>
            <w:r>
              <w:rPr>
                <w:rFonts w:ascii="Times New Roman" w:cs="Times New Roman" w:eastAsia="Times New Roman" w:hAnsi="Times New Roman"/>
                <w:sz w:val="18"/>
                <w:szCs w:val="18"/>
                <w:color w:val="auto"/>
                <w:w w:val="99"/>
              </w:rPr>
              <w:t>Officer)</w:t>
            </w:r>
          </w:p>
        </w:tc>
      </w:tr>
      <w:tr>
        <w:trPr>
          <w:trHeight w:val="445"/>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670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By: /s/ Gregory Sadikoff</w:t>
            </w:r>
          </w:p>
        </w:tc>
      </w:tr>
      <w:tr>
        <w:trPr>
          <w:trHeight w:val="191"/>
        </w:trPr>
        <w:tc>
          <w:tcPr>
            <w:tcW w:w="3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Name:Gregory Sadikoff</w:t>
            </w: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Accounting Officer</w:t>
            </w:r>
          </w:p>
        </w:tc>
      </w:tr>
      <w:tr>
        <w:trPr>
          <w:trHeight w:val="234"/>
        </w:trPr>
        <w:tc>
          <w:tcPr>
            <w:tcW w:w="3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Mallorie Burak,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Energous Corporation;</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98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60" w:right="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Mallorie Burak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Name:Mallorie Burak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 and Chief Financial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760095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49" w:right="9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Energous Corporation (the “Company”) on Form 10-Q for the period ended March 31, 2026 as filed with the Securities and Exchange Commission on the date hereof (the “Report”), I, Mallorie Burak, Chief Executive Officer and Chief Financial Officer, certify, pursuant to 18 U.S.C. § 1350, as adopted pursuant to § 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Energous Corporation and will be retained by Energous Corporation and furnished to the Securities and Exchange Commission or its staff upon request.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Mallorie Burak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Name:Mallorie Burak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 and Chief Financial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760095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54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endash "/>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lvl w:ilvl="1">
      <w:lvlJc w:val="left"/>
      <w:lvlText w:val="%2"/>
      <w:numFmt w:val="decimal"/>
      <w:start w:val="10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44" Type="http://schemas.openxmlformats.org/officeDocument/2006/relationships/hyperlink" Target="https://www.sec.gov/Archives/edgar/data/1575793/000156459020038993/watt-ex31_26.htm" TargetMode="External"/><Relationship Id="rId45" Type="http://schemas.openxmlformats.org/officeDocument/2006/relationships/hyperlink" Target="https://www.sec.gov/Archives/edgar/data/1575793/000119312523213522/d495019dex31.htm" TargetMode="External"/><Relationship Id="rId46" Type="http://schemas.openxmlformats.org/officeDocument/2006/relationships/hyperlink" Target="https://www.sec.gov/Archives/edgar/data/1575793/000110465925075898/tm2522903d1_3-1.htm" TargetMode="External"/><Relationship Id="rId47" Type="http://schemas.openxmlformats.org/officeDocument/2006/relationships/hyperlink" Target="https://www.sec.gov/Archives/edgar/data/1575793/000110465925034243/tm2511996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2026-05-14T15:33:31Z</dcterms:created>
  <dcterms:modified xsi:type="dcterms:W3CDTF">2026-05-14T15:33:31Z</dcterms:modified>
</cp:coreProperties>
</file>