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att-20250930x10q.htm"/>
        <w:bookmarkStart w:id="1" w:name="kswatt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bookmarkStart w:id="2" w:name="_4fa45126_6d92_41e8_9787_5c1ad9220bba"/>
      <w:bookmarkEnd w:id="2"/>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10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10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nbMcBykEMUaORPM5n34ysw_1_1"/>
      <w:bookmarkStart w:id="4" w:name="_007a1084_f453_40de_a1c1_d1ad9cac1790"/>
      <w:bookmarkStart w:id="5" w:name="Tc_nbMcBykEMUaORPM5n34ysw_1_1"/>
      <w:bookmarkStart w:id="6" w:name="_007a1084_f453_40de_a1c1_d1ad9cac179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2025</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Normal"/>
        <w:bidi w:val="0"/>
        <w:spacing w:before="0" w:after="0"/>
        <w:jc w:val="left"/>
        <w:rPr>
          <w:sz w:val="4"/>
          <w:szCs w:val="4"/>
        </w:rPr>
      </w:pPr>
      <w:r>
        <w:rPr>
          <w:sz w:val="4"/>
          <w:szCs w:val="4"/>
        </w:rPr>
      </w:r>
      <w:bookmarkStart w:id="7" w:name="Tc_-N_ue7MZPEGNCwLUMsYP_w_1_1"/>
      <w:bookmarkStart w:id="8" w:name="_b972f4ff_5743_4acf_8d33_d71b2b731219"/>
      <w:bookmarkStart w:id="9" w:name="Tc_-N_ue7MZPEGNCwLUMsYP_w_1_1"/>
      <w:bookmarkStart w:id="10" w:name="_b972f4ff_5743_4acf_8d33_d71b2b73121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69990" cy="175260"/>
                      <wp:effectExtent l="0" t="0" r="0" b="0"/>
                      <wp:wrapNone/>
                      <wp:docPr id="4" name="Frame4"/>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4485640" cy="11715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485640" cy="117157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001-36379</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ENERGOUS CORPORATION</w:t>
      </w:r>
    </w:p>
    <w:p>
      <w:pPr>
        <w:pStyle w:val="TextBody"/>
        <w:bidi w:val="0"/>
        <w:spacing w:before="0" w:after="10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Normal"/>
        <w:bidi w:val="0"/>
        <w:spacing w:before="0" w:after="0"/>
        <w:jc w:val="left"/>
        <w:rPr>
          <w:sz w:val="4"/>
          <w:szCs w:val="4"/>
        </w:rPr>
      </w:pPr>
      <w:r>
        <w:rPr>
          <w:sz w:val="4"/>
          <w:szCs w:val="4"/>
        </w:rPr>
      </w:r>
      <w:bookmarkStart w:id="11" w:name="Tc_aKEKAe_rfUS3VTEp6HLx1w_2_2"/>
      <w:bookmarkStart w:id="12" w:name="Tc_4Z2kqw2VekWd_lj5hzDrMA_2_0"/>
      <w:bookmarkStart w:id="13" w:name="_719d9bd9_da18_4a41_9310_34351f1d08cb"/>
      <w:bookmarkStart w:id="14" w:name="Tc_aKEKAe_rfUS3VTEp6HLx1w_2_2"/>
      <w:bookmarkStart w:id="15" w:name="Tc_4Z2kqw2VekWd_lj5hzDrMA_2_0"/>
      <w:bookmarkStart w:id="16" w:name="_719d9bd9_da18_4a41_9310_34351f1d08cb"/>
      <w:bookmarkEnd w:id="14"/>
      <w:bookmarkEnd w:id="15"/>
      <w:bookmarkEnd w:id="16"/>
    </w:p>
    <w:tbl>
      <w:tblPr>
        <w:tblW w:w="4798" w:type="dxa"/>
        <w:jc w:val="left"/>
        <w:tblInd w:w="0" w:type="dxa"/>
        <w:tblLayout w:type="fixed"/>
        <w:tblCellMar>
          <w:top w:w="0" w:type="dxa"/>
          <w:left w:w="0" w:type="dxa"/>
          <w:bottom w:w="0" w:type="dxa"/>
          <w:right w:w="0" w:type="dxa"/>
        </w:tblCellMar>
      </w:tblPr>
      <w:tblGrid>
        <w:gridCol w:w="1801"/>
        <w:gridCol w:w="326"/>
        <w:gridCol w:w="26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143635" cy="175260"/>
                      <wp:effectExtent l="0" t="0" r="0" b="0"/>
                      <wp:wrapNone/>
                      <wp:docPr id="6" name="Frame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96085" cy="175260"/>
                      <wp:effectExtent l="0" t="0" r="0" b="0"/>
                      <wp:wrapNone/>
                      <wp:docPr id="7" name="Frame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center"/>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46-1318953</w: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(State of incorporation)</w:t>
            </w:r>
          </w:p>
        </w:tc>
        <w:tc>
          <w:tcPr>
            <w:tcW w:w="326" w:type="dxa"/>
            <w:tcBorders/>
            <w:vAlign w:val="center"/>
          </w:tcPr>
          <w:p>
            <w:pPr>
              <w:pStyle w:val="TableContents"/>
              <w:bidi w:val="0"/>
              <w:spacing w:before="0" w:after="240"/>
              <w:ind w:left="0" w:right="0" w:hanging="0"/>
              <w:jc w:val="center"/>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3590 North First Street, Suite 330, San Jose, CA</w:t>
      </w:r>
      <w:r>
        <w:rPr>
          <w:rFonts w:ascii="Times New Roman;Times;serif" w:hAnsi="Times New Roman;Times;serif"/>
          <w:sz w:val="20"/>
        </w:rPr>
        <w:t xml:space="preserve"> </w:t>
      </w:r>
      <w:r>
        <w:rPr>
          <w:rFonts w:ascii="Times New Roman;Times;serif" w:hAnsi="Times New Roman;Times;serif"/>
          <w:b/>
          <w:sz w:val="18"/>
        </w:rPr>
        <w:t>95134</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i/>
          <w:sz w:val="14"/>
        </w:rPr>
        <w:t>(Address of principal executive office)</w:t>
      </w:r>
      <w:r>
        <w:rPr>
          <w:rFonts w:ascii="Times New Roman;Times;serif" w:hAnsi="Times New Roman;Times;serif"/>
          <w:sz w:val="14"/>
        </w:rPr>
        <w:t xml:space="preserve"> (Zip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(408) 963-0200</w:t>
      </w:r>
    </w:p>
    <w:p>
      <w:pPr>
        <w:pStyle w:val="TextBody"/>
        <w:bidi w:val="0"/>
        <w:spacing w:before="0" w:after="100"/>
        <w:ind w:left="0" w:right="0" w:hanging="0"/>
        <w:jc w:val="center"/>
        <w:rPr>
          <w:rFonts w:ascii="Times New Roman;Times;serif" w:hAnsi="Times New Roman;Times;serif"/>
          <w:i/>
          <w:sz w:val="14"/>
        </w:rPr>
      </w:pPr>
      <w:r>
        <w:rPr>
          <w:rFonts w:ascii="Times New Roman;Times;serif" w:hAnsi="Times New Roman;Times;serif"/>
          <w:i/>
          <w:sz w:val="14"/>
        </w:rPr>
        <w:t>(Registrant’s telephone number, including area code)</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7" w:name="Tc__ecJn4m3zUaNIZt8_5fuoQ_2_4"/>
      <w:bookmarkStart w:id="18" w:name="Tc_HHmcRoHLmUiR0o6PVdFgmQ_1_4"/>
      <w:bookmarkStart w:id="19" w:name="Tc_i1zPYJXZWUS5g9TNPI5VHA_1_2"/>
      <w:bookmarkStart w:id="20" w:name="Tc_YF3jfyxDvEWeKi1gk15bcA_1_0"/>
      <w:bookmarkStart w:id="21" w:name="_11ffea39_c669_46dd_aaed_3695c181ca14"/>
      <w:bookmarkStart w:id="22" w:name="Tc__ecJn4m3zUaNIZt8_5fuoQ_2_4"/>
      <w:bookmarkStart w:id="23" w:name="Tc_HHmcRoHLmUiR0o6PVdFgmQ_1_4"/>
      <w:bookmarkStart w:id="24" w:name="Tc_i1zPYJXZWUS5g9TNPI5VHA_1_2"/>
      <w:bookmarkStart w:id="25" w:name="Tc_YF3jfyxDvEWeKi1gk15bcA_1_0"/>
      <w:bookmarkStart w:id="26" w:name="_11ffea39_c669_46dd_aaed_3695c181ca14"/>
      <w:bookmarkEnd w:id="22"/>
      <w:bookmarkEnd w:id="23"/>
      <w:bookmarkEnd w:id="24"/>
      <w:bookmarkEnd w:id="25"/>
      <w:bookmarkEnd w:id="26"/>
    </w:p>
    <w:tbl>
      <w:tblPr>
        <w:tblW w:w="7705" w:type="dxa"/>
        <w:jc w:val="left"/>
        <w:tblInd w:w="0" w:type="dxa"/>
        <w:tblLayout w:type="fixed"/>
        <w:tblCellMar>
          <w:top w:w="0" w:type="dxa"/>
          <w:left w:w="0" w:type="dxa"/>
          <w:bottom w:w="0" w:type="dxa"/>
          <w:right w:w="0" w:type="dxa"/>
        </w:tblCellMar>
      </w:tblPr>
      <w:tblGrid>
        <w:gridCol w:w="2686"/>
        <w:gridCol w:w="326"/>
        <w:gridCol w:w="886"/>
        <w:gridCol w:w="326"/>
        <w:gridCol w:w="348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05610" cy="29210"/>
                      <wp:effectExtent l="0" t="0" r="0" b="0"/>
                      <wp:wrapNone/>
                      <wp:docPr id="8" name="Frame7"/>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62610" cy="29210"/>
                      <wp:effectExtent l="0" t="0" r="0" b="0"/>
                      <wp:wrapNone/>
                      <wp:docPr id="10" name="Frame9"/>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10435" cy="29210"/>
                      <wp:effectExtent l="0" t="0" r="0" b="0"/>
                      <wp:wrapNone/>
                      <wp:docPr id="12" name="Frame11"/>
                      <a:graphic xmlns:a="http://schemas.openxmlformats.org/drawingml/2006/main">
                        <a:graphicData uri="http://schemas.microsoft.com/office/word/2010/wordprocessingShape">
                          <wps:wsp>
                            <wps:cNvSpPr txBox="1"/>
                            <wps:spPr>
                              <a:xfrm>
                                <a:off x="0" y="0"/>
                                <a:ext cx="2210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w:t>
              <w:br/>
              <w:t>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6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326" w:type="dxa"/>
            <w:tcBorders/>
            <w:vAlign w:val="center"/>
          </w:tcPr>
          <w:p>
            <w:pPr>
              <w:pStyle w:val="TableContents"/>
              <w:bidi w:val="0"/>
              <w:spacing w:before="0" w:after="240"/>
              <w:ind w:left="0" w:right="0" w:hanging="0"/>
              <w:jc w:val="center"/>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WATT</w:t>
            </w:r>
          </w:p>
        </w:tc>
        <w:tc>
          <w:tcPr>
            <w:tcW w:w="326" w:type="dxa"/>
            <w:tcBorders/>
            <w:vAlign w:val="center"/>
          </w:tcPr>
          <w:p>
            <w:pPr>
              <w:pStyle w:val="TableContents"/>
              <w:bidi w:val="0"/>
              <w:spacing w:before="0" w:after="24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7" w:name="Tc_vSUzUQ3FDUi8A6tfpMS9og_3_0"/>
      <w:bookmarkStart w:id="28" w:name="Tc_i8DqWsbdQUS6DZsKApbpWg_2_3"/>
      <w:bookmarkStart w:id="29" w:name="Tc_VfmFIwcl8EKsJyytWSU7QA_2_1"/>
      <w:bookmarkStart w:id="30" w:name="Tc_9XMsoCqPwE2IdJCfBDUzzA_1_4"/>
      <w:bookmarkStart w:id="31" w:name="Tc_HjHrkfyui0CNJEawjHFwXQ_1_3"/>
      <w:bookmarkStart w:id="32" w:name="Tc_L74pQaU01UmOwBw5NRt7tQ_1_1"/>
      <w:bookmarkStart w:id="33" w:name="Tc_Uhr-GhZaykSZVioV1-akPw_1_0"/>
      <w:bookmarkStart w:id="34" w:name="_93cba069_cfc4_4a43_9192_209e22f6c271"/>
      <w:bookmarkStart w:id="35" w:name="Tc_vSUzUQ3FDUi8A6tfpMS9og_3_0"/>
      <w:bookmarkStart w:id="36" w:name="Tc_i8DqWsbdQUS6DZsKApbpWg_2_3"/>
      <w:bookmarkStart w:id="37" w:name="Tc_VfmFIwcl8EKsJyytWSU7QA_2_1"/>
      <w:bookmarkStart w:id="38" w:name="Tc_9XMsoCqPwE2IdJCfBDUzzA_1_4"/>
      <w:bookmarkStart w:id="39" w:name="Tc_HjHrkfyui0CNJEawjHFwXQ_1_3"/>
      <w:bookmarkStart w:id="40" w:name="Tc_L74pQaU01UmOwBw5NRt7tQ_1_1"/>
      <w:bookmarkStart w:id="41" w:name="Tc_Uhr-GhZaykSZVioV1-akPw_1_0"/>
      <w:bookmarkStart w:id="42" w:name="_93cba069_cfc4_4a43_9192_209e22f6c271"/>
      <w:bookmarkEnd w:id="35"/>
      <w:bookmarkEnd w:id="36"/>
      <w:bookmarkEnd w:id="37"/>
      <w:bookmarkEnd w:id="38"/>
      <w:bookmarkEnd w:id="39"/>
      <w:bookmarkEnd w:id="40"/>
      <w:bookmarkEnd w:id="41"/>
      <w:bookmarkEnd w:id="42"/>
    </w:p>
    <w:tbl>
      <w:tblPr>
        <w:tblW w:w="4868" w:type="dxa"/>
        <w:jc w:val="left"/>
        <w:tblInd w:w="0" w:type="dxa"/>
        <w:tblLayout w:type="fixed"/>
        <w:tblCellMar>
          <w:top w:w="0" w:type="dxa"/>
          <w:left w:w="0" w:type="dxa"/>
          <w:bottom w:w="0" w:type="dxa"/>
          <w:right w:w="0" w:type="dxa"/>
        </w:tblCellMar>
      </w:tblPr>
      <w:tblGrid>
        <w:gridCol w:w="2056"/>
        <w:gridCol w:w="316"/>
        <w:gridCol w:w="109"/>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As of November 10, 2025, there were 2,175,137 shares of our Common Stock, par value $0.00001 per share, outstanding.</w:t>
      </w:r>
    </w:p>
    <w:p>
      <w:pPr>
        <w:pStyle w:val="TextBody"/>
        <w:bidi w:val="0"/>
        <w:spacing w:before="0" w:after="240"/>
        <w:ind w:left="0" w:right="0" w:firstLine="360"/>
        <w:jc w:val="left"/>
        <w:rPr/>
      </w:pPr>
      <w:r>
        <w:rPr/>
        <w:t>​</w:t>
      </w:r>
    </w:p>
    <w:p>
      <w:pPr>
        <w:pStyle w:val="TextBody"/>
        <w:pBdr>
          <w:top w:val="single" w:sz="8" w:space="1" w:color="000000"/>
          <w:bottom w:val="single" w:sz="24" w:space="1" w:color="000000"/>
        </w:pBdr>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_d90e4715_0611_46b7_831e_520fa01e5864"/>
      <w:bookmarkEnd w:id="43"/>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 ENDED SEPTEMBER 30, 2025</w:t>
      </w:r>
    </w:p>
    <w:p>
      <w:pPr>
        <w:pStyle w:val="TextBody"/>
        <w:bidi w:val="0"/>
        <w:spacing w:before="0" w:after="0"/>
        <w:ind w:left="0" w:right="0" w:hanging="0"/>
        <w:jc w:val="center"/>
        <w:rPr>
          <w:rFonts w:ascii="Times New Roman;Times;serif" w:hAnsi="Times New Roman;Times;serif"/>
          <w:b/>
          <w:sz w:val="20"/>
        </w:rPr>
      </w:pPr>
      <w:bookmarkStart w:id="44" w:name="TOC"/>
      <w:bookmarkEnd w:id="44"/>
      <w:r>
        <w:rPr>
          <w:rFonts w:ascii="Times New Roman;Times;serif" w:hAnsi="Times New Roman;Times;serif"/>
          <w:b/>
          <w:sz w:val="20"/>
        </w:rPr>
        <w:t>INDEX</w:t>
      </w:r>
    </w:p>
    <w:p>
      <w:pPr>
        <w:pStyle w:val="TextBody"/>
        <w:bidi w:val="0"/>
        <w:spacing w:before="0" w:after="0"/>
        <w:ind w:left="0" w:right="0" w:hanging="0"/>
        <w:jc w:val="left"/>
        <w:rPr/>
      </w:pPr>
      <w:r>
        <w:rPr/>
        <w:t>​</w:t>
      </w:r>
    </w:p>
    <w:tbl>
      <w:tblPr>
        <w:tblW w:w="8342" w:type="dxa"/>
        <w:jc w:val="left"/>
        <w:tblInd w:w="0" w:type="dxa"/>
        <w:tblLayout w:type="fixed"/>
        <w:tblCellMar>
          <w:top w:w="0" w:type="dxa"/>
          <w:left w:w="0" w:type="dxa"/>
          <w:bottom w:w="0" w:type="dxa"/>
          <w:right w:w="0" w:type="dxa"/>
        </w:tblCellMar>
      </w:tblPr>
      <w:tblGrid>
        <w:gridCol w:w="7981"/>
        <w:gridCol w:w="361"/>
      </w:tblGrid>
      <w:tr>
        <w:trPr/>
        <w:tc>
          <w:tcPr>
            <w:tcW w:w="7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67935" cy="175260"/>
                      <wp:effectExtent l="0" t="0" r="0" b="0"/>
                      <wp:wrapNone/>
                      <wp:docPr id="13" name="Frame12"/>
                      <a:graphic xmlns:a="http://schemas.openxmlformats.org/drawingml/2006/main">
                        <a:graphicData uri="http://schemas.microsoft.com/office/word/2010/wordprocessingShape">
                          <wps:wsp>
                            <wps:cNvSpPr txBox="1"/>
                            <wps:spPr>
                              <a:xfrm>
                                <a:off x="0" y="0"/>
                                <a:ext cx="506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9235" cy="175260"/>
                      <wp:effectExtent l="0" t="0" r="0" b="0"/>
                      <wp:wrapNone/>
                      <wp:docPr id="14" name="Frame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81" w:type="dxa"/>
            <w:tcBorders/>
            <w:vAlign w:val="center"/>
          </w:tcPr>
          <w:p>
            <w:pPr>
              <w:pStyle w:val="TableContents"/>
              <w:pBdr/>
              <w:bidi w:val="0"/>
              <w:spacing w:before="0" w:after="0"/>
              <w:ind w:left="0" w:right="0" w:hanging="0"/>
              <w:jc w:val="left"/>
              <w:rPr/>
            </w:pPr>
            <w:hyperlink w:anchor="PARTIFINANCIALINFORMATION_184948">
              <w:r>
                <w:rPr>
                  <w:rStyle w:val="InternetLink"/>
                  <w:rFonts w:ascii="Times New Roman;Times;serif" w:hAnsi="Times New Roman;Times;serif"/>
                  <w:b w:val="false"/>
                  <w:i w:val="false"/>
                  <w:caps w:val="false"/>
                  <w:smallCaps w:val="false"/>
                  <w:sz w:val="20"/>
                </w:rPr>
                <w:t>PART I - FINANCIAL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FinancialStatements_240348">
              <w:r>
                <w:rPr>
                  <w:rStyle w:val="InternetLink"/>
                  <w:rFonts w:ascii="Times New Roman;Times;serif" w:hAnsi="Times New Roman;Times;serif"/>
                  <w:b w:val="false"/>
                  <w:i w:val="false"/>
                  <w:caps w:val="false"/>
                  <w:smallCaps w:val="false"/>
                  <w:sz w:val="20"/>
                </w:rPr>
                <w:t>Item 1. 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4ControlsandProcedures_905555">
              <w:r>
                <w:rPr>
                  <w:rStyle w:val="InternetLink"/>
                  <w:rFonts w:ascii="Times New Roman;Times;serif" w:hAnsi="Times New Roman;Times;serif"/>
                  <w:b w:val="false"/>
                  <w:i w:val="false"/>
                  <w:caps w:val="false"/>
                  <w:smallCaps w:val="false"/>
                  <w:sz w:val="20"/>
                </w:rPr>
                <w:t>Item 4. 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PARTIIOTHERINFORMATION_171956">
              <w:r>
                <w:rPr>
                  <w:rStyle w:val="InternetLink"/>
                  <w:rFonts w:ascii="Times New Roman;Times;serif" w:hAnsi="Times New Roman;Times;serif"/>
                  <w:b w:val="false"/>
                  <w:i w:val="false"/>
                  <w:caps w:val="false"/>
                  <w:smallCaps w:val="false"/>
                  <w:sz w:val="20"/>
                </w:rPr>
                <w:t>PART II –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LegalProceedings_899286">
              <w:r>
                <w:rPr>
                  <w:rStyle w:val="InternetLink"/>
                  <w:rFonts w:ascii="Times New Roman;Times;serif" w:hAnsi="Times New Roman;Times;serif"/>
                  <w:b w:val="false"/>
                  <w:i w:val="false"/>
                  <w:caps w:val="false"/>
                  <w:smallCaps w:val="false"/>
                  <w:sz w:val="20"/>
                </w:rPr>
                <w:t>Item 1. 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ARiskFactors_566555">
              <w:r>
                <w:rPr>
                  <w:rStyle w:val="InternetLink"/>
                  <w:rFonts w:ascii="Times New Roman;Times;serif" w:hAnsi="Times New Roman;Times;serif"/>
                  <w:b w:val="false"/>
                  <w:i w:val="false"/>
                  <w:caps w:val="false"/>
                  <w:smallCaps w:val="false"/>
                  <w:sz w:val="20"/>
                </w:rPr>
                <w:t>Item 1A. 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3DefaultsUponSeniorSecurities_774055">
              <w:r>
                <w:rPr>
                  <w:rStyle w:val="InternetLink"/>
                  <w:rFonts w:ascii="Times New Roman;Times;serif" w:hAnsi="Times New Roman;Times;serif"/>
                  <w:b w:val="false"/>
                  <w:i w:val="false"/>
                  <w:caps w:val="false"/>
                  <w:smallCaps w:val="false"/>
                  <w:sz w:val="20"/>
                </w:rPr>
                <w:t>Item 3. 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4MineSafetyDisclosures_549213">
              <w:r>
                <w:rPr>
                  <w:rStyle w:val="InternetLink"/>
                  <w:rFonts w:ascii="Times New Roman;Times;serif" w:hAnsi="Times New Roman;Times;serif"/>
                  <w:b w:val="false"/>
                  <w:i w:val="false"/>
                  <w:caps w:val="false"/>
                  <w:smallCaps w:val="false"/>
                  <w:sz w:val="20"/>
                </w:rPr>
                <w:t>Item 4. 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5OtherInformation_27695">
              <w:r>
                <w:rPr>
                  <w:rStyle w:val="InternetLink"/>
                  <w:rFonts w:ascii="Times New Roman;Times;serif" w:hAnsi="Times New Roman;Times;serif"/>
                  <w:b w:val="false"/>
                  <w:i w:val="false"/>
                  <w:caps w:val="false"/>
                  <w:smallCaps w:val="false"/>
                  <w:sz w:val="20"/>
                </w:rPr>
                <w:t>Item 5.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6Exhibits_285226">
              <w:r>
                <w:rPr>
                  <w:rStyle w:val="InternetLink"/>
                  <w:rFonts w:ascii="Times New Roman;Times;serif" w:hAnsi="Times New Roman;Times;serif"/>
                  <w:b w:val="false"/>
                  <w:i w:val="false"/>
                  <w:caps w:val="false"/>
                  <w:smallCaps w:val="false"/>
                  <w:sz w:val="20"/>
                </w:rPr>
                <w:t>Item 6. 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PARTIFINANCIALINFORMATION_184948"/>
      <w:bookmarkStart w:id="46" w:name="_528c3858_f203_4300_8fcd_29cf458445ff"/>
      <w:bookmarkEnd w:id="45"/>
      <w:bookmarkEnd w:id="46"/>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47" w:name="Item1FinancialStatements_240348"/>
      <w:bookmarkEnd w:id="4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48" w:name="Tc_r4IHWxHa0EOQ3NNR-X8vww_36_5"/>
      <w:bookmarkStart w:id="49" w:name="Tc_38rgOkQcV0CD8k1zVmVK-w_36_2"/>
      <w:bookmarkStart w:id="50" w:name="Tc_J0rvnAseBk6mcdb5CA-Lgg_36_0"/>
      <w:bookmarkStart w:id="51" w:name="Tc__Nw9ba5Y90W1zSgGEUcE-Q_35_0"/>
      <w:bookmarkStart w:id="52" w:name="Tc_HYYAQWnYhkKg8dT2N3mq6Q_34_0"/>
      <w:bookmarkStart w:id="53" w:name="Tc_vQSGACbeKUirijDla_xkgA_33_0"/>
      <w:bookmarkStart w:id="54" w:name="Tc_hnncXl5hqUWzoBgxBXkB8w_32_0"/>
      <w:bookmarkStart w:id="55" w:name="Tc_BPhXnN6uSEODOEhN8JLjmA_31_0"/>
      <w:bookmarkStart w:id="56" w:name="Tc_mXdol5yfpUSYTEDlAn7TfQ_30_0"/>
      <w:bookmarkStart w:id="57" w:name="Tc_zeQwI19BmUOhO0Rz8PH9UQ_29_0"/>
      <w:bookmarkStart w:id="58" w:name="Tc_gO-11pnKLkSD2eRFFepDnQ_27_0"/>
      <w:bookmarkStart w:id="59" w:name="Tc_vDGYGO3taEGYn2erZzw5aw_26_6"/>
      <w:bookmarkStart w:id="60" w:name="Tc_T9pqpi-vHUOfuPLGjI9mtQ_26_0"/>
      <w:bookmarkStart w:id="61" w:name="Tc_9IkUtGxQCU-sfO1cDWSc1w_24_0"/>
      <w:bookmarkStart w:id="62" w:name="Tc_5EixwWj9pkKRoJRQBKeT_g_23_0"/>
      <w:bookmarkStart w:id="63" w:name="Tc_vGYOhHsy9kOnkq-zEdHnkw_22_0"/>
      <w:bookmarkStart w:id="64" w:name="Tc_HDw-mqz4dE-CQtb6FmNHtA_21_0"/>
      <w:bookmarkStart w:id="65" w:name="Tc_otXOjrCvvUaX7uepkK3RSA_20_3"/>
      <w:bookmarkStart w:id="66" w:name="Tc_naheZHKuhkS9qAgVWVhxtw_20_0"/>
      <w:bookmarkStart w:id="67" w:name="Tc_jEbilBM1dE6XVLbVhanEiQ_19_3"/>
      <w:bookmarkStart w:id="68" w:name="Tc_My_ZPRLpyEGli4HJYZSeLQ_19_0"/>
      <w:bookmarkStart w:id="69" w:name="Tc_pXRGsyz0ikatrEWNMe_Vjw_18_0"/>
      <w:bookmarkStart w:id="70" w:name="Tc_C6Fe95nB4kKwAPWsoh5R-Q_17_5"/>
      <w:bookmarkStart w:id="71" w:name="Tc_E6UajLvB1kKHAs_BSIealg_17_2"/>
      <w:bookmarkStart w:id="72" w:name="Tc_YJpWo53SPky1cFT3uwccnA_17_0"/>
      <w:bookmarkStart w:id="73" w:name="Tc_j0lj-asYwEGifdaznMi-BQ_16_0"/>
      <w:bookmarkStart w:id="74" w:name="Tc_ul700MqUG0W2qce6DAaY8A_15_0"/>
      <w:bookmarkStart w:id="75" w:name="Tc_swLFMYP9xkW1G8cUZWW-eg_14_5"/>
      <w:bookmarkStart w:id="76" w:name="Tc_ZitSvg6FqE2ovzSKQxBRcA_14_2"/>
      <w:bookmarkStart w:id="77" w:name="Tc_ypRj2yJNQkmpsvTLQUy6gg_14_0"/>
      <w:bookmarkStart w:id="78" w:name="Tc_f6djMQ-OUEOuA_LE4Uc7og_13_0"/>
      <w:bookmarkStart w:id="79" w:name="Tc_7ebBb75TGUeg5h2OLX_V4w_12_0"/>
      <w:bookmarkStart w:id="80" w:name="Tc_1U6e3oLBakifiM4AXth2WQ_10_0"/>
      <w:bookmarkStart w:id="81" w:name="Tc_tXvy1Thj30W3VxKlG0efNw_9_0"/>
      <w:bookmarkStart w:id="82" w:name="Tc_WqpzR6_pXUqCs47c-2Z90g_8_0"/>
      <w:bookmarkStart w:id="83" w:name="Tc_hFRcWPJNpUi2PYgEGDMfUw_7_0"/>
      <w:bookmarkStart w:id="84" w:name="Tc_G-CK9_O9D0q9iefgIKIjKg_6_5"/>
      <w:bookmarkStart w:id="85" w:name="Tc_2SSqlbD0m0ea9D8tW-jxjA_6_2"/>
      <w:bookmarkStart w:id="86" w:name="Tc_YejXsbxLGUqNdGUZ3pd2NA_6_0"/>
      <w:bookmarkStart w:id="87" w:name="Tc_iAL5_AaXnEmj3iiDG9abGQ_5_0"/>
      <w:bookmarkStart w:id="88" w:name="Tc_3dw_mHB4Sk6rz_67BRbkSw_4_0"/>
      <w:bookmarkStart w:id="89" w:name="Tc_g3zy9JyKXUK6ogYlwAUNFg_3_6"/>
      <w:bookmarkStart w:id="90" w:name="Tc_vzIJ-F1NR0WRZboDyLAgcQ_3_2"/>
      <w:bookmarkStart w:id="91" w:name="Tc_A82DwUtTdkiLRHbo3fuVGg_2_5"/>
      <w:bookmarkStart w:id="92" w:name="Tc_AgPOe22PBEqQyQAKPTcq1g_2_2"/>
      <w:bookmarkStart w:id="93" w:name="Tc_G-zblS-Qz0ywDparhaWOTA_1_2"/>
      <w:bookmarkStart w:id="94" w:name="_6460aed7_7eb6_4804_8509_44fbbd9ed64b"/>
      <w:bookmarkStart w:id="95" w:name="Tc_r4IHWxHa0EOQ3NNR-X8vww_36_5"/>
      <w:bookmarkStart w:id="96" w:name="Tc_38rgOkQcV0CD8k1zVmVK-w_36_2"/>
      <w:bookmarkStart w:id="97" w:name="Tc_J0rvnAseBk6mcdb5CA-Lgg_36_0"/>
      <w:bookmarkStart w:id="98" w:name="Tc__Nw9ba5Y90W1zSgGEUcE-Q_35_0"/>
      <w:bookmarkStart w:id="99" w:name="Tc_HYYAQWnYhkKg8dT2N3mq6Q_34_0"/>
      <w:bookmarkStart w:id="100" w:name="Tc_vQSGACbeKUirijDla_xkgA_33_0"/>
      <w:bookmarkStart w:id="101" w:name="Tc_hnncXl5hqUWzoBgxBXkB8w_32_0"/>
      <w:bookmarkStart w:id="102" w:name="Tc_BPhXnN6uSEODOEhN8JLjmA_31_0"/>
      <w:bookmarkStart w:id="103" w:name="Tc_mXdol5yfpUSYTEDlAn7TfQ_30_0"/>
      <w:bookmarkStart w:id="104" w:name="Tc_zeQwI19BmUOhO0Rz8PH9UQ_29_0"/>
      <w:bookmarkStart w:id="105" w:name="Tc_gO-11pnKLkSD2eRFFepDnQ_27_0"/>
      <w:bookmarkStart w:id="106" w:name="Tc_vDGYGO3taEGYn2erZzw5aw_26_6"/>
      <w:bookmarkStart w:id="107" w:name="Tc_T9pqpi-vHUOfuPLGjI9mtQ_26_0"/>
      <w:bookmarkStart w:id="108" w:name="Tc_9IkUtGxQCU-sfO1cDWSc1w_24_0"/>
      <w:bookmarkStart w:id="109" w:name="Tc_5EixwWj9pkKRoJRQBKeT_g_23_0"/>
      <w:bookmarkStart w:id="110" w:name="Tc_vGYOhHsy9kOnkq-zEdHnkw_22_0"/>
      <w:bookmarkStart w:id="111" w:name="Tc_HDw-mqz4dE-CQtb6FmNHtA_21_0"/>
      <w:bookmarkStart w:id="112" w:name="Tc_otXOjrCvvUaX7uepkK3RSA_20_3"/>
      <w:bookmarkStart w:id="113" w:name="Tc_naheZHKuhkS9qAgVWVhxtw_20_0"/>
      <w:bookmarkStart w:id="114" w:name="Tc_jEbilBM1dE6XVLbVhanEiQ_19_3"/>
      <w:bookmarkStart w:id="115" w:name="Tc_My_ZPRLpyEGli4HJYZSeLQ_19_0"/>
      <w:bookmarkStart w:id="116" w:name="Tc_pXRGsyz0ikatrEWNMe_Vjw_18_0"/>
      <w:bookmarkStart w:id="117" w:name="Tc_C6Fe95nB4kKwAPWsoh5R-Q_17_5"/>
      <w:bookmarkStart w:id="118" w:name="Tc_E6UajLvB1kKHAs_BSIealg_17_2"/>
      <w:bookmarkStart w:id="119" w:name="Tc_YJpWo53SPky1cFT3uwccnA_17_0"/>
      <w:bookmarkStart w:id="120" w:name="Tc_j0lj-asYwEGifdaznMi-BQ_16_0"/>
      <w:bookmarkStart w:id="121" w:name="Tc_ul700MqUG0W2qce6DAaY8A_15_0"/>
      <w:bookmarkStart w:id="122" w:name="Tc_swLFMYP9xkW1G8cUZWW-eg_14_5"/>
      <w:bookmarkStart w:id="123" w:name="Tc_ZitSvg6FqE2ovzSKQxBRcA_14_2"/>
      <w:bookmarkStart w:id="124" w:name="Tc_ypRj2yJNQkmpsvTLQUy6gg_14_0"/>
      <w:bookmarkStart w:id="125" w:name="Tc_f6djMQ-OUEOuA_LE4Uc7og_13_0"/>
      <w:bookmarkStart w:id="126" w:name="Tc_7ebBb75TGUeg5h2OLX_V4w_12_0"/>
      <w:bookmarkStart w:id="127" w:name="Tc_1U6e3oLBakifiM4AXth2WQ_10_0"/>
      <w:bookmarkStart w:id="128" w:name="Tc_tXvy1Thj30W3VxKlG0efNw_9_0"/>
      <w:bookmarkStart w:id="129" w:name="Tc_WqpzR6_pXUqCs47c-2Z90g_8_0"/>
      <w:bookmarkStart w:id="130" w:name="Tc_hFRcWPJNpUi2PYgEGDMfUw_7_0"/>
      <w:bookmarkStart w:id="131" w:name="Tc_G-CK9_O9D0q9iefgIKIjKg_6_5"/>
      <w:bookmarkStart w:id="132" w:name="Tc_2SSqlbD0m0ea9D8tW-jxjA_6_2"/>
      <w:bookmarkStart w:id="133" w:name="Tc_YejXsbxLGUqNdGUZ3pd2NA_6_0"/>
      <w:bookmarkStart w:id="134" w:name="Tc_iAL5_AaXnEmj3iiDG9abGQ_5_0"/>
      <w:bookmarkStart w:id="135" w:name="Tc_3dw_mHB4Sk6rz_67BRbkSw_4_0"/>
      <w:bookmarkStart w:id="136" w:name="Tc_g3zy9JyKXUK6ogYlwAUNFg_3_6"/>
      <w:bookmarkStart w:id="137" w:name="Tc_vzIJ-F1NR0WRZboDyLAgcQ_3_2"/>
      <w:bookmarkStart w:id="138" w:name="Tc_A82DwUtTdkiLRHbo3fuVGg_2_5"/>
      <w:bookmarkStart w:id="139" w:name="Tc_AgPOe22PBEqQyQAKPTcq1g_2_2"/>
      <w:bookmarkStart w:id="140" w:name="Tc_G-zblS-Qz0ywDparhaWOTA_1_2"/>
      <w:bookmarkStart w:id="141" w:name="_6460aed7_7eb6_4804_8509_44fbbd9ed64b"/>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6461"/>
        <w:gridCol w:w="326"/>
        <w:gridCol w:w="310"/>
        <w:gridCol w:w="1236"/>
        <w:gridCol w:w="326"/>
        <w:gridCol w:w="297"/>
        <w:gridCol w:w="1249"/>
      </w:tblGrid>
      <w:tr>
        <w:trPr/>
        <w:tc>
          <w:tcPr>
            <w:tcW w:w="6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102735" cy="175260"/>
                      <wp:effectExtent l="0" t="0" r="0" b="0"/>
                      <wp:wrapNone/>
                      <wp:docPr id="15" name="Frame14"/>
                      <a:graphic xmlns:a="http://schemas.openxmlformats.org/drawingml/2006/main">
                        <a:graphicData uri="http://schemas.microsoft.com/office/word/2010/wordprocessingShape">
                          <wps:wsp>
                            <wps:cNvSpPr txBox="1"/>
                            <wps:spPr>
                              <a:xfrm>
                                <a:off x="0" y="0"/>
                                <a:ext cx="410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96850" cy="175260"/>
                      <wp:effectExtent l="0" t="0" r="0" b="0"/>
                      <wp:wrapNone/>
                      <wp:docPr id="17" name="Frame1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84860" cy="175260"/>
                      <wp:effectExtent l="0" t="0" r="0" b="0"/>
                      <wp:wrapNone/>
                      <wp:docPr id="18" name="Frame17"/>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88595" cy="175260"/>
                      <wp:effectExtent l="0" t="0" r="0" b="0"/>
                      <wp:wrapNone/>
                      <wp:docPr id="20" name="Frame1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93115" cy="175260"/>
                      <wp:effectExtent l="0" t="0" r="0" b="0"/>
                      <wp:wrapNone/>
                      <wp:docPr id="21" name="Frame2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r>
      <w:tr>
        <w:trPr/>
        <w:tc>
          <w:tcPr>
            <w:tcW w:w="6461"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12,898</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2,912</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w:t>
            </w:r>
          </w:p>
        </w:tc>
      </w:tr>
      <w:tr>
        <w:trPr/>
        <w:tc>
          <w:tcPr>
            <w:tcW w:w="6461" w:type="dxa"/>
            <w:tcBorders/>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 (DEFICIT)</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loan payable, net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3,396</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4,872</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4,111</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4,872</w:t>
            </w:r>
          </w:p>
        </w:tc>
      </w:tr>
      <w:tr>
        <w:trPr/>
        <w:tc>
          <w:tcPr>
            <w:tcW w:w="64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lef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$0.00001 par value, 10,000,000 shares authorized as of September 30, 2025 and December 31, 2024; no shares issued or outstanding as of September 30, 2025 and December 31, 2024.</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$0.00001 par value, 200,000,000 shares authorized as of September 30, 2025 and December 31, 2024; 1,824,844 and 452,533 shares issued and outstanding as of September 30, 2025 and December 31, 2024,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422,432</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399,362</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(408,707)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(400,440)</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 (deficit)</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13,726</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3,795</w:t>
            </w:r>
          </w:p>
        </w:tc>
      </w:tr>
    </w:tbl>
    <w:p>
      <w:pPr>
        <w:pStyle w:val="TextBody"/>
        <w:bidi w:val="0"/>
        <w:spacing w:before="0" w:after="240"/>
        <w:ind w:left="0" w:right="0" w:hanging="0"/>
        <w:jc w:val="left"/>
        <w:rPr/>
      </w:pPr>
      <w:r>
        <w:rPr/>
        <w:t>​</w:t>
      </w:r>
    </w:p>
    <w:tbl>
      <w:tblPr>
        <w:tblW w:w="9816" w:type="dxa"/>
        <w:jc w:val="left"/>
        <w:tblInd w:w="0" w:type="dxa"/>
        <w:tblLayout w:type="fixed"/>
        <w:tblCellMar>
          <w:top w:w="28" w:type="dxa"/>
          <w:left w:w="28" w:type="dxa"/>
          <w:bottom w:w="28" w:type="dxa"/>
          <w:right w:w="28" w:type="dxa"/>
        </w:tblCellMar>
      </w:tblPr>
      <w:tblGrid>
        <w:gridCol w:w="124"/>
        <w:gridCol w:w="331"/>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condensed balance sheet as of December 31, 2024 was derived from the audited balance sheet as of that date.</w:t>
            </w:r>
            <w:r>
              <w:rPr>
                <w:caps w:val="false"/>
                <w:smallCaps w:val="false"/>
              </w:rPr>
              <w:t xml:space="preserve"> </w:t>
            </w:r>
          </w:p>
        </w:tc>
      </w:tr>
    </w:tbl>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w:t>
      </w:r>
      <w:r>
        <w:rPr>
          <w:rFonts w:ascii="Times New Roman;Times;serif" w:hAnsi="Times New Roman;Times;serif"/>
          <w:b w:val="false"/>
          <w:i w:val="false"/>
          <w:caps w:val="false"/>
          <w:smallCaps w:val="false"/>
          <w:sz w:val="20"/>
        </w:rPr>
        <w:t xml:space="preserve">30 </w:t>
      </w:r>
      <w:r>
        <w:rPr>
          <w:rFonts w:ascii="Times New Roman;Times;serif" w:hAnsi="Times New Roman;Times;serif"/>
          <w:sz w:val="20"/>
        </w:rPr>
        <w:t>reverse stock split effected in August 2025, as discussed in Note 1.</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2" w:name="_fcb47cc0_da48_472e_b28c_2126a7f323b5"/>
      <w:bookmarkEnd w:id="142"/>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143" w:name="Tc_YfJ7gf0ri0i4YCR8WQ2uHA_21_0"/>
      <w:bookmarkStart w:id="144" w:name="Tc_tSEasUMm60emKE-S2h3GDw_20_11"/>
      <w:bookmarkStart w:id="145" w:name="Tc_UTTZ63K1Vk2OxESexjaSbQ_20_8"/>
      <w:bookmarkStart w:id="146" w:name="Tc_lHBSuS2u1kS_jntoo4C0ZQ_20_5"/>
      <w:bookmarkStart w:id="147" w:name="Tc_U7RPMq9lKkyjGAaKJk-C_Q_20_2"/>
      <w:bookmarkStart w:id="148" w:name="Tc_YaATwbs3qUiEGB8z-wP84g_20_0"/>
      <w:bookmarkStart w:id="149" w:name="Tc_F39LZWYDn0217vo8gdqCIg_19_11"/>
      <w:bookmarkStart w:id="150" w:name="Tc_WROl5YF4TECW0PDiVK3iCg_19_8"/>
      <w:bookmarkStart w:id="151" w:name="Tc_TDelfARrHEuqvL2cudIWwA_19_5"/>
      <w:bookmarkStart w:id="152" w:name="Tc_ijTd4ILFgEKg0F7OYVeiWw_19_2"/>
      <w:bookmarkStart w:id="153" w:name="Tc_tAGG35X1mU6CZnfgHHYmbw_19_0"/>
      <w:bookmarkStart w:id="154" w:name="Tc_C3Tn9NIp_061ACaLFwH1fw_18_0"/>
      <w:bookmarkStart w:id="155" w:name="Tc_V-or3jUmrEek_lwQXmmHxQ_17_12"/>
      <w:bookmarkStart w:id="156" w:name="Tc_YdldBHbI1kOPdPDcA55Vvw_17_6"/>
      <w:bookmarkStart w:id="157" w:name="Tc_3UnwKMMQOEC35JEkI0f83Q_17_3"/>
      <w:bookmarkStart w:id="158" w:name="Tc_WoFR1hWAOkyaLctgnt89NA_17_0"/>
      <w:bookmarkStart w:id="159" w:name="Tc_bys6wxQCoUCRDiXCPWwA9g_16_0"/>
      <w:bookmarkStart w:id="160" w:name="Tc_2xkAh0ybj0Cb4eNSs8WBZg_15_0"/>
      <w:bookmarkStart w:id="161" w:name="Tc_BgtoUhqHEkmyBSC3VbKARw_14_0"/>
      <w:bookmarkStart w:id="162" w:name="Tc_zMfAWR5QTku-QSHO68qH7Q_13_0"/>
      <w:bookmarkStart w:id="163" w:name="Tc_NabEcKAIaEGF4t8gFcchRA_12_0"/>
      <w:bookmarkStart w:id="164" w:name="Tc_6TTN33MENkyBwIX88ubP8Q_11_12"/>
      <w:bookmarkStart w:id="165" w:name="Tc_KjnOjuZvZUKzarHZbrDDug_11_6"/>
      <w:bookmarkStart w:id="166" w:name="Tc_9Nvex4pTAUaAOCjjoeiSfQ_11_3"/>
      <w:bookmarkStart w:id="167" w:name="Tc_UeN0K7_-F0yaBc8RxuN31A_11_0"/>
      <w:bookmarkStart w:id="168" w:name="Tc_l67xkHJUXESvn3VqS_pUNw_10_0"/>
      <w:bookmarkStart w:id="169" w:name="Tc_UkHt40qGZ0ujIJto9tDXTQ_9_0"/>
      <w:bookmarkStart w:id="170" w:name="Tc_9ZRHZUVzFUiQRJg39aYmrQ_8_0"/>
      <w:bookmarkStart w:id="171" w:name="Tc_Pp_bQAbooUiF9DE-XQOvgA_7_0"/>
      <w:bookmarkStart w:id="172" w:name="Tc_ge_lK7RYXky4BZY6SBzduw_6_0"/>
      <w:bookmarkStart w:id="173" w:name="Tc_GRDM6ZdtwkqDSfmic8M6bg_5_0"/>
      <w:bookmarkStart w:id="174" w:name="Tc_tvC8M3YGV06WenQnhsBq7A_4_0"/>
      <w:bookmarkStart w:id="175" w:name="Tc_tFtTmeAxLEqfonl0cBJOog_3_11"/>
      <w:bookmarkStart w:id="176" w:name="Tc_rUCSdEfm6ke6ycnzH-UxCA_3_8"/>
      <w:bookmarkStart w:id="177" w:name="Tc_sEa_hPFS60qsj0zQvSwXsA_3_5"/>
      <w:bookmarkStart w:id="178" w:name="Tc_lRakaDyuiU2TAW0gq-Pa4w_3_2"/>
      <w:bookmarkStart w:id="179" w:name="Tc_27R5d5nr4EOoTtLZet7ljg_3_0"/>
      <w:bookmarkStart w:id="180" w:name="Tc_w8TIdXmd2kurm4OzJw5Cmg_2_11"/>
      <w:bookmarkStart w:id="181" w:name="Tc_mPs-gwkFKESEFqmHQRP4Og_2_8"/>
      <w:bookmarkStart w:id="182" w:name="Tc_LnoMvtnbKEys614Dh7XNgA_2_5"/>
      <w:bookmarkStart w:id="183" w:name="Tc_6EuuggU4x0OuPghHmuK6mQ_2_2"/>
      <w:bookmarkStart w:id="184" w:name="Tc_x2_levc660SwDglof0J_7g_1_8"/>
      <w:bookmarkStart w:id="185" w:name="Tc_cGXNFtqqn0-xEen4-PoJlw_1_2"/>
      <w:bookmarkStart w:id="186" w:name="_ab1532d6_e98f_4d90_921c_5a61801ea59d"/>
      <w:bookmarkStart w:id="187" w:name="_088c38cb_98a7_45a8_85d2_aa8a304d16b6"/>
      <w:bookmarkStart w:id="188" w:name="Tc_YfJ7gf0ri0i4YCR8WQ2uHA_21_0"/>
      <w:bookmarkStart w:id="189" w:name="Tc_tSEasUMm60emKE-S2h3GDw_20_11"/>
      <w:bookmarkStart w:id="190" w:name="Tc_UTTZ63K1Vk2OxESexjaSbQ_20_8"/>
      <w:bookmarkStart w:id="191" w:name="Tc_lHBSuS2u1kS_jntoo4C0ZQ_20_5"/>
      <w:bookmarkStart w:id="192" w:name="Tc_U7RPMq9lKkyjGAaKJk-C_Q_20_2"/>
      <w:bookmarkStart w:id="193" w:name="Tc_YaATwbs3qUiEGB8z-wP84g_20_0"/>
      <w:bookmarkStart w:id="194" w:name="Tc_F39LZWYDn0217vo8gdqCIg_19_11"/>
      <w:bookmarkStart w:id="195" w:name="Tc_WROl5YF4TECW0PDiVK3iCg_19_8"/>
      <w:bookmarkStart w:id="196" w:name="Tc_TDelfARrHEuqvL2cudIWwA_19_5"/>
      <w:bookmarkStart w:id="197" w:name="Tc_ijTd4ILFgEKg0F7OYVeiWw_19_2"/>
      <w:bookmarkStart w:id="198" w:name="Tc_tAGG35X1mU6CZnfgHHYmbw_19_0"/>
      <w:bookmarkStart w:id="199" w:name="Tc_C3Tn9NIp_061ACaLFwH1fw_18_0"/>
      <w:bookmarkStart w:id="200" w:name="Tc_V-or3jUmrEek_lwQXmmHxQ_17_12"/>
      <w:bookmarkStart w:id="201" w:name="Tc_YdldBHbI1kOPdPDcA55Vvw_17_6"/>
      <w:bookmarkStart w:id="202" w:name="Tc_3UnwKMMQOEC35JEkI0f83Q_17_3"/>
      <w:bookmarkStart w:id="203" w:name="Tc_WoFR1hWAOkyaLctgnt89NA_17_0"/>
      <w:bookmarkStart w:id="204" w:name="Tc_bys6wxQCoUCRDiXCPWwA9g_16_0"/>
      <w:bookmarkStart w:id="205" w:name="Tc_2xkAh0ybj0Cb4eNSs8WBZg_15_0"/>
      <w:bookmarkStart w:id="206" w:name="Tc_BgtoUhqHEkmyBSC3VbKARw_14_0"/>
      <w:bookmarkStart w:id="207" w:name="Tc_zMfAWR5QTku-QSHO68qH7Q_13_0"/>
      <w:bookmarkStart w:id="208" w:name="Tc_NabEcKAIaEGF4t8gFcchRA_12_0"/>
      <w:bookmarkStart w:id="209" w:name="Tc_6TTN33MENkyBwIX88ubP8Q_11_12"/>
      <w:bookmarkStart w:id="210" w:name="Tc_KjnOjuZvZUKzarHZbrDDug_11_6"/>
      <w:bookmarkStart w:id="211" w:name="Tc_9Nvex4pTAUaAOCjjoeiSfQ_11_3"/>
      <w:bookmarkStart w:id="212" w:name="Tc_UeN0K7_-F0yaBc8RxuN31A_11_0"/>
      <w:bookmarkStart w:id="213" w:name="Tc_l67xkHJUXESvn3VqS_pUNw_10_0"/>
      <w:bookmarkStart w:id="214" w:name="Tc_UkHt40qGZ0ujIJto9tDXTQ_9_0"/>
      <w:bookmarkStart w:id="215" w:name="Tc_9ZRHZUVzFUiQRJg39aYmrQ_8_0"/>
      <w:bookmarkStart w:id="216" w:name="Tc_Pp_bQAbooUiF9DE-XQOvgA_7_0"/>
      <w:bookmarkStart w:id="217" w:name="Tc_ge_lK7RYXky4BZY6SBzduw_6_0"/>
      <w:bookmarkStart w:id="218" w:name="Tc_GRDM6ZdtwkqDSfmic8M6bg_5_0"/>
      <w:bookmarkStart w:id="219" w:name="Tc_tvC8M3YGV06WenQnhsBq7A_4_0"/>
      <w:bookmarkStart w:id="220" w:name="Tc_tFtTmeAxLEqfonl0cBJOog_3_11"/>
      <w:bookmarkStart w:id="221" w:name="Tc_rUCSdEfm6ke6ycnzH-UxCA_3_8"/>
      <w:bookmarkStart w:id="222" w:name="Tc_sEa_hPFS60qsj0zQvSwXsA_3_5"/>
      <w:bookmarkStart w:id="223" w:name="Tc_lRakaDyuiU2TAW0gq-Pa4w_3_2"/>
      <w:bookmarkStart w:id="224" w:name="Tc_27R5d5nr4EOoTtLZet7ljg_3_0"/>
      <w:bookmarkStart w:id="225" w:name="Tc_w8TIdXmd2kurm4OzJw5Cmg_2_11"/>
      <w:bookmarkStart w:id="226" w:name="Tc_mPs-gwkFKESEFqmHQRP4Og_2_8"/>
      <w:bookmarkStart w:id="227" w:name="Tc_LnoMvtnbKEys614Dh7XNgA_2_5"/>
      <w:bookmarkStart w:id="228" w:name="Tc_6EuuggU4x0OuPghHmuK6mQ_2_2"/>
      <w:bookmarkStart w:id="229" w:name="Tc_x2_levc660SwDglof0J_7g_1_8"/>
      <w:bookmarkStart w:id="230" w:name="Tc_cGXNFtqqn0-xEen4-PoJlw_1_2"/>
      <w:bookmarkStart w:id="231" w:name="_ab1532d6_e98f_4d90_921c_5a61801ea59d"/>
      <w:bookmarkStart w:id="232" w:name="_088c38cb_98a7_45a8_85d2_aa8a304d16b6"/>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tbl>
      <w:tblPr>
        <w:tblW w:w="10205" w:type="dxa"/>
        <w:jc w:val="left"/>
        <w:tblInd w:w="0" w:type="dxa"/>
        <w:tblLayout w:type="fixed"/>
        <w:tblCellMar>
          <w:top w:w="0" w:type="dxa"/>
          <w:left w:w="0" w:type="dxa"/>
          <w:bottom w:w="0" w:type="dxa"/>
          <w:right w:w="0" w:type="dxa"/>
        </w:tblCellMar>
      </w:tblPr>
      <w:tblGrid>
        <w:gridCol w:w="3499"/>
        <w:gridCol w:w="326"/>
        <w:gridCol w:w="259"/>
        <w:gridCol w:w="1144"/>
        <w:gridCol w:w="400"/>
        <w:gridCol w:w="259"/>
        <w:gridCol w:w="959"/>
        <w:gridCol w:w="326"/>
        <w:gridCol w:w="249"/>
        <w:gridCol w:w="1100"/>
        <w:gridCol w:w="384"/>
        <w:gridCol w:w="249"/>
        <w:gridCol w:w="1051"/>
      </w:tblGrid>
      <w:tr>
        <w:trPr/>
        <w:tc>
          <w:tcPr>
            <w:tcW w:w="3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221865" cy="175260"/>
                      <wp:effectExtent l="0" t="0" r="0" b="0"/>
                      <wp:wrapNone/>
                      <wp:docPr id="22" name="Frame21"/>
                      <a:graphic xmlns:a="http://schemas.openxmlformats.org/drawingml/2006/main">
                        <a:graphicData uri="http://schemas.microsoft.com/office/word/2010/wordprocessingShape">
                          <wps:wsp>
                            <wps:cNvSpPr txBox="1"/>
                            <wps:spPr>
                              <a:xfrm>
                                <a:off x="0" y="0"/>
                                <a:ext cx="2221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64465" cy="175260"/>
                      <wp:effectExtent l="0" t="0" r="0" b="0"/>
                      <wp:wrapNone/>
                      <wp:docPr id="24" name="Frame23"/>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26440" cy="175260"/>
                      <wp:effectExtent l="0" t="0" r="0" b="0"/>
                      <wp:wrapNone/>
                      <wp:docPr id="25" name="Frame24"/>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54000" cy="175260"/>
                      <wp:effectExtent l="0" t="0" r="0" b="0"/>
                      <wp:wrapNone/>
                      <wp:docPr id="26" name="Frame25"/>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64465" cy="175260"/>
                      <wp:effectExtent l="0" t="0" r="0" b="0"/>
                      <wp:wrapNone/>
                      <wp:docPr id="27" name="Frame2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08965" cy="175260"/>
                      <wp:effectExtent l="0" t="0" r="0" b="0"/>
                      <wp:wrapNone/>
                      <wp:docPr id="28" name="Frame27"/>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8115" cy="175260"/>
                      <wp:effectExtent l="0" t="0" r="0" b="0"/>
                      <wp:wrapNone/>
                      <wp:docPr id="30" name="Frame2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8500" cy="175260"/>
                      <wp:effectExtent l="0" t="0" r="0" b="0"/>
                      <wp:wrapNone/>
                      <wp:docPr id="31" name="Frame30"/>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43840" cy="175260"/>
                      <wp:effectExtent l="0" t="0" r="0" b="0"/>
                      <wp:wrapNone/>
                      <wp:docPr id="32" name="Frame31"/>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8115" cy="175260"/>
                      <wp:effectExtent l="0" t="0" r="0" b="0"/>
                      <wp:wrapNone/>
                      <wp:docPr id="33" name="Frame3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7385" cy="175260"/>
                      <wp:effectExtent l="0" t="0" r="0" b="0"/>
                      <wp:wrapNone/>
                      <wp:docPr id="34" name="Frame3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2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1"/>
              <w:ind w:left="0" w:right="0" w:hanging="0"/>
              <w:jc w:val="center"/>
              <w:rPr/>
            </w:pPr>
            <w:r>
              <w:rPr/>
              <w:t>    </w:t>
            </w:r>
          </w:p>
        </w:tc>
        <w:tc>
          <w:tcPr>
            <w:tcW w:w="30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34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0" w:type="dxa"/>
            <w:tcBorders/>
            <w:vAlign w:val="center"/>
          </w:tcPr>
          <w:p>
            <w:pPr>
              <w:pStyle w:val="TableContents"/>
              <w:bidi w:val="0"/>
              <w:spacing w:before="0" w:after="1"/>
              <w:ind w:left="0" w:right="0" w:hanging="0"/>
              <w:jc w:val="center"/>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3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4" w:type="dxa"/>
            <w:tcBorders/>
            <w:vAlign w:val="center"/>
          </w:tcPr>
          <w:p>
            <w:pPr>
              <w:pStyle w:val="TableContents"/>
              <w:bidi w:val="0"/>
              <w:spacing w:before="0" w:after="1"/>
              <w:ind w:left="0" w:right="0" w:hanging="0"/>
              <w:jc w:val="center"/>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400"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c>
          <w:tcPr>
            <w:tcW w:w="384"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pPr>
            <w:r>
              <w:rPr/>
              <w:t>​</w:t>
            </w:r>
          </w:p>
        </w:tc>
        <w:tc>
          <w:tcPr>
            <w:tcW w:w="384"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5,956</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Sales and marketing </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400"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11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c>
          <w:tcPr>
            <w:tcW w:w="384"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4,976</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400"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11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84"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w:t>
            </w:r>
          </w:p>
        </w:tc>
        <w:tc>
          <w:tcPr>
            <w:tcW w:w="400"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3,505</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9,471</w:t>
            </w:r>
          </w:p>
        </w:tc>
        <w:tc>
          <w:tcPr>
            <w:tcW w:w="384"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14,700</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(2,191)</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(8,582)</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(14,897)</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1100" w:type="dxa"/>
            <w:tcBorders/>
            <w:vAlign w:val="center"/>
          </w:tcPr>
          <w:p>
            <w:pPr>
              <w:pStyle w:val="TableContents"/>
              <w:bidi w:val="0"/>
              <w:spacing w:before="0" w:after="1"/>
              <w:ind w:left="0" w:right="0" w:hanging="0"/>
              <w:jc w:val="right"/>
              <w:rPr/>
            </w:pPr>
            <w:r>
              <w:rPr/>
              <w:t>​</w:t>
            </w:r>
          </w:p>
        </w:tc>
        <w:tc>
          <w:tcPr>
            <w:tcW w:w="384"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11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11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400"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11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84"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400"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84"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(2,113)</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(8,267)</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(14,269)</w:t>
            </w:r>
          </w:p>
        </w:tc>
      </w:tr>
      <w:tr>
        <w:trPr/>
        <w:tc>
          <w:tcPr>
            <w:tcW w:w="34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loss per common share</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400" w:type="dxa"/>
            <w:tcBorders/>
            <w:vAlign w:val="center"/>
          </w:tcPr>
          <w:p>
            <w:pPr>
              <w:pStyle w:val="TableContents"/>
              <w:bidi w:val="0"/>
              <w:spacing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84"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(66.40)</w:t>
            </w:r>
          </w:p>
        </w:tc>
      </w:tr>
      <w:tr>
        <w:trPr/>
        <w:tc>
          <w:tcPr>
            <w:tcW w:w="34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1,610,246</w:t>
            </w:r>
          </w:p>
        </w:tc>
        <w:tc>
          <w:tcPr>
            <w:tcW w:w="400"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227,810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1,251,192</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214,883</w:t>
            </w:r>
          </w:p>
        </w:tc>
      </w:tr>
    </w:tbl>
    <w:p>
      <w:pPr>
        <w:pStyle w:val="TextBody"/>
        <w:bidi w:val="0"/>
        <w:spacing w:before="0" w:after="240"/>
        <w:ind w:left="0" w:right="0" w:hanging="0"/>
        <w:jc w:val="left"/>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reverse stock split effected in August 2025, as discussed in Note 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3" w:name="_32467e20_d4e7_449a_8e58_a38527f603dc"/>
      <w:bookmarkEnd w:id="233"/>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 OF CHANGES IN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4" w:name="Tc_JyJOAJ3nikuFWhdtGDxBzw_24_13"/>
      <w:bookmarkStart w:id="235" w:name="Tc_YiFbqujgJkGEkymqniMU8g_24_10"/>
      <w:bookmarkStart w:id="236" w:name="Tc_87M3ktIInESXCxTScVmmcg_24_7"/>
      <w:bookmarkStart w:id="237" w:name="Tc_xNcCSnK7T061ypoH-iiOMA_24_4"/>
      <w:bookmarkStart w:id="238" w:name="Tc_CEnTw-KeP0qQG-v7xAqmPA_24_0"/>
      <w:bookmarkStart w:id="239" w:name="Tc_L9HYsCNu7E6zZzIWto1NUQ_23_8"/>
      <w:bookmarkStart w:id="240" w:name="Tc_6MdrT--IE0Gcqz8y8Ca3Ow_23_5"/>
      <w:bookmarkStart w:id="241" w:name="Tc_-DURE6NMJU-gmiynFPKLlw_23_2"/>
      <w:bookmarkStart w:id="242" w:name="Tc_3_QAZElCfUK5YQuyA8sG2w_23_0"/>
      <w:bookmarkStart w:id="243" w:name="Tc_LGQVT0PQKE-zakR7Dr57Mw_22_11"/>
      <w:bookmarkStart w:id="244" w:name="Tc_PQK0KYv35U2MnSa9WWAQTQ_22_5"/>
      <w:bookmarkStart w:id="245" w:name="Tc_RDYhXLYBUUGOL8MsnyjtTw_22_0"/>
      <w:bookmarkStart w:id="246" w:name="Tc_RBwZZVyp_0Sans3cd---5w_21_11"/>
      <w:bookmarkStart w:id="247" w:name="Tc_mMSnNPucjEe12IM8jSUhmQ_21_5"/>
      <w:bookmarkStart w:id="248" w:name="Tc_mN9DQG0KDkmz6QOq53SpIA_21_0"/>
      <w:bookmarkStart w:id="249" w:name="Tc_xRU2xmOwRU2NdU9vJfT9hw_20_14"/>
      <w:bookmarkStart w:id="250" w:name="Tc_koFwa5me_UCnHCZYWysqHw_20_11"/>
      <w:bookmarkStart w:id="251" w:name="Tc_WvvbL66xI0eXLEgItsfukA_20_8"/>
      <w:bookmarkStart w:id="252" w:name="Tc_wJp0Sej8Vka9ZrIWS0QRrA_20_5"/>
      <w:bookmarkStart w:id="253" w:name="Tc_hijzzMLiNkKNpE1639ToDA_20_0"/>
      <w:bookmarkStart w:id="254" w:name="Tc_ovumfNNTcEG2Xt84deVs1w_19_11"/>
      <w:bookmarkStart w:id="255" w:name="Tc_8Wf_tmIAUUGK47iw2lOA4g_19_5"/>
      <w:bookmarkStart w:id="256" w:name="Tc_WvcDtmt_gEqba8CSMtNDxg_19_2"/>
      <w:bookmarkStart w:id="257" w:name="Tc_gGb_8G9Htk6r-QB5Ctepcw_19_0"/>
      <w:bookmarkStart w:id="258" w:name="Tc_5a290mco3kKa3g07ezo-4w_18_11"/>
      <w:bookmarkStart w:id="259" w:name="Tc_gOjxcSw1MUumATHIBnb5gw_18_5"/>
      <w:bookmarkStart w:id="260" w:name="Tc_KYGedOdbLUmKdyHhuCUlgw_18_0"/>
      <w:bookmarkStart w:id="261" w:name="Tc_WWHV-gyV8EirNFP_eGnSxA_17_14"/>
      <w:bookmarkStart w:id="262" w:name="Tc__AxK7pG5TkC2duE9XS0bwg_17_11"/>
      <w:bookmarkStart w:id="263" w:name="Tc_oMpaCOM-F0C6DJll5bB6dQ_17_8"/>
      <w:bookmarkStart w:id="264" w:name="Tc_-t7tCZv3iUOQ7mL1j1kuHQ_17_5"/>
      <w:bookmarkStart w:id="265" w:name="Tc_Ac-r2GqPhkCo6ubTbQAABQ_17_0"/>
      <w:bookmarkStart w:id="266" w:name="Tc_a2r13prn90GX4BX-ptB8ww_16_11"/>
      <w:bookmarkStart w:id="267" w:name="Tc_qH5rN00JLEmG1whtL0bUqA_16_5"/>
      <w:bookmarkStart w:id="268" w:name="Tc_x1XKo4tTVES2XV2B_TLm5w_16_2"/>
      <w:bookmarkStart w:id="269" w:name="Tc_sTdFv6boVUa6mCio8dGeMw_16_0"/>
      <w:bookmarkStart w:id="270" w:name="Tc_-b36MBJ-_0y0RCzONpKOUg_15_0"/>
      <w:bookmarkStart w:id="271" w:name="Tc_qGcTc96OMkWAsEPtN-UfWw_14_8"/>
      <w:bookmarkStart w:id="272" w:name="Tc_H-YP-mNtpU6phcvQv13kKw_14_5"/>
      <w:bookmarkStart w:id="273" w:name="Tc_WOPDjzg_b0C86VmtUl7F3g_14_2"/>
      <w:bookmarkStart w:id="274" w:name="Tc_t_nMN9S1Nka1yoGx4z_4JQ_14_0"/>
      <w:bookmarkStart w:id="275" w:name="Tc_-psDPJmiAUSHGWhedq8eIw_13_11"/>
      <w:bookmarkStart w:id="276" w:name="Tc_T4h5Q06rY0uZNtums8u38A_13_5"/>
      <w:bookmarkStart w:id="277" w:name="Tc___hkUBLoJk-5AeTOBXaB8g_13_0"/>
      <w:bookmarkStart w:id="278" w:name="Tc__2bgCnE8_02hTpt0nuiWzw_12_14"/>
      <w:bookmarkStart w:id="279" w:name="Tc_6LKFrP6-R0StTuLjQgpU_A_12_11"/>
      <w:bookmarkStart w:id="280" w:name="Tc_0wcrSzt7iEmUsL_lAJx5QQ_12_8"/>
      <w:bookmarkStart w:id="281" w:name="Tc_0rLF35Rm-EqH85X_u3Uihg_12_5"/>
      <w:bookmarkStart w:id="282" w:name="Tc_S8C2MsKPq0mg9JyfgKGi1Q_12_0"/>
      <w:bookmarkStart w:id="283" w:name="Tc_4SyrLkmj7UCqjuqQPQkwQg_11_11"/>
      <w:bookmarkStart w:id="284" w:name="Tc_9fZSBh_mKku_wo7vyuYhkQ_11_5"/>
      <w:bookmarkStart w:id="285" w:name="Tc_vfheXsz2MEWHqHXS-JA3rg_11_2"/>
      <w:bookmarkStart w:id="286" w:name="Tc_WTrq0jG9hU-9wgGGuaXXdw_11_0"/>
      <w:bookmarkStart w:id="287" w:name="Tc_3NMYQSGfvUmZBPQ_GdHLIw_10_0"/>
      <w:bookmarkStart w:id="288" w:name="Tc_CJ3Y5I7r_kmrX3N3BIYHVg_9_8"/>
      <w:bookmarkStart w:id="289" w:name="Tc_FwJpD0yvPUu4mEXtMraVMw_9_5"/>
      <w:bookmarkStart w:id="290" w:name="Tc_MQIQidkALUW8X7dgkRowcQ_9_2"/>
      <w:bookmarkStart w:id="291" w:name="Tc_seW-5nJzjUmrdBdjG2OVdQ_9_0"/>
      <w:bookmarkStart w:id="292" w:name="Tc_7A3ZOD6c_0-HpirNLzoSyw_8_11"/>
      <w:bookmarkStart w:id="293" w:name="Tc_YCCACuT6KEqY_WLwn-bUeQ_8_5"/>
      <w:bookmarkStart w:id="294" w:name="Tc_ViF2WIf40EyEF0IMW-rt4A_8_0"/>
      <w:bookmarkStart w:id="295" w:name="Tc_fQ3WkQZbaEKgAEO6tUrVwA_7_11"/>
      <w:bookmarkStart w:id="296" w:name="Tc_DF2PUdlcP0C7MU6qS9Xi-Q_7_5"/>
      <w:bookmarkStart w:id="297" w:name="Tc_GfQ1akU-DkmRFqOUolsUOw_7_0"/>
      <w:bookmarkStart w:id="298" w:name="Tc_zuFVvrFzQ0e5Y2YeMJuwqg_6_14"/>
      <w:bookmarkStart w:id="299" w:name="Tc_ilp9daH_nk-ITO7Xvhdc2Q_6_11"/>
      <w:bookmarkStart w:id="300" w:name="Tc_C7eQ2-Hck0OqT5ld2movCw_6_8"/>
      <w:bookmarkStart w:id="301" w:name="Tc_THEl2iEp_0uZaNwAVNO9aA_6_5"/>
      <w:bookmarkStart w:id="302" w:name="Tc_nLWrQNb-Q0eF8PSm9NmnAQ_6_0"/>
      <w:bookmarkStart w:id="303" w:name="Tc_1HqqUVgQlkak1wIMVvuAPA_5_11"/>
      <w:bookmarkStart w:id="304" w:name="Tc_qOjTN2fUJUa3lXWH1ZyTig_5_5"/>
      <w:bookmarkStart w:id="305" w:name="Tc_j5bfREu0LUKgJso2vhJwZA_5_2"/>
      <w:bookmarkStart w:id="306" w:name="Tc_aUebv8MEIkufe-7LD6b6xw_5_0"/>
      <w:bookmarkStart w:id="307" w:name="Tc_b_ivGw14kE-gljYOE-4zPw_4_13"/>
      <w:bookmarkStart w:id="308" w:name="Tc_9rm4Ke_dWUaF6A4Kt52qEA_4_10"/>
      <w:bookmarkStart w:id="309" w:name="Tc_a5lBsBV-MUCm_YhvCVDc9w_4_7"/>
      <w:bookmarkStart w:id="310" w:name="Tc_6xEfpcV34kGxbm_acREv5Q_4_4"/>
      <w:bookmarkStart w:id="311" w:name="Tc_gjwS39ra-UilDSwZTgxkkw_4_0"/>
      <w:bookmarkStart w:id="312" w:name="Tc_Yk77akTsDEmHjTuXARqpCA_3_13"/>
      <w:bookmarkStart w:id="313" w:name="Tc_YRCrOeszoEaUvRPZ7Ka2Xg_3_10"/>
      <w:bookmarkStart w:id="314" w:name="Tc_LHkzr2OMhUel3WwAob1C6g_3_7"/>
      <w:bookmarkStart w:id="315" w:name="Tc_4i7OgiNGZEm5RxSqlRpCuw_3_4"/>
      <w:bookmarkStart w:id="316" w:name="Tc_hi7NkAxClEaGQw-gRKh4Bw_3_2"/>
      <w:bookmarkStart w:id="317" w:name="Tc_qe_d9W2zWkCgkgpq9qbXwg_2_13"/>
      <w:bookmarkStart w:id="318" w:name="Tc_9UshfprX7kGIQYVkC2-ZxQ_2_10"/>
      <w:bookmarkStart w:id="319" w:name="Tc_573fDGcDukiJBOIS2m3qcw_2_7"/>
      <w:bookmarkStart w:id="320" w:name="Tc_aMZ-ekcQ7keEV1DW_62_lw_2_2"/>
      <w:bookmarkStart w:id="321" w:name="Tc_lX8nV4BOS0OdZ4opFOJgtg_1_13"/>
      <w:bookmarkStart w:id="322" w:name="Tc_96LlTO7cWk2RWPD2dHax8A_1_7"/>
      <w:bookmarkStart w:id="323" w:name="_e3f1f7b4_80b5_4b0d_8dd5_2c0c106df20b"/>
      <w:bookmarkStart w:id="324" w:name="Tc_JyJOAJ3nikuFWhdtGDxBzw_24_13"/>
      <w:bookmarkStart w:id="325" w:name="Tc_YiFbqujgJkGEkymqniMU8g_24_10"/>
      <w:bookmarkStart w:id="326" w:name="Tc_87M3ktIInESXCxTScVmmcg_24_7"/>
      <w:bookmarkStart w:id="327" w:name="Tc_xNcCSnK7T061ypoH-iiOMA_24_4"/>
      <w:bookmarkStart w:id="328" w:name="Tc_CEnTw-KeP0qQG-v7xAqmPA_24_0"/>
      <w:bookmarkStart w:id="329" w:name="Tc_L9HYsCNu7E6zZzIWto1NUQ_23_8"/>
      <w:bookmarkStart w:id="330" w:name="Tc_6MdrT--IE0Gcqz8y8Ca3Ow_23_5"/>
      <w:bookmarkStart w:id="331" w:name="Tc_-DURE6NMJU-gmiynFPKLlw_23_2"/>
      <w:bookmarkStart w:id="332" w:name="Tc_3_QAZElCfUK5YQuyA8sG2w_23_0"/>
      <w:bookmarkStart w:id="333" w:name="Tc_LGQVT0PQKE-zakR7Dr57Mw_22_11"/>
      <w:bookmarkStart w:id="334" w:name="Tc_PQK0KYv35U2MnSa9WWAQTQ_22_5"/>
      <w:bookmarkStart w:id="335" w:name="Tc_RDYhXLYBUUGOL8MsnyjtTw_22_0"/>
      <w:bookmarkStart w:id="336" w:name="Tc_RBwZZVyp_0Sans3cd---5w_21_11"/>
      <w:bookmarkStart w:id="337" w:name="Tc_mMSnNPucjEe12IM8jSUhmQ_21_5"/>
      <w:bookmarkStart w:id="338" w:name="Tc_mN9DQG0KDkmz6QOq53SpIA_21_0"/>
      <w:bookmarkStart w:id="339" w:name="Tc_xRU2xmOwRU2NdU9vJfT9hw_20_14"/>
      <w:bookmarkStart w:id="340" w:name="Tc_koFwa5me_UCnHCZYWysqHw_20_11"/>
      <w:bookmarkStart w:id="341" w:name="Tc_WvvbL66xI0eXLEgItsfukA_20_8"/>
      <w:bookmarkStart w:id="342" w:name="Tc_wJp0Sej8Vka9ZrIWS0QRrA_20_5"/>
      <w:bookmarkStart w:id="343" w:name="Tc_hijzzMLiNkKNpE1639ToDA_20_0"/>
      <w:bookmarkStart w:id="344" w:name="Tc_ovumfNNTcEG2Xt84deVs1w_19_11"/>
      <w:bookmarkStart w:id="345" w:name="Tc_8Wf_tmIAUUGK47iw2lOA4g_19_5"/>
      <w:bookmarkStart w:id="346" w:name="Tc_WvcDtmt_gEqba8CSMtNDxg_19_2"/>
      <w:bookmarkStart w:id="347" w:name="Tc_gGb_8G9Htk6r-QB5Ctepcw_19_0"/>
      <w:bookmarkStart w:id="348" w:name="Tc_5a290mco3kKa3g07ezo-4w_18_11"/>
      <w:bookmarkStart w:id="349" w:name="Tc_gOjxcSw1MUumATHIBnb5gw_18_5"/>
      <w:bookmarkStart w:id="350" w:name="Tc_KYGedOdbLUmKdyHhuCUlgw_18_0"/>
      <w:bookmarkStart w:id="351" w:name="Tc_WWHV-gyV8EirNFP_eGnSxA_17_14"/>
      <w:bookmarkStart w:id="352" w:name="Tc__AxK7pG5TkC2duE9XS0bwg_17_11"/>
      <w:bookmarkStart w:id="353" w:name="Tc_oMpaCOM-F0C6DJll5bB6dQ_17_8"/>
      <w:bookmarkStart w:id="354" w:name="Tc_-t7tCZv3iUOQ7mL1j1kuHQ_17_5"/>
      <w:bookmarkStart w:id="355" w:name="Tc_Ac-r2GqPhkCo6ubTbQAABQ_17_0"/>
      <w:bookmarkStart w:id="356" w:name="Tc_a2r13prn90GX4BX-ptB8ww_16_11"/>
      <w:bookmarkStart w:id="357" w:name="Tc_qH5rN00JLEmG1whtL0bUqA_16_5"/>
      <w:bookmarkStart w:id="358" w:name="Tc_x1XKo4tTVES2XV2B_TLm5w_16_2"/>
      <w:bookmarkStart w:id="359" w:name="Tc_sTdFv6boVUa6mCio8dGeMw_16_0"/>
      <w:bookmarkStart w:id="360" w:name="Tc_-b36MBJ-_0y0RCzONpKOUg_15_0"/>
      <w:bookmarkStart w:id="361" w:name="Tc_qGcTc96OMkWAsEPtN-UfWw_14_8"/>
      <w:bookmarkStart w:id="362" w:name="Tc_H-YP-mNtpU6phcvQv13kKw_14_5"/>
      <w:bookmarkStart w:id="363" w:name="Tc_WOPDjzg_b0C86VmtUl7F3g_14_2"/>
      <w:bookmarkStart w:id="364" w:name="Tc_t_nMN9S1Nka1yoGx4z_4JQ_14_0"/>
      <w:bookmarkStart w:id="365" w:name="Tc_-psDPJmiAUSHGWhedq8eIw_13_11"/>
      <w:bookmarkStart w:id="366" w:name="Tc_T4h5Q06rY0uZNtums8u38A_13_5"/>
      <w:bookmarkStart w:id="367" w:name="Tc___hkUBLoJk-5AeTOBXaB8g_13_0"/>
      <w:bookmarkStart w:id="368" w:name="Tc__2bgCnE8_02hTpt0nuiWzw_12_14"/>
      <w:bookmarkStart w:id="369" w:name="Tc_6LKFrP6-R0StTuLjQgpU_A_12_11"/>
      <w:bookmarkStart w:id="370" w:name="Tc_0wcrSzt7iEmUsL_lAJx5QQ_12_8"/>
      <w:bookmarkStart w:id="371" w:name="Tc_0rLF35Rm-EqH85X_u3Uihg_12_5"/>
      <w:bookmarkStart w:id="372" w:name="Tc_S8C2MsKPq0mg9JyfgKGi1Q_12_0"/>
      <w:bookmarkStart w:id="373" w:name="Tc_4SyrLkmj7UCqjuqQPQkwQg_11_11"/>
      <w:bookmarkStart w:id="374" w:name="Tc_9fZSBh_mKku_wo7vyuYhkQ_11_5"/>
      <w:bookmarkStart w:id="375" w:name="Tc_vfheXsz2MEWHqHXS-JA3rg_11_2"/>
      <w:bookmarkStart w:id="376" w:name="Tc_WTrq0jG9hU-9wgGGuaXXdw_11_0"/>
      <w:bookmarkStart w:id="377" w:name="Tc_3NMYQSGfvUmZBPQ_GdHLIw_10_0"/>
      <w:bookmarkStart w:id="378" w:name="Tc_CJ3Y5I7r_kmrX3N3BIYHVg_9_8"/>
      <w:bookmarkStart w:id="379" w:name="Tc_FwJpD0yvPUu4mEXtMraVMw_9_5"/>
      <w:bookmarkStart w:id="380" w:name="Tc_MQIQidkALUW8X7dgkRowcQ_9_2"/>
      <w:bookmarkStart w:id="381" w:name="Tc_seW-5nJzjUmrdBdjG2OVdQ_9_0"/>
      <w:bookmarkStart w:id="382" w:name="Tc_7A3ZOD6c_0-HpirNLzoSyw_8_11"/>
      <w:bookmarkStart w:id="383" w:name="Tc_YCCACuT6KEqY_WLwn-bUeQ_8_5"/>
      <w:bookmarkStart w:id="384" w:name="Tc_ViF2WIf40EyEF0IMW-rt4A_8_0"/>
      <w:bookmarkStart w:id="385" w:name="Tc_fQ3WkQZbaEKgAEO6tUrVwA_7_11"/>
      <w:bookmarkStart w:id="386" w:name="Tc_DF2PUdlcP0C7MU6qS9Xi-Q_7_5"/>
      <w:bookmarkStart w:id="387" w:name="Tc_GfQ1akU-DkmRFqOUolsUOw_7_0"/>
      <w:bookmarkStart w:id="388" w:name="Tc_zuFVvrFzQ0e5Y2YeMJuwqg_6_14"/>
      <w:bookmarkStart w:id="389" w:name="Tc_ilp9daH_nk-ITO7Xvhdc2Q_6_11"/>
      <w:bookmarkStart w:id="390" w:name="Tc_C7eQ2-Hck0OqT5ld2movCw_6_8"/>
      <w:bookmarkStart w:id="391" w:name="Tc_THEl2iEp_0uZaNwAVNO9aA_6_5"/>
      <w:bookmarkStart w:id="392" w:name="Tc_nLWrQNb-Q0eF8PSm9NmnAQ_6_0"/>
      <w:bookmarkStart w:id="393" w:name="Tc_1HqqUVgQlkak1wIMVvuAPA_5_11"/>
      <w:bookmarkStart w:id="394" w:name="Tc_qOjTN2fUJUa3lXWH1ZyTig_5_5"/>
      <w:bookmarkStart w:id="395" w:name="Tc_j5bfREu0LUKgJso2vhJwZA_5_2"/>
      <w:bookmarkStart w:id="396" w:name="Tc_aUebv8MEIkufe-7LD6b6xw_5_0"/>
      <w:bookmarkStart w:id="397" w:name="Tc_b_ivGw14kE-gljYOE-4zPw_4_13"/>
      <w:bookmarkStart w:id="398" w:name="Tc_9rm4Ke_dWUaF6A4Kt52qEA_4_10"/>
      <w:bookmarkStart w:id="399" w:name="Tc_a5lBsBV-MUCm_YhvCVDc9w_4_7"/>
      <w:bookmarkStart w:id="400" w:name="Tc_6xEfpcV34kGxbm_acREv5Q_4_4"/>
      <w:bookmarkStart w:id="401" w:name="Tc_gjwS39ra-UilDSwZTgxkkw_4_0"/>
      <w:bookmarkStart w:id="402" w:name="Tc_Yk77akTsDEmHjTuXARqpCA_3_13"/>
      <w:bookmarkStart w:id="403" w:name="Tc_YRCrOeszoEaUvRPZ7Ka2Xg_3_10"/>
      <w:bookmarkStart w:id="404" w:name="Tc_LHkzr2OMhUel3WwAob1C6g_3_7"/>
      <w:bookmarkStart w:id="405" w:name="Tc_4i7OgiNGZEm5RxSqlRpCuw_3_4"/>
      <w:bookmarkStart w:id="406" w:name="Tc_hi7NkAxClEaGQw-gRKh4Bw_3_2"/>
      <w:bookmarkStart w:id="407" w:name="Tc_qe_d9W2zWkCgkgpq9qbXwg_2_13"/>
      <w:bookmarkStart w:id="408" w:name="Tc_9UshfprX7kGIQYVkC2-ZxQ_2_10"/>
      <w:bookmarkStart w:id="409" w:name="Tc_573fDGcDukiJBOIS2m3qcw_2_7"/>
      <w:bookmarkStart w:id="410" w:name="Tc_aMZ-ekcQ7keEV1DW_62_lw_2_2"/>
      <w:bookmarkStart w:id="411" w:name="Tc_lX8nV4BOS0OdZ4opFOJgtg_1_13"/>
      <w:bookmarkStart w:id="412" w:name="Tc_96LlTO7cWk2RWPD2dHax8A_1_7"/>
      <w:bookmarkStart w:id="413" w:name="_e3f1f7b4_80b5_4b0d_8dd5_2c0c106df20b"/>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tbl>
      <w:tblPr>
        <w:tblW w:w="10205" w:type="dxa"/>
        <w:jc w:val="left"/>
        <w:tblInd w:w="0" w:type="dxa"/>
        <w:tblLayout w:type="fixed"/>
        <w:tblCellMar>
          <w:top w:w="0" w:type="dxa"/>
          <w:left w:w="0" w:type="dxa"/>
          <w:bottom w:w="0" w:type="dxa"/>
          <w:right w:w="0" w:type="dxa"/>
        </w:tblCellMar>
      </w:tblPr>
      <w:tblGrid>
        <w:gridCol w:w="4365"/>
        <w:gridCol w:w="326"/>
        <w:gridCol w:w="721"/>
        <w:gridCol w:w="326"/>
        <w:gridCol w:w="216"/>
        <w:gridCol w:w="415"/>
        <w:gridCol w:w="326"/>
        <w:gridCol w:w="192"/>
        <w:gridCol w:w="643"/>
        <w:gridCol w:w="326"/>
        <w:gridCol w:w="207"/>
        <w:gridCol w:w="739"/>
        <w:gridCol w:w="326"/>
        <w:gridCol w:w="244"/>
        <w:gridCol w:w="833"/>
      </w:tblGrid>
      <w:tr>
        <w:trPr/>
        <w:tc>
          <w:tcPr>
            <w:tcW w:w="4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771775" cy="175260"/>
                      <wp:effectExtent l="0" t="0" r="0" b="0"/>
                      <wp:wrapNone/>
                      <wp:docPr id="35" name="Frame34"/>
                      <a:graphic xmlns:a="http://schemas.openxmlformats.org/drawingml/2006/main">
                        <a:graphicData uri="http://schemas.microsoft.com/office/word/2010/wordprocessingShape">
                          <wps:wsp>
                            <wps:cNvSpPr txBox="1"/>
                            <wps:spPr>
                              <a:xfrm>
                                <a:off x="0" y="0"/>
                                <a:ext cx="277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7835" cy="175260"/>
                      <wp:effectExtent l="0" t="0" r="0" b="0"/>
                      <wp:wrapNone/>
                      <wp:docPr id="37" name="Frame3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160" cy="175260"/>
                      <wp:effectExtent l="0" t="0" r="0" b="0"/>
                      <wp:wrapNone/>
                      <wp:docPr id="39" name="Frame3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63525" cy="175260"/>
                      <wp:effectExtent l="0" t="0" r="0" b="0"/>
                      <wp:wrapNone/>
                      <wp:docPr id="40" name="Frame3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1920" cy="175260"/>
                      <wp:effectExtent l="0" t="0" r="0" b="0"/>
                      <wp:wrapNone/>
                      <wp:docPr id="42" name="Frame41"/>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08305" cy="175260"/>
                      <wp:effectExtent l="0" t="0" r="0" b="0"/>
                      <wp:wrapNone/>
                      <wp:docPr id="43" name="Frame42"/>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1445" cy="175260"/>
                      <wp:effectExtent l="0" t="0" r="0" b="0"/>
                      <wp:wrapNone/>
                      <wp:docPr id="45" name="Frame44"/>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69265" cy="175260"/>
                      <wp:effectExtent l="0" t="0" r="0" b="0"/>
                      <wp:wrapNone/>
                      <wp:docPr id="46" name="Frame4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4940" cy="175260"/>
                      <wp:effectExtent l="0" t="0" r="0" b="0"/>
                      <wp:wrapNone/>
                      <wp:docPr id="48" name="Frame4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8955" cy="175260"/>
                      <wp:effectExtent l="0" t="0" r="0" b="0"/>
                      <wp:wrapNone/>
                      <wp:docPr id="49" name="Frame48"/>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3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7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4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center"/>
              <w:rPr/>
            </w:pPr>
            <w:r>
              <w:rPr/>
              <w:t>    </w:t>
            </w:r>
          </w:p>
        </w:tc>
        <w:tc>
          <w:tcPr>
            <w:tcW w:w="83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    </w:t>
            </w:r>
          </w:p>
        </w:tc>
        <w:tc>
          <w:tcPr>
            <w:tcW w:w="107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4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w:t>
            </w:r>
          </w:p>
        </w:tc>
        <w:tc>
          <w:tcPr>
            <w:tcW w:w="8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1"/>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January 1, 2025</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452,533</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399,362</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(400,440)</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(1,077)</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 restricted stock units (“RSUs”)</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111</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111</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1,315</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issued to vendor for services</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2,500</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5"/>
              </w:rPr>
              <w:t>Issuance of shares in an at-the-market (“ATM”) placement, net of $940</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623,440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13,803</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13,803</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(3,366)</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(3,366)</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March 31, 2025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1,079,788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413,301</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(403,806)</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9,496</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2,451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$107</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226,446</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1,969</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1,969</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(2,788)</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(2,788)</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June 30, 2025</w:t>
            </w:r>
          </w:p>
        </w:tc>
        <w:tc>
          <w:tcPr>
            <w:tcW w:w="32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1,308,685</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415,367</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(406,594)</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8,774</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Warrants 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47,764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364</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364</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Reclassification of warrant liability upon warrant exercise</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Pre-funded warrants 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115,347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pPr>
            <w:r>
              <w:rPr/>
              <w:t>—</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5"/>
              </w:rPr>
              <w:t>Issuance of shares in a sale of common stock, pre-funded warrants and warrants, net of $520</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120,000</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4,116</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4,116</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$104</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232,989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shd w:fill="CCEEFF" w:val="clear"/>
            <w:vAlign w:val="center"/>
          </w:tcPr>
          <w:p>
            <w:pPr>
              <w:pStyle w:val="TableContents"/>
              <w:bidi w:val="0"/>
              <w:spacing w:before="0" w:after="1"/>
              <w:ind w:left="0" w:right="0" w:hanging="0"/>
              <w:jc w:val="left"/>
              <w:rPr/>
            </w:pPr>
            <w:r>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2,444</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2,444</w:t>
            </w:r>
          </w:p>
        </w:tc>
      </w:tr>
      <w:tr>
        <w:trPr/>
        <w:tc>
          <w:tcPr>
            <w:tcW w:w="4365"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(2,113)</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(2,113)</w:t>
            </w:r>
          </w:p>
        </w:tc>
      </w:tr>
      <w:tr>
        <w:trPr/>
        <w:tc>
          <w:tcPr>
            <w:tcW w:w="436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1,824,844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422,432</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(408,707)</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3"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13,726</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14" w:name="Tc_mxIEgKUNx0-BkQQgGXHsCA_27_13"/>
      <w:bookmarkStart w:id="415" w:name="Tc_cWwTEVMgpES1N5psiMfHLQ_27_10"/>
      <w:bookmarkStart w:id="416" w:name="Tc_W-nevy-6_0yJSbtNERtV0w_27_7"/>
      <w:bookmarkStart w:id="417" w:name="Tc_esOi_JAF4UKxVsfXy0YobQ_27_4"/>
      <w:bookmarkStart w:id="418" w:name="Tc_dJP151VbKUedLmcaPQ1efw_27_0"/>
      <w:bookmarkStart w:id="419" w:name="Tc_YdTSItEmo0a4l24VIotwxw_26_8"/>
      <w:bookmarkStart w:id="420" w:name="Tc_Q0RlTuuKxUGHbnEbQ_yPiQ_26_5"/>
      <w:bookmarkStart w:id="421" w:name="Tc_Dk7db_UgC0iKJY9hFLq1Bg_26_2"/>
      <w:bookmarkStart w:id="422" w:name="Tc_HABdNNdYbU-FZ_EoRsZKuw_26_0"/>
      <w:bookmarkStart w:id="423" w:name="Tc_mGUxTpVaj0iaND---VgzHg_25_11"/>
      <w:bookmarkStart w:id="424" w:name="Tc_Kl6-D61Tk0-sbz0rcRblEw_25_5"/>
      <w:bookmarkStart w:id="425" w:name="Tc_U3odXMfiRkyyypGLITIgxA_25_0"/>
      <w:bookmarkStart w:id="426" w:name="Tc_DWCbU4AXakqN3g52H4B6zQ_24_11"/>
      <w:bookmarkStart w:id="427" w:name="Tc_tZ6jZ1jKoE-lM03q1M1lBg_24_5"/>
      <w:bookmarkStart w:id="428" w:name="Tc_iACFDIk50USsg5D0DylzlA_24_2"/>
      <w:bookmarkStart w:id="429" w:name="Tc_4taruunYgUasc26UGYwMpA_24_0"/>
      <w:bookmarkStart w:id="430" w:name="Tc_ZuE2AxbsXEaiVf2WTYAusA_23_14"/>
      <w:bookmarkStart w:id="431" w:name="Tc_fMscX3JfF0awUHDZZfQrVw_23_11"/>
      <w:bookmarkStart w:id="432" w:name="Tc_AImGDRziBkK6Y_UjhXVfZA_23_8"/>
      <w:bookmarkStart w:id="433" w:name="Tc_ce_P0yZ_BEe_bqh4e3Mxdw_23_5"/>
      <w:bookmarkStart w:id="434" w:name="Tc_FQePKv22MEmBhz95gGiG2A_23_0"/>
      <w:bookmarkStart w:id="435" w:name="Tc_Dek4ehOZXUy6-fY0icItnQ_22_11"/>
      <w:bookmarkStart w:id="436" w:name="Tc_Es1IcqPHU0Sqr733MyeZGA_22_5"/>
      <w:bookmarkStart w:id="437" w:name="Tc_fWPycDu4pkSgQkYI0BbZTA_22_2"/>
      <w:bookmarkStart w:id="438" w:name="Tc_5_psgI3eokmglCg7qPeEnA_22_0"/>
      <w:bookmarkStart w:id="439" w:name="Tc_9u-raDTqvUCpYp2n6EpO5w_21_11"/>
      <w:bookmarkStart w:id="440" w:name="Tc_62kMq-5SFECMb7vvTnEQQQ_21_5"/>
      <w:bookmarkStart w:id="441" w:name="Tc_hV91NncX0k6YhyqGtG2Aig_21_2"/>
      <w:bookmarkStart w:id="442" w:name="Tc_z01UGFAErkqVmCHHoI5SAg_21_0"/>
      <w:bookmarkStart w:id="443" w:name="Tc_KnN8V6csu0KmeLYg4SEE0w_20_0"/>
      <w:bookmarkStart w:id="444" w:name="Tc_P9P2flCbtECBVOea2uDHdA_19_8"/>
      <w:bookmarkStart w:id="445" w:name="Tc_mAOe_ylVm0GH8C5HJw6vDA_19_5"/>
      <w:bookmarkStart w:id="446" w:name="Tc_lA1H8VleA0aBh5BthEF-sg_19_2"/>
      <w:bookmarkStart w:id="447" w:name="Tc_KgV_9ygkZEemZo8TMoAodQ_19_0"/>
      <w:bookmarkStart w:id="448" w:name="Tc_93WT7yGtXU-drRCkigCbmA_18_14"/>
      <w:bookmarkStart w:id="449" w:name="Tc_uPTJ1Uad6kqo7URMjFBreA_18_11"/>
      <w:bookmarkStart w:id="450" w:name="Tc_c10RxBxGDUm1OLoogf4j0Q_18_8"/>
      <w:bookmarkStart w:id="451" w:name="Tc_UzNFqYbmYkOuQU6_f_Zc-w_18_5"/>
      <w:bookmarkStart w:id="452" w:name="Tc_8vw4AJkQXUG31SDoyzBlgQ_18_0"/>
      <w:bookmarkStart w:id="453" w:name="Tc_ZY3zhJ75IUK5-Kp7Ug2b-A_17_11"/>
      <w:bookmarkStart w:id="454" w:name="Tc_nvLOaF7EfEmTxU_BR9ZLgg_17_5"/>
      <w:bookmarkStart w:id="455" w:name="Tc_wqOB94WPJk6hkfbyss4imQ_17_0"/>
      <w:bookmarkStart w:id="456" w:name="Tc_H5uyYFz0IkeGhlPap2Vp9g_16_14"/>
      <w:bookmarkStart w:id="457" w:name="Tc_3LJpKxpwBE-C3lAhNoEL9g_16_11"/>
      <w:bookmarkStart w:id="458" w:name="Tc_6jF6XrUGu02sQokBcGtWIA_16_8"/>
      <w:bookmarkStart w:id="459" w:name="Tc_F3EiCgBLlEKwa0kCNgmWRw_16_5"/>
      <w:bookmarkStart w:id="460" w:name="Tc_0G9dbTHhN0qPqm9MZ7gt4A_16_0"/>
      <w:bookmarkStart w:id="461" w:name="Tc_K11nHntRO0S4cp7FN8oQ9Q_15_11"/>
      <w:bookmarkStart w:id="462" w:name="Tc_5jH69y_s9Ueq1zjOKCLOng_15_5"/>
      <w:bookmarkStart w:id="463" w:name="Tc_AdrsdznIvEK-73XmRj0ZxQ_15_2"/>
      <w:bookmarkStart w:id="464" w:name="Tc_TxInAv-K0U-sDm5-WV7Chg_15_0"/>
      <w:bookmarkStart w:id="465" w:name="Tc_xYqarYIdi0KAN7uVzKegHQ_14_11"/>
      <w:bookmarkStart w:id="466" w:name="Tc_CyZrmgV1qUiRDpH9ipTh4g_14_5"/>
      <w:bookmarkStart w:id="467" w:name="Tc_2QjzHCnb1E2HnK-w5QOwWw_14_2"/>
      <w:bookmarkStart w:id="468" w:name="Tc_borW6mlrp06H_tiKVAs9mg_14_0"/>
      <w:bookmarkStart w:id="469" w:name="Tc_VvOKfz2VDkSExB6atoqUiA_13_0"/>
      <w:bookmarkStart w:id="470" w:name="Tc_Xz6g0MNNl0-X1BMj0UMeEQ_12_8"/>
      <w:bookmarkStart w:id="471" w:name="Tc_jpH5RV2DskqSA1Q1EzZrpQ_12_5"/>
      <w:bookmarkStart w:id="472" w:name="Tc_Yw3sxTpNBEmGYoM1ZduXEQ_12_2"/>
      <w:bookmarkStart w:id="473" w:name="Tc_-jiyxUZbNU-ezjzyZEFtgw_12_0"/>
      <w:bookmarkStart w:id="474" w:name="Tc_ed4fUJ7iCkGRKU13jY7nBw_11_11"/>
      <w:bookmarkStart w:id="475" w:name="Tc_cLMaMlw550KS94P8yoyYFQ_11_5"/>
      <w:bookmarkStart w:id="476" w:name="Tc_qF_1C7GuWkijHhOQM9HJSQ_11_0"/>
      <w:bookmarkStart w:id="477" w:name="Tc_oy1qHCv4vE2o7DCOmF61gw_10_11"/>
      <w:bookmarkStart w:id="478" w:name="Tc_uuXHeTw5EEKXmCAyNN_xGQ_10_5"/>
      <w:bookmarkStart w:id="479" w:name="Tc_Mnw4Jah7A0Wx_OB4vUmF6A_10_0"/>
      <w:bookmarkStart w:id="480" w:name="Tc_3Uo1ZnnaKkKKk3wT4U_6bQ_9_11"/>
      <w:bookmarkStart w:id="481" w:name="Tc_iA9_X8XaBU63dGZZSB5BpQ_9_5"/>
      <w:bookmarkStart w:id="482" w:name="Tc_5jVPDG1H3ESUL8BgE3sr8A_9_2"/>
      <w:bookmarkStart w:id="483" w:name="Tc_SQSrebf0lk-xtNb_PAC0-Q_9_0"/>
      <w:bookmarkStart w:id="484" w:name="Tc_64mlNVjSREiGNBJ4P9NaYA_8_14"/>
      <w:bookmarkStart w:id="485" w:name="Tc_xyUwHJz_K0yl_spAdj-fUA_8_11"/>
      <w:bookmarkStart w:id="486" w:name="Tc_CkJTfetyDkKrh8iD9nr-aA_8_8"/>
      <w:bookmarkStart w:id="487" w:name="Tc_9DEgR8pe8UabE3TGArkoaw_8_5"/>
      <w:bookmarkStart w:id="488" w:name="Tc_wQJkFOylDEeZENaQxtXKaQ_8_0"/>
      <w:bookmarkStart w:id="489" w:name="Tc_t4-a1oTLYkqcxBpQrSzXQA_7_11"/>
      <w:bookmarkStart w:id="490" w:name="Tc_UgXkhNFv2E6EIEqykzMszg_7_5"/>
      <w:bookmarkStart w:id="491" w:name="Tc_32FnYLewrkWIZ7oMHk_HuA_7_2"/>
      <w:bookmarkStart w:id="492" w:name="Tc_0QxIiCc7dE-dMjGzJ6e3vg_7_0"/>
      <w:bookmarkStart w:id="493" w:name="Tc_A077SwR9k0iZC9q7RRBKHw_6_11"/>
      <w:bookmarkStart w:id="494" w:name="Tc_RhXDiwOVQUiFJ4pjmIoPPw_6_5"/>
      <w:bookmarkStart w:id="495" w:name="Tc_blGEueQuzUmgBSHxVjvSkg_6_2"/>
      <w:bookmarkStart w:id="496" w:name="Tc_sf6gnCjzzEag_M1h5fFH-w_6_0"/>
      <w:bookmarkStart w:id="497" w:name="Tc_u80PyPjfVUioWxqbTJNevw_5_11"/>
      <w:bookmarkStart w:id="498" w:name="Tc_rBaSVGF_JkqVOoJ9_nzrQw_5_5"/>
      <w:bookmarkStart w:id="499" w:name="Tc_KOvXfWztKEa_oImeGpbfgQ_5_2"/>
      <w:bookmarkStart w:id="500" w:name="Tc_gGrI-Z_PlEGUjexmoy4qEg_5_0"/>
      <w:bookmarkStart w:id="501" w:name="Tc_J8JEYIgNZkCQopMBgA1Lig_4_13"/>
      <w:bookmarkStart w:id="502" w:name="Tc_33fxnYkE-0WApuGH1Cq9RQ_4_10"/>
      <w:bookmarkStart w:id="503" w:name="Tc_rFHDlH4QaEKLvkpBVuCWKg_4_7"/>
      <w:bookmarkStart w:id="504" w:name="Tc_CBNTFsVZq0O3vpOJNePn9w_4_4"/>
      <w:bookmarkStart w:id="505" w:name="Tc_i79DOnrzoUeXxIZRopuF5w_4_0"/>
      <w:bookmarkStart w:id="506" w:name="Tc_3RhlGAiuukSLIBkcz1SCgA_3_13"/>
      <w:bookmarkStart w:id="507" w:name="Tc_Kp9kiGo2dEOOMbp7hsvb9Q_3_10"/>
      <w:bookmarkStart w:id="508" w:name="Tc_sAStuvDfDE2IkJYiYTMtrg_3_7"/>
      <w:bookmarkStart w:id="509" w:name="Tc_vz9zfCYUC0-Bt2g1ZNikSw_3_4"/>
      <w:bookmarkStart w:id="510" w:name="Tc_-xwZtIWXeEqwZU2kWf8upA_3_2"/>
      <w:bookmarkStart w:id="511" w:name="Tc_LSJ23R38cUWsyJ2v4IGPnQ_2_13"/>
      <w:bookmarkStart w:id="512" w:name="Tc_ptynhgqVnk-9mJr7MhWDhg_2_10"/>
      <w:bookmarkStart w:id="513" w:name="Tc_ZCj5JghrgUuot1ln2TN9RA_2_7"/>
      <w:bookmarkStart w:id="514" w:name="Tc_2znnM8WsUEeepd49mn6G_g_2_2"/>
      <w:bookmarkStart w:id="515" w:name="Tc_malQ0_2y2k-L9ZLfEJRX4w_1_13"/>
      <w:bookmarkStart w:id="516" w:name="Tc_DoiP9en9Kk2oOppJJV6GiA_1_7"/>
      <w:bookmarkStart w:id="517" w:name="_8e4fee66_3d83_48f5_b872_b96f8be05500"/>
      <w:bookmarkStart w:id="518" w:name="Tc_mxIEgKUNx0-BkQQgGXHsCA_27_13"/>
      <w:bookmarkStart w:id="519" w:name="Tc_cWwTEVMgpES1N5psiMfHLQ_27_10"/>
      <w:bookmarkStart w:id="520" w:name="Tc_W-nevy-6_0yJSbtNERtV0w_27_7"/>
      <w:bookmarkStart w:id="521" w:name="Tc_esOi_JAF4UKxVsfXy0YobQ_27_4"/>
      <w:bookmarkStart w:id="522" w:name="Tc_dJP151VbKUedLmcaPQ1efw_27_0"/>
      <w:bookmarkStart w:id="523" w:name="Tc_YdTSItEmo0a4l24VIotwxw_26_8"/>
      <w:bookmarkStart w:id="524" w:name="Tc_Q0RlTuuKxUGHbnEbQ_yPiQ_26_5"/>
      <w:bookmarkStart w:id="525" w:name="Tc_Dk7db_UgC0iKJY9hFLq1Bg_26_2"/>
      <w:bookmarkStart w:id="526" w:name="Tc_HABdNNdYbU-FZ_EoRsZKuw_26_0"/>
      <w:bookmarkStart w:id="527" w:name="Tc_mGUxTpVaj0iaND---VgzHg_25_11"/>
      <w:bookmarkStart w:id="528" w:name="Tc_Kl6-D61Tk0-sbz0rcRblEw_25_5"/>
      <w:bookmarkStart w:id="529" w:name="Tc_U3odXMfiRkyyypGLITIgxA_25_0"/>
      <w:bookmarkStart w:id="530" w:name="Tc_DWCbU4AXakqN3g52H4B6zQ_24_11"/>
      <w:bookmarkStart w:id="531" w:name="Tc_tZ6jZ1jKoE-lM03q1M1lBg_24_5"/>
      <w:bookmarkStart w:id="532" w:name="Tc_iACFDIk50USsg5D0DylzlA_24_2"/>
      <w:bookmarkStart w:id="533" w:name="Tc_4taruunYgUasc26UGYwMpA_24_0"/>
      <w:bookmarkStart w:id="534" w:name="Tc_ZuE2AxbsXEaiVf2WTYAusA_23_14"/>
      <w:bookmarkStart w:id="535" w:name="Tc_fMscX3JfF0awUHDZZfQrVw_23_11"/>
      <w:bookmarkStart w:id="536" w:name="Tc_AImGDRziBkK6Y_UjhXVfZA_23_8"/>
      <w:bookmarkStart w:id="537" w:name="Tc_ce_P0yZ_BEe_bqh4e3Mxdw_23_5"/>
      <w:bookmarkStart w:id="538" w:name="Tc_FQePKv22MEmBhz95gGiG2A_23_0"/>
      <w:bookmarkStart w:id="539" w:name="Tc_Dek4ehOZXUy6-fY0icItnQ_22_11"/>
      <w:bookmarkStart w:id="540" w:name="Tc_Es1IcqPHU0Sqr733MyeZGA_22_5"/>
      <w:bookmarkStart w:id="541" w:name="Tc_fWPycDu4pkSgQkYI0BbZTA_22_2"/>
      <w:bookmarkStart w:id="542" w:name="Tc_5_psgI3eokmglCg7qPeEnA_22_0"/>
      <w:bookmarkStart w:id="543" w:name="Tc_9u-raDTqvUCpYp2n6EpO5w_21_11"/>
      <w:bookmarkStart w:id="544" w:name="Tc_62kMq-5SFECMb7vvTnEQQQ_21_5"/>
      <w:bookmarkStart w:id="545" w:name="Tc_hV91NncX0k6YhyqGtG2Aig_21_2"/>
      <w:bookmarkStart w:id="546" w:name="Tc_z01UGFAErkqVmCHHoI5SAg_21_0"/>
      <w:bookmarkStart w:id="547" w:name="Tc_KnN8V6csu0KmeLYg4SEE0w_20_0"/>
      <w:bookmarkStart w:id="548" w:name="Tc_P9P2flCbtECBVOea2uDHdA_19_8"/>
      <w:bookmarkStart w:id="549" w:name="Tc_mAOe_ylVm0GH8C5HJw6vDA_19_5"/>
      <w:bookmarkStart w:id="550" w:name="Tc_lA1H8VleA0aBh5BthEF-sg_19_2"/>
      <w:bookmarkStart w:id="551" w:name="Tc_KgV_9ygkZEemZo8TMoAodQ_19_0"/>
      <w:bookmarkStart w:id="552" w:name="Tc_93WT7yGtXU-drRCkigCbmA_18_14"/>
      <w:bookmarkStart w:id="553" w:name="Tc_uPTJ1Uad6kqo7URMjFBreA_18_11"/>
      <w:bookmarkStart w:id="554" w:name="Tc_c10RxBxGDUm1OLoogf4j0Q_18_8"/>
      <w:bookmarkStart w:id="555" w:name="Tc_UzNFqYbmYkOuQU6_f_Zc-w_18_5"/>
      <w:bookmarkStart w:id="556" w:name="Tc_8vw4AJkQXUG31SDoyzBlgQ_18_0"/>
      <w:bookmarkStart w:id="557" w:name="Tc_ZY3zhJ75IUK5-Kp7Ug2b-A_17_11"/>
      <w:bookmarkStart w:id="558" w:name="Tc_nvLOaF7EfEmTxU_BR9ZLgg_17_5"/>
      <w:bookmarkStart w:id="559" w:name="Tc_wqOB94WPJk6hkfbyss4imQ_17_0"/>
      <w:bookmarkStart w:id="560" w:name="Tc_H5uyYFz0IkeGhlPap2Vp9g_16_14"/>
      <w:bookmarkStart w:id="561" w:name="Tc_3LJpKxpwBE-C3lAhNoEL9g_16_11"/>
      <w:bookmarkStart w:id="562" w:name="Tc_6jF6XrUGu02sQokBcGtWIA_16_8"/>
      <w:bookmarkStart w:id="563" w:name="Tc_F3EiCgBLlEKwa0kCNgmWRw_16_5"/>
      <w:bookmarkStart w:id="564" w:name="Tc_0G9dbTHhN0qPqm9MZ7gt4A_16_0"/>
      <w:bookmarkStart w:id="565" w:name="Tc_K11nHntRO0S4cp7FN8oQ9Q_15_11"/>
      <w:bookmarkStart w:id="566" w:name="Tc_5jH69y_s9Ueq1zjOKCLOng_15_5"/>
      <w:bookmarkStart w:id="567" w:name="Tc_AdrsdznIvEK-73XmRj0ZxQ_15_2"/>
      <w:bookmarkStart w:id="568" w:name="Tc_TxInAv-K0U-sDm5-WV7Chg_15_0"/>
      <w:bookmarkStart w:id="569" w:name="Tc_xYqarYIdi0KAN7uVzKegHQ_14_11"/>
      <w:bookmarkStart w:id="570" w:name="Tc_CyZrmgV1qUiRDpH9ipTh4g_14_5"/>
      <w:bookmarkStart w:id="571" w:name="Tc_2QjzHCnb1E2HnK-w5QOwWw_14_2"/>
      <w:bookmarkStart w:id="572" w:name="Tc_borW6mlrp06H_tiKVAs9mg_14_0"/>
      <w:bookmarkStart w:id="573" w:name="Tc_VvOKfz2VDkSExB6atoqUiA_13_0"/>
      <w:bookmarkStart w:id="574" w:name="Tc_Xz6g0MNNl0-X1BMj0UMeEQ_12_8"/>
      <w:bookmarkStart w:id="575" w:name="Tc_jpH5RV2DskqSA1Q1EzZrpQ_12_5"/>
      <w:bookmarkStart w:id="576" w:name="Tc_Yw3sxTpNBEmGYoM1ZduXEQ_12_2"/>
      <w:bookmarkStart w:id="577" w:name="Tc_-jiyxUZbNU-ezjzyZEFtgw_12_0"/>
      <w:bookmarkStart w:id="578" w:name="Tc_ed4fUJ7iCkGRKU13jY7nBw_11_11"/>
      <w:bookmarkStart w:id="579" w:name="Tc_cLMaMlw550KS94P8yoyYFQ_11_5"/>
      <w:bookmarkStart w:id="580" w:name="Tc_qF_1C7GuWkijHhOQM9HJSQ_11_0"/>
      <w:bookmarkStart w:id="581" w:name="Tc_oy1qHCv4vE2o7DCOmF61gw_10_11"/>
      <w:bookmarkStart w:id="582" w:name="Tc_uuXHeTw5EEKXmCAyNN_xGQ_10_5"/>
      <w:bookmarkStart w:id="583" w:name="Tc_Mnw4Jah7A0Wx_OB4vUmF6A_10_0"/>
      <w:bookmarkStart w:id="584" w:name="Tc_3Uo1ZnnaKkKKk3wT4U_6bQ_9_11"/>
      <w:bookmarkStart w:id="585" w:name="Tc_iA9_X8XaBU63dGZZSB5BpQ_9_5"/>
      <w:bookmarkStart w:id="586" w:name="Tc_5jVPDG1H3ESUL8BgE3sr8A_9_2"/>
      <w:bookmarkStart w:id="587" w:name="Tc_SQSrebf0lk-xtNb_PAC0-Q_9_0"/>
      <w:bookmarkStart w:id="588" w:name="Tc_64mlNVjSREiGNBJ4P9NaYA_8_14"/>
      <w:bookmarkStart w:id="589" w:name="Tc_xyUwHJz_K0yl_spAdj-fUA_8_11"/>
      <w:bookmarkStart w:id="590" w:name="Tc_CkJTfetyDkKrh8iD9nr-aA_8_8"/>
      <w:bookmarkStart w:id="591" w:name="Tc_9DEgR8pe8UabE3TGArkoaw_8_5"/>
      <w:bookmarkStart w:id="592" w:name="Tc_wQJkFOylDEeZENaQxtXKaQ_8_0"/>
      <w:bookmarkStart w:id="593" w:name="Tc_t4-a1oTLYkqcxBpQrSzXQA_7_11"/>
      <w:bookmarkStart w:id="594" w:name="Tc_UgXkhNFv2E6EIEqykzMszg_7_5"/>
      <w:bookmarkStart w:id="595" w:name="Tc_32FnYLewrkWIZ7oMHk_HuA_7_2"/>
      <w:bookmarkStart w:id="596" w:name="Tc_0QxIiCc7dE-dMjGzJ6e3vg_7_0"/>
      <w:bookmarkStart w:id="597" w:name="Tc_A077SwR9k0iZC9q7RRBKHw_6_11"/>
      <w:bookmarkStart w:id="598" w:name="Tc_RhXDiwOVQUiFJ4pjmIoPPw_6_5"/>
      <w:bookmarkStart w:id="599" w:name="Tc_blGEueQuzUmgBSHxVjvSkg_6_2"/>
      <w:bookmarkStart w:id="600" w:name="Tc_sf6gnCjzzEag_M1h5fFH-w_6_0"/>
      <w:bookmarkStart w:id="601" w:name="Tc_u80PyPjfVUioWxqbTJNevw_5_11"/>
      <w:bookmarkStart w:id="602" w:name="Tc_rBaSVGF_JkqVOoJ9_nzrQw_5_5"/>
      <w:bookmarkStart w:id="603" w:name="Tc_KOvXfWztKEa_oImeGpbfgQ_5_2"/>
      <w:bookmarkStart w:id="604" w:name="Tc_gGrI-Z_PlEGUjexmoy4qEg_5_0"/>
      <w:bookmarkStart w:id="605" w:name="Tc_J8JEYIgNZkCQopMBgA1Lig_4_13"/>
      <w:bookmarkStart w:id="606" w:name="Tc_33fxnYkE-0WApuGH1Cq9RQ_4_10"/>
      <w:bookmarkStart w:id="607" w:name="Tc_rFHDlH4QaEKLvkpBVuCWKg_4_7"/>
      <w:bookmarkStart w:id="608" w:name="Tc_CBNTFsVZq0O3vpOJNePn9w_4_4"/>
      <w:bookmarkStart w:id="609" w:name="Tc_i79DOnrzoUeXxIZRopuF5w_4_0"/>
      <w:bookmarkStart w:id="610" w:name="Tc_3RhlGAiuukSLIBkcz1SCgA_3_13"/>
      <w:bookmarkStart w:id="611" w:name="Tc_Kp9kiGo2dEOOMbp7hsvb9Q_3_10"/>
      <w:bookmarkStart w:id="612" w:name="Tc_sAStuvDfDE2IkJYiYTMtrg_3_7"/>
      <w:bookmarkStart w:id="613" w:name="Tc_vz9zfCYUC0-Bt2g1ZNikSw_3_4"/>
      <w:bookmarkStart w:id="614" w:name="Tc_-xwZtIWXeEqwZU2kWf8upA_3_2"/>
      <w:bookmarkStart w:id="615" w:name="Tc_LSJ23R38cUWsyJ2v4IGPnQ_2_13"/>
      <w:bookmarkStart w:id="616" w:name="Tc_ptynhgqVnk-9mJr7MhWDhg_2_10"/>
      <w:bookmarkStart w:id="617" w:name="Tc_ZCj5JghrgUuot1ln2TN9RA_2_7"/>
      <w:bookmarkStart w:id="618" w:name="Tc_2znnM8WsUEeepd49mn6G_g_2_2"/>
      <w:bookmarkStart w:id="619" w:name="Tc_malQ0_2y2k-L9ZLfEJRX4w_1_13"/>
      <w:bookmarkStart w:id="620" w:name="Tc_DoiP9en9Kk2oOppJJV6GiA_1_7"/>
      <w:bookmarkStart w:id="621" w:name="_8e4fee66_3d83_48f5_b872_b96f8be05500"/>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tbl>
      <w:tblPr>
        <w:tblW w:w="10205" w:type="dxa"/>
        <w:jc w:val="left"/>
        <w:tblInd w:w="0" w:type="dxa"/>
        <w:tblLayout w:type="fixed"/>
        <w:tblCellMar>
          <w:top w:w="0" w:type="dxa"/>
          <w:left w:w="0" w:type="dxa"/>
          <w:bottom w:w="0" w:type="dxa"/>
          <w:right w:w="0" w:type="dxa"/>
        </w:tblCellMar>
      </w:tblPr>
      <w:tblGrid>
        <w:gridCol w:w="4506"/>
        <w:gridCol w:w="326"/>
        <w:gridCol w:w="601"/>
        <w:gridCol w:w="326"/>
        <w:gridCol w:w="216"/>
        <w:gridCol w:w="415"/>
        <w:gridCol w:w="326"/>
        <w:gridCol w:w="187"/>
        <w:gridCol w:w="624"/>
        <w:gridCol w:w="326"/>
        <w:gridCol w:w="207"/>
        <w:gridCol w:w="739"/>
        <w:gridCol w:w="326"/>
        <w:gridCol w:w="258"/>
        <w:gridCol w:w="822"/>
      </w:tblGrid>
      <w:tr>
        <w:trPr/>
        <w:tc>
          <w:tcPr>
            <w:tcW w:w="4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61310" cy="175260"/>
                      <wp:effectExtent l="0" t="0" r="0" b="0"/>
                      <wp:wrapNone/>
                      <wp:docPr id="50" name="Frame49"/>
                      <a:graphic xmlns:a="http://schemas.openxmlformats.org/drawingml/2006/main">
                        <a:graphicData uri="http://schemas.microsoft.com/office/word/2010/wordprocessingShape">
                          <wps:wsp>
                            <wps:cNvSpPr txBox="1"/>
                            <wps:spPr>
                              <a:xfrm>
                                <a:off x="0" y="0"/>
                                <a:ext cx="286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81635" cy="175260"/>
                      <wp:effectExtent l="0" t="0" r="0" b="0"/>
                      <wp:wrapNone/>
                      <wp:docPr id="52" name="Frame5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7160" cy="175260"/>
                      <wp:effectExtent l="0" t="0" r="0" b="0"/>
                      <wp:wrapNone/>
                      <wp:docPr id="54" name="Frame5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63525" cy="175260"/>
                      <wp:effectExtent l="0" t="0" r="0" b="0"/>
                      <wp:wrapNone/>
                      <wp:docPr id="55" name="Frame5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18745" cy="175260"/>
                      <wp:effectExtent l="0" t="0" r="0" b="0"/>
                      <wp:wrapNone/>
                      <wp:docPr id="57" name="Frame56"/>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96240" cy="175260"/>
                      <wp:effectExtent l="0" t="0" r="0" b="0"/>
                      <wp:wrapNone/>
                      <wp:docPr id="58" name="Frame57"/>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1445" cy="175260"/>
                      <wp:effectExtent l="0" t="0" r="0" b="0"/>
                      <wp:wrapNone/>
                      <wp:docPr id="60" name="Frame59"/>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9265" cy="175260"/>
                      <wp:effectExtent l="0" t="0" r="0" b="0"/>
                      <wp:wrapNone/>
                      <wp:docPr id="61" name="Frame60"/>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3830" cy="175260"/>
                      <wp:effectExtent l="0" t="0" r="0" b="0"/>
                      <wp:wrapNone/>
                      <wp:docPr id="63" name="Frame6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1970" cy="175260"/>
                      <wp:effectExtent l="0" t="0" r="0" b="0"/>
                      <wp:wrapNone/>
                      <wp:docPr id="64" name="Frame63"/>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0"/>
              <w:ind w:left="0" w:right="0" w:hanging="0"/>
              <w:jc w:val="center"/>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4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4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182,380</w:t>
            </w:r>
          </w:p>
        </w:tc>
        <w:tc>
          <w:tcPr>
            <w:tcW w:w="326"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393,539</w:t>
            </w:r>
          </w:p>
        </w:tc>
        <w:tc>
          <w:tcPr>
            <w:tcW w:w="326" w:type="dxa"/>
            <w:tcBorders/>
            <w:shd w:fill="CCEEFF" w:val="clear"/>
            <w:vAlign w:val="center"/>
          </w:tcPr>
          <w:p>
            <w:pPr>
              <w:pStyle w:val="TableContents"/>
              <w:bidi w:val="0"/>
              <w:spacing w:before="0" w:after="0"/>
              <w:ind w:left="0" w:right="0" w:hanging="0"/>
              <w:jc w:val="center"/>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(382,042)</w:t>
            </w:r>
          </w:p>
        </w:tc>
        <w:tc>
          <w:tcPr>
            <w:tcW w:w="326"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11,498</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options</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employee stock purchase plan (“ESPP”)</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557</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contributions to the ESPP</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$2</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930</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 sale of common stock, pre-funded warrants and warrants, net of $230</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19,000</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1,770</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1,770</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(6,599)</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(6,599)</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March 31, 2024</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202,867</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395,796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(388,641)</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7,156</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ESPP</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(refunds) from contributions to the ESPP</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Pre-funded warrants 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15,014</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(4,258)</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(4,258)</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218,483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395,906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(392,899)</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3,008</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ESPP</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contributions to the ESPP</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$234</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40,573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704</w:t>
            </w:r>
          </w:p>
        </w:tc>
      </w:tr>
      <w:tr>
        <w:trPr/>
        <w:tc>
          <w:tcPr>
            <w:tcW w:w="45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(3,412)</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(3,412)</w:t>
            </w:r>
          </w:p>
        </w:tc>
      </w:tr>
      <w:tr>
        <w:trPr/>
        <w:tc>
          <w:tcPr>
            <w:tcW w:w="450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September 30, 2024</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259,147</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396,744</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(396,311)</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2"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434</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reverse stock split effected in August 2025, as discussed in Note 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22" w:name="_6861c675_0384_426a_adc6_cbe5c7610fad"/>
      <w:bookmarkEnd w:id="622"/>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23" w:name="Tc_UjIaZh6gMEKWdx_h3oedVg_46_6"/>
      <w:bookmarkStart w:id="624" w:name="Tc_7Dsn8BkXtEihVIT40pTb4A_46_5"/>
      <w:bookmarkStart w:id="625" w:name="Tc_O49q98cK3EWa3ecGqZR8gQ_46_2"/>
      <w:bookmarkStart w:id="626" w:name="Tc_aYVi22gCIkeu7xRJjK9LNA_46_0"/>
      <w:bookmarkStart w:id="627" w:name="Tc_9fJvSHAh6U6s07k_Snv9pA_45_6"/>
      <w:bookmarkStart w:id="628" w:name="Tc_oT0adXcbzk-KZ5qRTc_d_Q_45_5"/>
      <w:bookmarkStart w:id="629" w:name="Tc_UvhLbxP0m0y_3o5zD8zYNQ_45_2"/>
      <w:bookmarkStart w:id="630" w:name="Tc_I3dc-Vv_XESzyw-H9mt_hA_45_0"/>
      <w:bookmarkStart w:id="631" w:name="Tc_E_GYlPdo2USrBDB7oeFgMA_44_6"/>
      <w:bookmarkStart w:id="632" w:name="Tc_I7mOAHkdIEWd2j1rE3NVNg_44_5"/>
      <w:bookmarkStart w:id="633" w:name="Tc_LKgDzimEV0uHZ1xUBV2mNg_44_2"/>
      <w:bookmarkStart w:id="634" w:name="Tc_uL9B7moJxU6n12z67RDJ2g_44_0"/>
      <w:bookmarkStart w:id="635" w:name="Tc_7JNK3RZwqEyEgkuxhBgKqg_43_6"/>
      <w:bookmarkStart w:id="636" w:name="Tc_sAZhn839YEq9f9CvH6meyA_43_5"/>
      <w:bookmarkStart w:id="637" w:name="Tc_mtju1Ywva0G11JfTc4BdtA_43_2"/>
      <w:bookmarkStart w:id="638" w:name="Tc_AXkXAZ9XYEOfuSWKTyLRWA_43_0"/>
      <w:bookmarkStart w:id="639" w:name="Tc_bKLZOrUc7EWwoF8UuVopQg_42_5"/>
      <w:bookmarkStart w:id="640" w:name="Tc_7SwOAI1NvUyJ8VsTfiYVwg_42_2"/>
      <w:bookmarkStart w:id="641" w:name="Tc_nymC2brZAUyRQiYIWgDjwQ_42_0"/>
      <w:bookmarkStart w:id="642" w:name="Tc_yklUlCd8dUqiAHQArXEZqA_41_5"/>
      <w:bookmarkStart w:id="643" w:name="Tc_VBRtvGzxc0enGtkLb8MmOA_41_3"/>
      <w:bookmarkStart w:id="644" w:name="Tc_g4gxsg0QSEe0lcYgWGKW8Q_41_2"/>
      <w:bookmarkStart w:id="645" w:name="Tc_5siNbitCTEat2naTEn9eeA_41_0"/>
      <w:bookmarkStart w:id="646" w:name="Tc_z5USQx5SW0i5MhaGgOlbYA_40_0"/>
      <w:bookmarkStart w:id="647" w:name="Tc_4sVlZsYy_0qUVtfJJwsb9w_39_6"/>
      <w:bookmarkStart w:id="648" w:name="Tc_equOIaPF0k2CXvRK9a8SuQ_39_5"/>
      <w:bookmarkStart w:id="649" w:name="Tc_XgG4rK0fbUCONGOy8Ht5Pw_39_2"/>
      <w:bookmarkStart w:id="650" w:name="Tc_yOynEFZU4EiHd12JQ6sq4Q_39_0"/>
      <w:bookmarkStart w:id="651" w:name="Tc_cJN1Wtd67UGTOWpVyi_ILw_38_0"/>
      <w:bookmarkStart w:id="652" w:name="Tc_HcSzlYAkyUK_xvqZaEXvcg_36_5"/>
      <w:bookmarkStart w:id="653" w:name="Tc_9z4tZQ2z3E6loj4KXZfXpw_36_2"/>
      <w:bookmarkStart w:id="654" w:name="Tc_VR2eF-KGMUqj2cG80ZI50Q_36_0"/>
      <w:bookmarkStart w:id="655" w:name="Tc_UfdYmzO7BU6BWWDRJgjGCw_35_0"/>
      <w:bookmarkStart w:id="656" w:name="Tc_f2mkkINYXUyom7LXzWl_MA_34_0"/>
      <w:bookmarkStart w:id="657" w:name="Tc_TByMu_YYukqKGnSdRLfkJg_33_0"/>
      <w:bookmarkStart w:id="658" w:name="Tc_3aOgYF_mUEuhs94udRcLKQ_32_3"/>
      <w:bookmarkStart w:id="659" w:name="Tc_YfqcumfMnECy5OlFn_EwQg_32_0"/>
      <w:bookmarkStart w:id="660" w:name="Tc_d3guBBKsqky1nw0YMyb3Zg_31_0"/>
      <w:bookmarkStart w:id="661" w:name="Tc_LjS5AWU6jkmV_hGabkym5g_30_0"/>
      <w:bookmarkStart w:id="662" w:name="Tc_2imaJ2Jj3UKfJ4OzUXStcw_29_6"/>
      <w:bookmarkStart w:id="663" w:name="Tc_PunE9mzs6U2mrSM54RFTcQ_29_0"/>
      <w:bookmarkStart w:id="664" w:name="Tc_aeSxODpOMUSPltjVKLNVlQ_28_6"/>
      <w:bookmarkStart w:id="665" w:name="Tc_7mDqtbR2HE2CdLAlhC2w_A_28_0"/>
      <w:bookmarkStart w:id="666" w:name="Tc_ZUL0sD1t9UuwRFFQF3vX7w_27_6"/>
      <w:bookmarkStart w:id="667" w:name="Tc_JaDn7XCiG0uvmp7HPX3DQw_27_0"/>
      <w:bookmarkStart w:id="668" w:name="Tc_6aqiWlsri0qF3SZT0UYVtQ_26_0"/>
      <w:bookmarkStart w:id="669" w:name="Tc_c64lArMce0KDOypMO-CDNw_25_0"/>
      <w:bookmarkStart w:id="670" w:name="Tc_1CC4Y_vaVEeZ-2DGHQGvSQ_24_0"/>
      <w:bookmarkStart w:id="671" w:name="Tc_yrdf-E48hUm6Pr82EcW2MQ_23_0"/>
      <w:bookmarkStart w:id="672" w:name="Tc_zIB_1oi-G0qLxoT3MfwICg_22_0"/>
      <w:bookmarkStart w:id="673" w:name="Tc_hzOTrUoeQkKHW3e4AQLxWw_21_0"/>
      <w:bookmarkStart w:id="674" w:name="Tc_jFMsRQ8VWEeLebgQBIKPGQ_20_0"/>
      <w:bookmarkStart w:id="675" w:name="Tc_1RSfCm2N6kSxL9OLj-LXXA_19_0"/>
      <w:bookmarkStart w:id="676" w:name="Tc_uCope-lZRk-M_nOOOy6OHQ_18_0"/>
      <w:bookmarkStart w:id="677" w:name="Tc_0xbC-1Z6UUyWKCVeeJrqkw_17_0"/>
      <w:bookmarkStart w:id="678" w:name="Tc_3o-lzED_oUCrOg-9QjTUyw_16_0"/>
      <w:bookmarkStart w:id="679" w:name="Tc_wcJ4QJoO_0Kbo8w-ljBw9g_15_0"/>
      <w:bookmarkStart w:id="680" w:name="Tc_bTYWYCZL_UGXCVaQhJNf3w_14_0"/>
      <w:bookmarkStart w:id="681" w:name="Tc_qcKNAM0REE6KRmaMAKhFQw_13_0"/>
      <w:bookmarkStart w:id="682" w:name="Tc_Q1e6X6oam0WHzmofoExccw_12_0"/>
      <w:bookmarkStart w:id="683" w:name="Tc_GO4CXxAMI0qSS3YpIM6m4A_11_6"/>
      <w:bookmarkStart w:id="684" w:name="Tc_82NLUjfPCki7AlmoQZ31Xg_11_0"/>
      <w:bookmarkStart w:id="685" w:name="Tc_f85B-tNnt0ufj3JzdDZzgw_10_0"/>
      <w:bookmarkStart w:id="686" w:name="Tc_BVofc4rFeUqTvrRw-PVChQ_9_6"/>
      <w:bookmarkStart w:id="687" w:name="Tc_Au_8KwamX0mqHyMTfecjNQ_9_0"/>
      <w:bookmarkStart w:id="688" w:name="Tc_8tKkxa56Skq1JADduaQdTw_8_6"/>
      <w:bookmarkStart w:id="689" w:name="Tc_cw0pzUi8QEKf6rVbqby0ww_8_0"/>
      <w:bookmarkStart w:id="690" w:name="Tc_rXUnkU7LJE-eW1vZaadLig_7_0"/>
      <w:bookmarkStart w:id="691" w:name="Tc_oi-UAsReQ0Key3Egs7jvsA_6_0"/>
      <w:bookmarkStart w:id="692" w:name="Tc_7EpWacQjhUyfnQMDTEiKZQ_5_0"/>
      <w:bookmarkStart w:id="693" w:name="Tc_4z7nT1ERykGLEnsMx9SYcQ_4_5"/>
      <w:bookmarkStart w:id="694" w:name="Tc_3IFtHIY6H0G5de9zLGdfcQ_4_2"/>
      <w:bookmarkStart w:id="695" w:name="Tc_trMHLHI7IEycncENqA8__w_4_0"/>
      <w:bookmarkStart w:id="696" w:name="Tc_yq0d2EcopEWHU1kDTtDBkw_3_0"/>
      <w:bookmarkStart w:id="697" w:name="Tc_J6IhTi4Fxkys0ALJPmPz2Q_2_5"/>
      <w:bookmarkStart w:id="698" w:name="Tc_zScY8Et2KUCVq507YAG-aQ_2_2"/>
      <w:bookmarkStart w:id="699" w:name="Tc_yUOaNPbvHUCdQ0c4ZYVGBQ_1_2"/>
      <w:bookmarkStart w:id="700" w:name="_370ee853_1597_4b1f_8514_a52156f65458"/>
      <w:bookmarkStart w:id="701" w:name="Tc_UjIaZh6gMEKWdx_h3oedVg_46_6"/>
      <w:bookmarkStart w:id="702" w:name="Tc_7Dsn8BkXtEihVIT40pTb4A_46_5"/>
      <w:bookmarkStart w:id="703" w:name="Tc_O49q98cK3EWa3ecGqZR8gQ_46_2"/>
      <w:bookmarkStart w:id="704" w:name="Tc_aYVi22gCIkeu7xRJjK9LNA_46_0"/>
      <w:bookmarkStart w:id="705" w:name="Tc_9fJvSHAh6U6s07k_Snv9pA_45_6"/>
      <w:bookmarkStart w:id="706" w:name="Tc_oT0adXcbzk-KZ5qRTc_d_Q_45_5"/>
      <w:bookmarkStart w:id="707" w:name="Tc_UvhLbxP0m0y_3o5zD8zYNQ_45_2"/>
      <w:bookmarkStart w:id="708" w:name="Tc_I3dc-Vv_XESzyw-H9mt_hA_45_0"/>
      <w:bookmarkStart w:id="709" w:name="Tc_E_GYlPdo2USrBDB7oeFgMA_44_6"/>
      <w:bookmarkStart w:id="710" w:name="Tc_I7mOAHkdIEWd2j1rE3NVNg_44_5"/>
      <w:bookmarkStart w:id="711" w:name="Tc_LKgDzimEV0uHZ1xUBV2mNg_44_2"/>
      <w:bookmarkStart w:id="712" w:name="Tc_uL9B7moJxU6n12z67RDJ2g_44_0"/>
      <w:bookmarkStart w:id="713" w:name="Tc_7JNK3RZwqEyEgkuxhBgKqg_43_6"/>
      <w:bookmarkStart w:id="714" w:name="Tc_sAZhn839YEq9f9CvH6meyA_43_5"/>
      <w:bookmarkStart w:id="715" w:name="Tc_mtju1Ywva0G11JfTc4BdtA_43_2"/>
      <w:bookmarkStart w:id="716" w:name="Tc_AXkXAZ9XYEOfuSWKTyLRWA_43_0"/>
      <w:bookmarkStart w:id="717" w:name="Tc_bKLZOrUc7EWwoF8UuVopQg_42_5"/>
      <w:bookmarkStart w:id="718" w:name="Tc_7SwOAI1NvUyJ8VsTfiYVwg_42_2"/>
      <w:bookmarkStart w:id="719" w:name="Tc_nymC2brZAUyRQiYIWgDjwQ_42_0"/>
      <w:bookmarkStart w:id="720" w:name="Tc_yklUlCd8dUqiAHQArXEZqA_41_5"/>
      <w:bookmarkStart w:id="721" w:name="Tc_VBRtvGzxc0enGtkLb8MmOA_41_3"/>
      <w:bookmarkStart w:id="722" w:name="Tc_g4gxsg0QSEe0lcYgWGKW8Q_41_2"/>
      <w:bookmarkStart w:id="723" w:name="Tc_5siNbitCTEat2naTEn9eeA_41_0"/>
      <w:bookmarkStart w:id="724" w:name="Tc_z5USQx5SW0i5MhaGgOlbYA_40_0"/>
      <w:bookmarkStart w:id="725" w:name="Tc_4sVlZsYy_0qUVtfJJwsb9w_39_6"/>
      <w:bookmarkStart w:id="726" w:name="Tc_equOIaPF0k2CXvRK9a8SuQ_39_5"/>
      <w:bookmarkStart w:id="727" w:name="Tc_XgG4rK0fbUCONGOy8Ht5Pw_39_2"/>
      <w:bookmarkStart w:id="728" w:name="Tc_yOynEFZU4EiHd12JQ6sq4Q_39_0"/>
      <w:bookmarkStart w:id="729" w:name="Tc_cJN1Wtd67UGTOWpVyi_ILw_38_0"/>
      <w:bookmarkStart w:id="730" w:name="Tc_HcSzlYAkyUK_xvqZaEXvcg_36_5"/>
      <w:bookmarkStart w:id="731" w:name="Tc_9z4tZQ2z3E6loj4KXZfXpw_36_2"/>
      <w:bookmarkStart w:id="732" w:name="Tc_VR2eF-KGMUqj2cG80ZI50Q_36_0"/>
      <w:bookmarkStart w:id="733" w:name="Tc_UfdYmzO7BU6BWWDRJgjGCw_35_0"/>
      <w:bookmarkStart w:id="734" w:name="Tc_f2mkkINYXUyom7LXzWl_MA_34_0"/>
      <w:bookmarkStart w:id="735" w:name="Tc_TByMu_YYukqKGnSdRLfkJg_33_0"/>
      <w:bookmarkStart w:id="736" w:name="Tc_3aOgYF_mUEuhs94udRcLKQ_32_3"/>
      <w:bookmarkStart w:id="737" w:name="Tc_YfqcumfMnECy5OlFn_EwQg_32_0"/>
      <w:bookmarkStart w:id="738" w:name="Tc_d3guBBKsqky1nw0YMyb3Zg_31_0"/>
      <w:bookmarkStart w:id="739" w:name="Tc_LjS5AWU6jkmV_hGabkym5g_30_0"/>
      <w:bookmarkStart w:id="740" w:name="Tc_2imaJ2Jj3UKfJ4OzUXStcw_29_6"/>
      <w:bookmarkStart w:id="741" w:name="Tc_PunE9mzs6U2mrSM54RFTcQ_29_0"/>
      <w:bookmarkStart w:id="742" w:name="Tc_aeSxODpOMUSPltjVKLNVlQ_28_6"/>
      <w:bookmarkStart w:id="743" w:name="Tc_7mDqtbR2HE2CdLAlhC2w_A_28_0"/>
      <w:bookmarkStart w:id="744" w:name="Tc_ZUL0sD1t9UuwRFFQF3vX7w_27_6"/>
      <w:bookmarkStart w:id="745" w:name="Tc_JaDn7XCiG0uvmp7HPX3DQw_27_0"/>
      <w:bookmarkStart w:id="746" w:name="Tc_6aqiWlsri0qF3SZT0UYVtQ_26_0"/>
      <w:bookmarkStart w:id="747" w:name="Tc_c64lArMce0KDOypMO-CDNw_25_0"/>
      <w:bookmarkStart w:id="748" w:name="Tc_1CC4Y_vaVEeZ-2DGHQGvSQ_24_0"/>
      <w:bookmarkStart w:id="749" w:name="Tc_yrdf-E48hUm6Pr82EcW2MQ_23_0"/>
      <w:bookmarkStart w:id="750" w:name="Tc_zIB_1oi-G0qLxoT3MfwICg_22_0"/>
      <w:bookmarkStart w:id="751" w:name="Tc_hzOTrUoeQkKHW3e4AQLxWw_21_0"/>
      <w:bookmarkStart w:id="752" w:name="Tc_jFMsRQ8VWEeLebgQBIKPGQ_20_0"/>
      <w:bookmarkStart w:id="753" w:name="Tc_1RSfCm2N6kSxL9OLj-LXXA_19_0"/>
      <w:bookmarkStart w:id="754" w:name="Tc_uCope-lZRk-M_nOOOy6OHQ_18_0"/>
      <w:bookmarkStart w:id="755" w:name="Tc_0xbC-1Z6UUyWKCVeeJrqkw_17_0"/>
      <w:bookmarkStart w:id="756" w:name="Tc_3o-lzED_oUCrOg-9QjTUyw_16_0"/>
      <w:bookmarkStart w:id="757" w:name="Tc_wcJ4QJoO_0Kbo8w-ljBw9g_15_0"/>
      <w:bookmarkStart w:id="758" w:name="Tc_bTYWYCZL_UGXCVaQhJNf3w_14_0"/>
      <w:bookmarkStart w:id="759" w:name="Tc_qcKNAM0REE6KRmaMAKhFQw_13_0"/>
      <w:bookmarkStart w:id="760" w:name="Tc_Q1e6X6oam0WHzmofoExccw_12_0"/>
      <w:bookmarkStart w:id="761" w:name="Tc_GO4CXxAMI0qSS3YpIM6m4A_11_6"/>
      <w:bookmarkStart w:id="762" w:name="Tc_82NLUjfPCki7AlmoQZ31Xg_11_0"/>
      <w:bookmarkStart w:id="763" w:name="Tc_f85B-tNnt0ufj3JzdDZzgw_10_0"/>
      <w:bookmarkStart w:id="764" w:name="Tc_BVofc4rFeUqTvrRw-PVChQ_9_6"/>
      <w:bookmarkStart w:id="765" w:name="Tc_Au_8KwamX0mqHyMTfecjNQ_9_0"/>
      <w:bookmarkStart w:id="766" w:name="Tc_8tKkxa56Skq1JADduaQdTw_8_6"/>
      <w:bookmarkStart w:id="767" w:name="Tc_cw0pzUi8QEKf6rVbqby0ww_8_0"/>
      <w:bookmarkStart w:id="768" w:name="Tc_rXUnkU7LJE-eW1vZaadLig_7_0"/>
      <w:bookmarkStart w:id="769" w:name="Tc_oi-UAsReQ0Key3Egs7jvsA_6_0"/>
      <w:bookmarkStart w:id="770" w:name="Tc_7EpWacQjhUyfnQMDTEiKZQ_5_0"/>
      <w:bookmarkStart w:id="771" w:name="Tc_4z7nT1ERykGLEnsMx9SYcQ_4_5"/>
      <w:bookmarkStart w:id="772" w:name="Tc_3IFtHIY6H0G5de9zLGdfcQ_4_2"/>
      <w:bookmarkStart w:id="773" w:name="Tc_trMHLHI7IEycncENqA8__w_4_0"/>
      <w:bookmarkStart w:id="774" w:name="Tc_yq0d2EcopEWHU1kDTtDBkw_3_0"/>
      <w:bookmarkStart w:id="775" w:name="Tc_J6IhTi4Fxkys0ALJPmPz2Q_2_5"/>
      <w:bookmarkStart w:id="776" w:name="Tc_zScY8Et2KUCVq507YAG-aQ_2_2"/>
      <w:bookmarkStart w:id="777" w:name="Tc_yUOaNPbvHUCdQ0c4ZYVGBQ_1_2"/>
      <w:bookmarkStart w:id="778" w:name="_370ee853_1597_4b1f_8514_a52156f65458"/>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tbl>
      <w:tblPr>
        <w:tblW w:w="10205" w:type="dxa"/>
        <w:jc w:val="left"/>
        <w:tblInd w:w="0" w:type="dxa"/>
        <w:tblLayout w:type="fixed"/>
        <w:tblCellMar>
          <w:top w:w="0" w:type="dxa"/>
          <w:left w:w="0" w:type="dxa"/>
          <w:bottom w:w="0" w:type="dxa"/>
          <w:right w:w="0" w:type="dxa"/>
        </w:tblCellMar>
      </w:tblPr>
      <w:tblGrid>
        <w:gridCol w:w="6810"/>
        <w:gridCol w:w="326"/>
        <w:gridCol w:w="272"/>
        <w:gridCol w:w="1022"/>
        <w:gridCol w:w="421"/>
        <w:gridCol w:w="272"/>
        <w:gridCol w:w="1082"/>
      </w:tblGrid>
      <w:tr>
        <w:trPr/>
        <w:tc>
          <w:tcPr>
            <w:tcW w:w="6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324350" cy="175260"/>
                      <wp:effectExtent l="0" t="0" r="0" b="0"/>
                      <wp:wrapNone/>
                      <wp:docPr id="65" name="Frame64"/>
                      <a:graphic xmlns:a="http://schemas.openxmlformats.org/drawingml/2006/main">
                        <a:graphicData uri="http://schemas.microsoft.com/office/word/2010/wordprocessingShape">
                          <wps:wsp>
                            <wps:cNvSpPr txBox="1"/>
                            <wps:spPr>
                              <a:xfrm>
                                <a:off x="0" y="0"/>
                                <a:ext cx="432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72720" cy="175260"/>
                      <wp:effectExtent l="0" t="0" r="0" b="0"/>
                      <wp:wrapNone/>
                      <wp:docPr id="67" name="Frame66"/>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970" cy="175260"/>
                      <wp:effectExtent l="0" t="0" r="0" b="0"/>
                      <wp:wrapNone/>
                      <wp:docPr id="68" name="Frame67"/>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67335" cy="175260"/>
                      <wp:effectExtent l="0" t="0" r="0" b="0"/>
                      <wp:wrapNone/>
                      <wp:docPr id="69" name="Frame6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72720" cy="175260"/>
                      <wp:effectExtent l="0" t="0" r="0" b="0"/>
                      <wp:wrapNone/>
                      <wp:docPr id="70" name="Frame6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87070" cy="175260"/>
                      <wp:effectExtent l="0" t="0" r="0" b="0"/>
                      <wp:wrapNone/>
                      <wp:docPr id="71" name="Frame70"/>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68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1" w:type="dxa"/>
            <w:tcBorders/>
            <w:vAlign w:val="center"/>
          </w:tcPr>
          <w:p>
            <w:pPr>
              <w:pStyle w:val="TableContents"/>
              <w:bidi w:val="0"/>
              <w:spacing w:before="0" w:after="1"/>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72"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  </w:t>
            </w:r>
          </w:p>
        </w:tc>
        <w:tc>
          <w:tcPr>
            <w:tcW w:w="421" w:type="dxa"/>
            <w:tcBorders/>
            <w:shd w:fill="CCEEFF" w:val="clear"/>
            <w:vAlign w:val="center"/>
          </w:tcPr>
          <w:p>
            <w:pPr>
              <w:pStyle w:val="TableContents"/>
              <w:bidi w:val="0"/>
              <w:spacing w:before="0" w:after="1"/>
              <w:ind w:left="0" w:right="0" w:hanging="0"/>
              <w:jc w:val="left"/>
              <w:rPr/>
            </w:pPr>
            <w:r>
              <w:rPr/>
              <w:t> </w:t>
            </w:r>
          </w:p>
        </w:tc>
        <w:tc>
          <w:tcPr>
            <w:tcW w:w="272" w:type="dxa"/>
            <w:tcBorders/>
            <w:shd w:fill="CCEEFF" w:val="clear"/>
            <w:vAlign w:val="center"/>
          </w:tcPr>
          <w:p>
            <w:pPr>
              <w:pStyle w:val="TableContents"/>
              <w:bidi w:val="0"/>
              <w:spacing w:before="0" w:after="1"/>
              <w:ind w:left="0" w:right="0" w:hanging="0"/>
              <w:jc w:val="left"/>
              <w:rPr/>
            </w:pPr>
            <w:r>
              <w:rPr/>
              <w:t>​</w:t>
            </w:r>
          </w:p>
        </w:tc>
        <w:tc>
          <w:tcPr>
            <w:tcW w:w="1082" w:type="dxa"/>
            <w:tcBorders/>
            <w:shd w:fill="CCEEFF" w:val="clear"/>
            <w:vAlign w:val="center"/>
          </w:tcPr>
          <w:p>
            <w:pPr>
              <w:pStyle w:val="TableContents"/>
              <w:bidi w:val="0"/>
              <w:spacing w:before="0" w:after="1"/>
              <w:ind w:left="0" w:right="0" w:hanging="0"/>
              <w:jc w:val="right"/>
              <w:rPr/>
            </w:pPr>
            <w:r>
              <w:rPr/>
              <w:t>  </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(8,267)</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(14,269)</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right"/>
              <w:rPr/>
            </w:pPr>
            <w:r>
              <w:rPr/>
              <w:t>—</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short-term loan fees</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pPr>
            <w:r>
              <w:rPr/>
              <w:t>​</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(“ROU”) assets</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(10,012)</w:t>
            </w:r>
          </w:p>
        </w:tc>
        <w:tc>
          <w:tcPr>
            <w:tcW w:w="421"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(14,891)</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21"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pPr>
            <w:r>
              <w:rPr/>
              <w:t>​</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short-term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for financed insurance premiums</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right"/>
              <w:rPr/>
            </w:pPr>
            <w:r>
              <w:rPr/>
              <w:t>—</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exercise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an ATM offering</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18,216</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 sale of common stock and warrant issuance</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contributions to the ESPP</w:t>
            </w:r>
          </w:p>
        </w:tc>
        <w:tc>
          <w:tcPr>
            <w:tcW w:w="326"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21,600</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2,529</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11,545</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(12,485)</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beginning</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13,936</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ending</w:t>
            </w:r>
          </w:p>
        </w:tc>
        <w:tc>
          <w:tcPr>
            <w:tcW w:w="326" w:type="dxa"/>
            <w:tcBorders/>
            <w:vAlign w:val="center"/>
          </w:tcPr>
          <w:p>
            <w:pPr>
              <w:pStyle w:val="TableContents"/>
              <w:bidi w:val="0"/>
              <w:spacing w:before="0" w:after="1"/>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12,898</w:t>
            </w:r>
          </w:p>
        </w:tc>
        <w:tc>
          <w:tcPr>
            <w:tcW w:w="421" w:type="dxa"/>
            <w:tcBorders/>
            <w:vAlign w:val="center"/>
          </w:tcPr>
          <w:p>
            <w:pPr>
              <w:pStyle w:val="TableContents"/>
              <w:bidi w:val="0"/>
              <w:spacing w:before="0" w:after="1"/>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w:t>
            </w:r>
          </w:p>
        </w:tc>
      </w:tr>
      <w:tr>
        <w:trPr/>
        <w:tc>
          <w:tcPr>
            <w:tcW w:w="681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22"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22"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82" w:type="dxa"/>
            <w:tcBorders/>
            <w:vAlign w:val="center"/>
          </w:tcPr>
          <w:p>
            <w:pPr>
              <w:pStyle w:val="TableContents"/>
              <w:bidi w:val="0"/>
              <w:spacing w:before="0" w:after="1"/>
              <w:ind w:left="0" w:right="0" w:hanging="0"/>
              <w:jc w:val="right"/>
              <w:rPr/>
            </w:pPr>
            <w:r>
              <w:rPr/>
              <w:t>​</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non-cash investing and financing activities:</w:t>
            </w:r>
          </w:p>
        </w:tc>
        <w:tc>
          <w:tcPr>
            <w:tcW w:w="326"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22"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 </w:t>
            </w:r>
          </w:p>
        </w:tc>
        <w:tc>
          <w:tcPr>
            <w:tcW w:w="1082" w:type="dxa"/>
            <w:tcBorders/>
            <w:vAlign w:val="center"/>
          </w:tcPr>
          <w:p>
            <w:pPr>
              <w:pStyle w:val="TableContents"/>
              <w:bidi w:val="0"/>
              <w:spacing w:before="0" w:after="1"/>
              <w:ind w:left="0" w:right="0" w:hanging="0"/>
              <w:jc w:val="right"/>
              <w:rPr/>
            </w:pPr>
            <w:r>
              <w:rPr/>
              <w:t>​</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operating lease ROU assets and operating lease liabilities from lease amendment</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operating lease ROU assets and operating lease liabilities from lease modification</w:t>
            </w:r>
          </w:p>
        </w:tc>
        <w:tc>
          <w:tcPr>
            <w:tcW w:w="326" w:type="dxa"/>
            <w:tcBorders/>
            <w:vAlign w:val="center"/>
          </w:tcPr>
          <w:p>
            <w:pPr>
              <w:pStyle w:val="TableContents"/>
              <w:bidi w:val="0"/>
              <w:spacing w:before="0" w:after="1"/>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421" w:type="dxa"/>
            <w:tcBorders/>
            <w:vAlign w:val="center"/>
          </w:tcPr>
          <w:p>
            <w:pPr>
              <w:pStyle w:val="TableContents"/>
              <w:bidi w:val="0"/>
              <w:spacing w:before="0" w:after="1"/>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ROU assets from shares issued to landlord</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in short-term loan payable</w:t>
            </w:r>
          </w:p>
        </w:tc>
        <w:tc>
          <w:tcPr>
            <w:tcW w:w="326" w:type="dxa"/>
            <w:tcBorders/>
            <w:vAlign w:val="center"/>
          </w:tcPr>
          <w:p>
            <w:pPr>
              <w:pStyle w:val="TableContents"/>
              <w:bidi w:val="0"/>
              <w:spacing w:before="0" w:after="1"/>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421" w:type="dxa"/>
            <w:tcBorders/>
            <w:vAlign w:val="center"/>
          </w:tcPr>
          <w:p>
            <w:pPr>
              <w:pStyle w:val="TableContents"/>
              <w:bidi w:val="0"/>
              <w:spacing w:before="0" w:after="1"/>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681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 of warrant liability to equity upon warrant exercise </w:t>
            </w:r>
          </w:p>
        </w:tc>
        <w:tc>
          <w:tcPr>
            <w:tcW w:w="326"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421" w:type="dxa"/>
            <w:tcBorders/>
            <w:shd w:fill="CCEEFF" w:val="clear"/>
            <w:vAlign w:val="center"/>
          </w:tcPr>
          <w:p>
            <w:pPr>
              <w:pStyle w:val="TableContents"/>
              <w:bidi w:val="0"/>
              <w:spacing w:before="0" w:after="1"/>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1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of insurance premiums</w:t>
            </w:r>
          </w:p>
        </w:tc>
        <w:tc>
          <w:tcPr>
            <w:tcW w:w="326" w:type="dxa"/>
            <w:tcBorders/>
            <w:vAlign w:val="center"/>
          </w:tcPr>
          <w:p>
            <w:pPr>
              <w:pStyle w:val="TableContents"/>
              <w:bidi w:val="0"/>
              <w:spacing w:before="0" w:after="1"/>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421" w:type="dxa"/>
            <w:tcBorders/>
            <w:vAlign w:val="center"/>
          </w:tcPr>
          <w:p>
            <w:pPr>
              <w:pStyle w:val="TableContents"/>
              <w:bidi w:val="0"/>
              <w:spacing w:before="0" w:after="1"/>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79" w:name="_a1249262_ae19_45af_9ff0_1a33dcc622ab"/>
      <w:bookmarkEnd w:id="779"/>
      <w:r>
        <w:rPr>
          <w:rFonts w:ascii="Times New Roman;Times;serif" w:hAnsi="Times New Roman;Times;serif"/>
          <w:b/>
          <w:sz w:val="20"/>
        </w:rPr>
        <w:t>ENERGOUS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Condensed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Business Organization, Nature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Energous Corporation d/b/a Energous Wireless Power Solutions (the “Company”) has developed scalable, over-the-air Wireless Power Network (“WPN”) technology that integrates advanced semiconductor chipsets, software controls, hardware designs, and antenna systems to enable radio frequency (“RF”)-based charging for ambient Internet of Things (“ambient IoT”) devices. The Company’s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a patent portfolio exceeding 250 patents, the Company’s solutions support both near-field and at-a-distance wireless charging, supplying power at multiple levels across varying distances, as well as expertise in advanced receiver technology. By enabling continuous wireless power transmission, the Company’s transmitter and receiver technologies facilitate the use of battery-free ambient IoT devices, transforming asset and inventory tracking across multiple industries. Key applications include retail sensors, electronic shelf labels, asset trackers, air quality monitors, motion detectors, and other smart monitoring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date, the Company has developed and released multiple transmitter and receiver solutions. The Company’s transmitters vary in form factor, power specifications, and operating frequencies, while the Company’s receivers are engineered to support a wide range of wireless charging applications across multiple device categories. including:</w:t>
      </w:r>
    </w:p>
    <w:tbl>
      <w:tblPr>
        <w:tblW w:w="5552" w:type="dxa"/>
        <w:jc w:val="left"/>
        <w:tblInd w:w="0" w:type="dxa"/>
        <w:tblLayout w:type="fixed"/>
        <w:tblCellMar>
          <w:top w:w="28" w:type="dxa"/>
          <w:left w:w="110" w:type="dxa"/>
          <w:bottom w:w="28" w:type="dxa"/>
          <w:right w:w="110" w:type="dxa"/>
        </w:tblCellMar>
      </w:tblPr>
      <w:tblGrid>
        <w:gridCol w:w="2056"/>
        <w:gridCol w:w="3496"/>
      </w:tblGrid>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Ambient IoT Sensors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WPN-enabled end product featuring the Company’s technology entered the market in 2019. In the fourth quarter of 2021, the Company commenced shipments of its first at-a-distance wireless PowerBridge transmitter systems for commercial IoT applications and proof-of-concept deployments. In the second quarter of 2025, the Company introduced its battery-free e-Sense tag and e-Compass software platform, establishing the first end-to-end wireless power platform for the ambient IoT.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the Company’s 2025 annual meeting of stockholders held on June 11, 2025, the Company’s stockholders approved a proposal to effect a reverse stock split of the Company’s common stock by a ratio not to exceed 1-for-</w:t>
      </w:r>
      <w:r>
        <w:rPr>
          <w:rFonts w:ascii="Times New Roman;Times;serif" w:hAnsi="Times New Roman;Times;serif"/>
          <w:b w:val="false"/>
          <w:i w:val="false"/>
          <w:caps w:val="false"/>
          <w:smallCaps w:val="false"/>
          <w:sz w:val="20"/>
        </w:rPr>
        <w:t>50</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7, 2025, the Company announced that its Board of Directors (“the Board”) had determined to set the reverse stock split ratio at 1-for-</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and that the Company’s common stock would begin trading at the split-adjusted price beginning August 11, 2025. Upon effectiveness of the reverse stock split, every thirty shares of issued and outstanding common stock held were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common stock. No fractional shares were distributed as a result of the reverse stock split and stockholders were entitled to a cash payment in lieu of fractional shares. Additionally, the par value of the Company’s common stock did not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information presented herein, unless otherwise indicated herein, reflects the 1-for-</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reverse stock split of the Company’s outstanding shares of common stock, and unless otherwise indicated, all such amounts and corresponding conversion price or exercise price data set forth herein have been adjusted to give effect to such reverse stock split.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Liquidity and Management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and nine months ended September 30, 2025, the Company recorded revenue of $1.3 million and $2.6 million, respectively. During the three and nine months ended September 30, 2025, the Company recorded net losses of $2.1 million and $8.3 million, respectively. Net cash used in operating activities was $10.0 million for the nine months ended September 30,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2025, the Company had cash and cash equivalents of $12.9 million. The Company is currently meeting its liquidity requirements through the collection of accounts receivable, supplemented by the exercise of warrants and proceeds of securities offerings, including sales through the ATM Program (as defined in Note 10 – Capital Stock and Warrants) and the recent sale of stock, warrants and pre-funded warrants in September 2025. Such sale of common stock, warrants and pre-funded warrants generated aggregate net proceeds of $4.1 million during the nine months ended September 30, 2025, excluding the ATM Program. The ATM Program generated aggregate net proceeds of $18.2 million during the nine months ended September 30, 2025. Based on current operating levels and further cost reductions implemented during the first nine months of 2025, the Company believes it has sufficient cash on hand and access to capital to fund operations for the next 12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as adoption of this emerging technology by enterprise customers may take longer than expected. Accordingly, the Company may decide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operations and strategic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 for products using the Company’s technology is broad and evolving, so the Company’s success is dependent upon many factors, including customer acceptance of its existing products, technical feasibility of future products, regulatory approvals, the development of complementary technologies, competition and global market fluctuations.</w:t>
      </w:r>
    </w:p>
    <w:p>
      <w:pPr>
        <w:pStyle w:val="TextBody"/>
        <w:bidi w:val="0"/>
        <w:spacing w:before="0" w:after="240"/>
        <w:ind w:left="0" w:right="0" w:hanging="0"/>
        <w:jc w:val="left"/>
        <w:rPr/>
      </w:pPr>
      <w:r>
        <w:rPr/>
        <w:t>​</w:t>
      </w:r>
    </w:p>
    <w:p>
      <w:pPr>
        <w:pStyle w:val="TextBody"/>
        <w:bidi w:val="0"/>
        <w:spacing w:before="0" w:after="21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accompanying unaudited condensed financial statements have been prepared in accordance with accounting principles generally accepted in the United States of America (“US GAAP”), and pursuant to the accounting and disclosure rules and regulations of the U.S. Securities and Exchange Commission (the “SEC”). Certain information and note disclosures have been condensed or omitted pursuant to such rules and regulations. The unaudited condensed financial statements have been prepared on the same basis as the annual financial statements and, in the opinion of management, reflect all adjustments, which include only normal recurring adjustments, necessary for a fair presentation of the periods presented. The results of operations for the three and nine months ended September 30, 2025 are not necessarily indicative of the results to be expected for the full fiscal year ending December 31, 2025, or for other future periods.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These interim unaudited condensed financial statements should be read in conjunction with the audited financial statements and notes thereto for the fiscal year ended December 31, 2024 included in the Company’s Annual Report on Form 10-K for the fiscal year ended December 31, 2024, filed with the SEC on February 27, 2025 (the “2024 Annual Report”). The accounting policies used in preparing these interim unaudited condensed financial statements are consistent with those described in the 2024 Annual Report</w:t>
      </w:r>
      <w:r>
        <w:rPr>
          <w:rFonts w:ascii="Times New Roman;Times;serif" w:hAnsi="Times New Roman;Times;serif"/>
          <w:i/>
          <w:sz w:val="20"/>
        </w:rPr>
        <w:t>.</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Certain reclassifications have been made to the fiscal year 2024 condensed financial statements to conform to the 2025 presentation. The Company reclassified certain expenses between research and development and general and administrative expenses. The amounts were not considered material to the condensed financial statements. The reclassifications had no impact on total assets, total liabilities, stockholders’ equity (deficit) or net loss.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1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 continued</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the proceeds received.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 for identical assets or liabilities to which the Company has access at a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little or no market data exists and for which the Company must develop its own assumptions regarding the assumptions that market participants would use in pricing the asset or liability, including assumptions regarding risk.</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of the Company’s financial assets and liabilities, such as cash, cash equivalents, prepaid expenses and other current assets, and accounts payable and accrued expenses, are an approximate of their fair values because of the short maturity of these instruments. The carrying amounts of the Company’s short-term debt and lease liabilities approximate fair value due to the market interest rates that these obligations bear and interest rates currently available to the Company. The Company’s warrant liability recognized at fair value on a recurring basis is a level 3 measurement (see Note 13 – Fair Value Measurements).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606, “Revenue from Contracts with Customers” (“Topic 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Topic 606, the Company recognizes revenue using the following five-step approach:</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revenue consists of its single segment of wireless charging system solutions. The wireless charging system revenue consists of revenue from product development projects and production-level systems. During the three and nine months ended September 30, 2025, the Company recognized $1.3 million and $2.6 million in revenue, respectively. During the three and nine months ended September 30, 2024, the Company recognized $0.2 million and $0.3 million in revenue, respectively.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records revenue associated with the sales of products, such as PowerBridge transmitter systems and with product development projects that it enters into with certain customers. For the sales of products, the Company generally records revenue upon shipment of the products or after the terms of any applicable return policy have elapsed. In general, the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Shipping and Handling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reflects the cost of shipping its products to customers as a cost of revenue. Reimbursements received from customers for freight costs are recognized as product revenue.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reviews its receivables for collectibility based on historical loss patterns, aging of the receivables, and assessments of specific identifiable client accounts considered at risk or uncollectible and provides allowances for potential credit losses, as needed. The Company also considers any changes to the financial condition of its clients and any other external market factors that could impact the collectibility of the receivables in the determination of the allowance for credit losses. Based on these assessments, the Company did not record a provision for credit losses on its accounts receivable as of September 30, 2025 and December 31, 2024.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follows ASC Topic 310, “Receivables,” to account for transactions related to factoring accounts receivable. The Company did not have a factoring agreement during the three and nine months ended September 30, 2025 and 2024.</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Inventory is stated at the lower of cost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Research and development expenses are charged to operations as incurred. The Company incurred research and development costs of $0.9 million and $3.2 million during the three and nine months ended September 30, 2025, respectively. The Company incurred research and development costs of $1.5 million and $6.0 million during the three and nine months ended September 30, 2024,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the Energous Corporation ESPP, employees purchased a limited number of shares of the Company’s common stock at a 15% discount from the lower of the closing market prices measured on the first and last days of each half-year period. The Company recognized stock-based compensation expense for the fair value of the purchase options, as measured on the grant date. The Company discontinued the ESPP as of January 21, 2025.</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val="false"/>
          <w:caps w:val="false"/>
          <w:smallCaps w:val="false"/>
          <w:sz w:val="20"/>
        </w:rPr>
      </w:pPr>
      <w:bookmarkStart w:id="780" w:name="Tc_YR0MS-HIekqma4IEOlMNxQ_5_0"/>
      <w:bookmarkStart w:id="781" w:name="Tc_YtnCgin_-kmkF-8rvkzNZQ_4_0"/>
      <w:bookmarkStart w:id="782" w:name="Tc_Yl1MpCifokOptaezx7TSfg_3_0"/>
      <w:bookmarkStart w:id="783" w:name="Tc_JdCj8WkLHUetTQSaGBnz3g_2_4"/>
      <w:bookmarkStart w:id="784" w:name="Tc_cPicO1YGLUmJbE2guPyzsQ_2_2"/>
      <w:bookmarkStart w:id="785" w:name="Tc_HcufCWfvsEeGAqRKzGO7qQ_1_2"/>
      <w:bookmarkEnd w:id="780"/>
      <w:bookmarkEnd w:id="781"/>
      <w:bookmarkEnd w:id="782"/>
      <w:bookmarkEnd w:id="783"/>
      <w:bookmarkEnd w:id="784"/>
      <w:bookmarkEnd w:id="785"/>
      <w:r>
        <w:rPr>
          <w:rFonts w:ascii="Times New Roman;Times;serif" w:hAnsi="Times New Roman;Times;serif"/>
          <w:b/>
          <w:i w:val="false"/>
          <w:caps w:val="false"/>
          <w:smallCaps w:val="false"/>
          <w:sz w:val="20"/>
        </w:rPr>
        <w:t>Note 3 – Summary of Significant Accounting Policies,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follows the asset and liability method of accounting for income taxes under ASC Topic 740, “Income Taxes” (“Topic 740”). Deferred tax assets and liabilities are recognized for the expected future tax consequences of temporary differences between financial statement carrying amounts and the tax basis of existing assets and liabilities and net operating loss and tax credit carryforwards. Deferred tax assets and liabilities are measured using the enacted tax rates expected to apply in the years in which those tax assets and liabilities are expected to be realized. The effect on deferred tax assets and liabilities of a change in tax rates is recognized in the period that includes the enactment date. A valuation allowance is established if it is more likely than not that all or a portion of the deferred tax asset will not be realized.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continues to assess the need for a valuation allowance on the deferred tax assets by evaluating both positive and negative evidence that may exist. Any adjustment to the valuation allowance on deferred tax assets would be recorded in the statements of income for the period that the adjustment is determined to be required.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accounts for uncertain tax position in accordance with Topic 740. 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The guidance from Topic 740 also discusses the classification of related interest and penalties on income taxes. The Company’s policy is to record interest and penalties on uncertain tax positions as a component of income tax expense.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July 4, 2025, the One Big Beautiful Bill Act (“OBBBA”) was signed into law. Among other provisions, this act includes permanently extending and modifying certain expiring provisions of the 2017 Tax Cuts and Jobs Act and immediate expensing of domestic research and development expenses. The Company is evaluating the impact of these provisions and does not expect the OBBBA to have a material impact on its consolidated financial statements.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Net Loss Per Common Share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warrants (using the treasury stock method) and the vesting of RSUs. The computation of diluted loss per share excludes potentially dilutive securities of 688,726 shares and 65,007 shares for the three and nine months ended September 30, 2025 and 2024, respectively, as outlined in the table below, because their inclusion would be anti-dilutive.</w:t>
      </w:r>
    </w:p>
    <w:p>
      <w:pPr>
        <w:pStyle w:val="TextBody"/>
        <w:bidi w:val="0"/>
        <w:spacing w:before="0" w:after="0"/>
        <w:ind w:left="0" w:right="0" w:hanging="0"/>
        <w:jc w:val="left"/>
        <w:rPr/>
      </w:pPr>
      <w:r>
        <w:rPr/>
        <w:t>​</w:t>
      </w:r>
    </w:p>
    <w:tbl>
      <w:tblPr>
        <w:tblW w:w="7257" w:type="dxa"/>
        <w:jc w:val="left"/>
        <w:tblInd w:w="0" w:type="dxa"/>
        <w:tblLayout w:type="fixed"/>
        <w:tblCellMar>
          <w:top w:w="0" w:type="dxa"/>
          <w:left w:w="0" w:type="dxa"/>
          <w:bottom w:w="0" w:type="dxa"/>
          <w:right w:w="0" w:type="dxa"/>
        </w:tblCellMar>
      </w:tblPr>
      <w:tblGrid>
        <w:gridCol w:w="3001"/>
        <w:gridCol w:w="326"/>
        <w:gridCol w:w="1626"/>
        <w:gridCol w:w="678"/>
        <w:gridCol w:w="162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05635" cy="175260"/>
                      <wp:effectExtent l="0" t="0" r="0" b="0"/>
                      <wp:wrapNone/>
                      <wp:docPr id="72" name="Frame71"/>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32510" cy="175260"/>
                      <wp:effectExtent l="0" t="0" r="0" b="0"/>
                      <wp:wrapNone/>
                      <wp:docPr id="74" name="Frame73"/>
                      <a:graphic xmlns:a="http://schemas.openxmlformats.org/drawingml/2006/main">
                        <a:graphicData uri="http://schemas.microsoft.com/office/word/2010/wordprocessingShape">
                          <wps:wsp>
                            <wps:cNvSpPr txBox="1"/>
                            <wps:spPr>
                              <a:xfrm>
                                <a:off x="0" y="0"/>
                                <a:ext cx="103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0530" cy="175260"/>
                      <wp:effectExtent l="0" t="0" r="0" b="0"/>
                      <wp:wrapNone/>
                      <wp:docPr id="75" name="Frame74"/>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032510" cy="175260"/>
                      <wp:effectExtent l="0" t="0" r="0" b="0"/>
                      <wp:wrapNone/>
                      <wp:docPr id="76" name="Frame75"/>
                      <a:graphic xmlns:a="http://schemas.openxmlformats.org/drawingml/2006/main">
                        <a:graphicData uri="http://schemas.microsoft.com/office/word/2010/wordprocessingShape">
                          <wps:wsp>
                            <wps:cNvSpPr txBox="1"/>
                            <wps:spPr>
                              <a:xfrm>
                                <a:off x="0" y="0"/>
                                <a:ext cx="103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9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and nine months ended September 30,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78" w:type="dxa"/>
            <w:tcBorders/>
            <w:vAlign w:val="center"/>
          </w:tcPr>
          <w:p>
            <w:pPr>
              <w:pStyle w:val="TableContents"/>
              <w:bidi w:val="0"/>
              <w:spacing w:before="0" w:after="0"/>
              <w:ind w:left="0" w:right="0" w:hanging="0"/>
              <w:jc w:val="center"/>
              <w:rPr/>
            </w:pPr>
            <w:r>
              <w:rPr/>
              <w:t>    </w:t>
            </w:r>
          </w:p>
        </w:tc>
        <w:tc>
          <w:tcPr>
            <w:tcW w:w="1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issued to investors </w:t>
            </w:r>
          </w:p>
        </w:tc>
        <w:tc>
          <w:tcPr>
            <w:tcW w:w="326" w:type="dxa"/>
            <w:tcBorders/>
            <w:shd w:fill="CCEEFF" w:val="clear"/>
            <w:vAlign w:val="center"/>
          </w:tcPr>
          <w:p>
            <w:pPr>
              <w:pStyle w:val="TableContents"/>
              <w:bidi w:val="0"/>
              <w:spacing w:before="0" w:after="0"/>
              <w:ind w:left="0" w:right="0" w:hanging="0"/>
              <w:jc w:val="center"/>
              <w:rPr/>
            </w:pPr>
            <w:r>
              <w:rPr/>
              <w:t>​</w:t>
            </w:r>
          </w:p>
        </w:tc>
        <w:tc>
          <w:tcPr>
            <w:tcW w:w="1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677,428</w:t>
            </w:r>
          </w:p>
        </w:tc>
        <w:tc>
          <w:tcPr>
            <w:tcW w:w="678" w:type="dxa"/>
            <w:tcBorders/>
            <w:shd w:fill="CCEEFF" w:val="clear"/>
            <w:vAlign w:val="center"/>
          </w:tcPr>
          <w:p>
            <w:pPr>
              <w:pStyle w:val="TableContents"/>
              <w:bidi w:val="0"/>
              <w:spacing w:before="0" w:after="0"/>
              <w:ind w:left="0" w:right="0" w:hanging="0"/>
              <w:jc w:val="center"/>
              <w:rPr/>
            </w:pPr>
            <w:r>
              <w:rPr/>
              <w:t>​</w:t>
            </w:r>
          </w:p>
        </w:tc>
        <w:tc>
          <w:tcPr>
            <w:tcW w:w="1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47,764</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26" w:type="dxa"/>
            <w:tcBorders/>
            <w:vAlign w:val="center"/>
          </w:tcPr>
          <w:p>
            <w:pPr>
              <w:pStyle w:val="TableContents"/>
              <w:bidi w:val="0"/>
              <w:spacing w:before="0" w:after="0"/>
              <w:ind w:left="0" w:right="0" w:hanging="0"/>
              <w:jc w:val="left"/>
              <w:rPr/>
            </w:pPr>
            <w:r>
              <w:rPr/>
              <w:t>​</w:t>
            </w:r>
          </w:p>
        </w:tc>
        <w:tc>
          <w:tcPr>
            <w:tcW w:w="1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11,298</w:t>
            </w:r>
          </w:p>
        </w:tc>
        <w:tc>
          <w:tcPr>
            <w:tcW w:w="678" w:type="dxa"/>
            <w:tcBorders/>
            <w:vAlign w:val="center"/>
          </w:tcPr>
          <w:p>
            <w:pPr>
              <w:pStyle w:val="TableContents"/>
              <w:bidi w:val="0"/>
              <w:spacing w:before="0" w:after="0"/>
              <w:ind w:left="0" w:right="0" w:hanging="0"/>
              <w:jc w:val="left"/>
              <w:rPr/>
            </w:pPr>
            <w:r>
              <w:rPr/>
              <w:t>​</w:t>
            </w:r>
          </w:p>
        </w:tc>
        <w:tc>
          <w:tcPr>
            <w:tcW w:w="1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17,243</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potentially dilutive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688,726</w:t>
            </w:r>
          </w:p>
        </w:tc>
        <w:tc>
          <w:tcPr>
            <w:tcW w:w="678" w:type="dxa"/>
            <w:tcBorders/>
            <w:shd w:fill="CCEEFF" w:val="clear"/>
            <w:vAlign w:val="center"/>
          </w:tcPr>
          <w:p>
            <w:pPr>
              <w:pStyle w:val="TableContents"/>
              <w:bidi w:val="0"/>
              <w:spacing w:before="0" w:after="0"/>
              <w:ind w:left="0" w:right="0" w:hanging="0"/>
              <w:jc w:val="left"/>
              <w:rPr/>
            </w:pPr>
            <w:r>
              <w:rPr/>
              <w:t>​</w:t>
            </w:r>
          </w:p>
        </w:tc>
        <w:tc>
          <w:tcPr>
            <w:tcW w:w="16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65,007</w:t>
            </w:r>
          </w:p>
        </w:tc>
      </w:tr>
    </w:tbl>
    <w:p>
      <w:pPr>
        <w:pStyle w:val="TextBody"/>
        <w:bidi w:val="0"/>
        <w:spacing w:before="0" w:after="0"/>
        <w:ind w:left="0" w:right="0" w:hanging="0"/>
        <w:jc w:val="center"/>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the three and nine months ended September 30, 2025, the table above includes 633,111 warrants expiring on September 10, 2030, which have an exercise price of $7.79 per share, and 44,317 warrants expiring on September 10, 2030, which have an exercise price of $9.90 per share. For the three and nine months ended September 30, 2024, the table above includes 34,014 warrants expiring on February 20, 2029, which, as of September 30, 2024, an exercise price of $55.20 per share and 13,750 warrants expiring on March 28, 2029, which, as of September 30, 2024, had an exercise price of $16.80 per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 average number of common shares outstanding as of September 30, 2025, includes the weighted average effect of the 465,347 pre-funded warrants issued in connection with a registered direct offering the Company entered into on September 11, 2025 (see Note 10 – Capital Stock and Warrants) because the exercise of such warrants requires nominal consideration ($0.00001 per share exercise price for each pre-funded warrant). As of September 30, 2025, 115,347 of the pre-funded warrants have been exercised; therefore, 350,000 outstanding pre-funded warrants as of that date are not included in the table above.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currently uses the following expected life terms for depreciating property and equipment: computer software – 1-2 years, computer hardware – 3 years, furniture and fixtures – 7 years, leasehold improvements – </w:t>
      </w:r>
      <w:r>
        <w:rPr>
          <w:rFonts w:ascii="Times New Roman;Times;serif" w:hAnsi="Times New Roman;Times;serif"/>
          <w:b w:val="false"/>
          <w:i w:val="false"/>
          <w:caps w:val="false"/>
          <w:smallCaps w:val="false"/>
          <w:sz w:val="20"/>
        </w:rPr>
        <w:t>shorter of estimated life or remaining life of the lease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ROU assets represent the right to use an underlying asset for the lease term, and lease liabilities represent the obligation to make lease payments arising from the lease. Operating lease ROU assets and liabilities are measured and recorded at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8 – Commitments and Contingencies, </w:t>
      </w:r>
      <w:r>
        <w:rPr>
          <w:rFonts w:ascii="Times New Roman;Times;serif" w:hAnsi="Times New Roman;Times;serif"/>
          <w:i/>
          <w:sz w:val="20"/>
        </w:rPr>
        <w:t>Operating Leases</w:t>
      </w:r>
      <w:r>
        <w:rPr>
          <w:rFonts w:ascii="Times New Roman;Times;serif" w:hAnsi="Times New Roman;Times;serif"/>
          <w:sz w:val="20"/>
        </w:rPr>
        <w:t xml:space="preserve"> for further discussion of the Company’s operating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one operating segment and one reportable segment as its chief operating decision maker (“CODM”), who is its Chief Executive Officer and Chief Financial Officer, reviews financial information on a regular basis for purposes of allocating resources and evaluating financial performance. The CODM also reviews and utilizes functional expenses, such as cost of revenue, research and development, sales and marketing and general and administrative, to manage the Company’s operations. All long-lived assets are located in the United States and substantially all revenue is attributed to customers based in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Not Yet Adopted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2023, the FASB issued Accounting Standards Update (“ASU”) No. 2023-09, “Income Taxes” (“Topic 740”), Improvements to Income Tax Disclosures. This standard is intended to enhance the transparency and usefulness of income tax disclosures to better assess how an entity’s operations and related tax risks and tax planning and operational opportunities affect its tax rate and prospects for future cash flows. This standard is effective for the Company’s annual fiscal period beginning January 1, 2025. The Company does not believe that the adoption of this standard will have a material impact on the Company’s financial statements and related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(Subtopic 220-40): Disaggregation of Income Statement Expenses.” This ASU requires the disaggregation of certain expenses in the notes to the financial statements, to provide enhanced transparency into the expense captions presented on the face of the income statement. This ASU is effective on a prospective basis for fiscal years beginning after December 15, 2026 and for interim periods beginning after December 15, 2027, with early adoption permitted. This ASU may be applied either prospectively or retrospectively. The Company is currently evaluating the impact of the new standard on the Company’s financial statements and related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July 2025, the FASB issued ASU 2025-05, “Measurement of Credit Losses for Accounts Receivable and Contract Assets”, which provides a practical expedient to measure credit losses on accounts receivable and contract assets. The ASU is effective for annual periods beginning after December 15, 2025, and interim periods within those annual reporting periods. Early adoption is permitted. The Company is currently evaluating the timing of the adoption and the impact of the new standard on the financial statements and related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has reviewed other recently issued accounting pronouncements issued or proposed by the FASB and does not believe any of these accounting pronouncements have or will have a material impact on the condensed financial statements.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6" w:name="Tc_HjR8V6Kc0USc0w7pbLlNnw_10_5"/>
      <w:bookmarkStart w:id="787" w:name="Tc_j1SQMTlI1E6QFHUxNGzEkw_10_2"/>
      <w:bookmarkStart w:id="788" w:name="Tc_CbC4P1VbiUCTGPNr_wZ6Mw_10_0"/>
      <w:bookmarkStart w:id="789" w:name="Tc_4caPZvDXOUGHMwVvRq0Jig_9_0"/>
      <w:bookmarkStart w:id="790" w:name="Tc_BSYvv2Anw0SI8euusInq9w_8_0"/>
      <w:bookmarkStart w:id="791" w:name="Tc_dChSBKLP0UWzGpne8INXrQ_7_0"/>
      <w:bookmarkStart w:id="792" w:name="Tc_tRiD_r0HwkanC2MZRz0hVA_6_0"/>
      <w:bookmarkStart w:id="793" w:name="Tc_9nLD2meSbk-GSbeQ7ElaOw_5_3"/>
      <w:bookmarkStart w:id="794" w:name="Tc_hgoYm7oD90e8aBhbe1qFRg_5_0"/>
      <w:bookmarkStart w:id="795" w:name="Tc__qWoIWI510qdDOWH_FfENA_4_0"/>
      <w:bookmarkStart w:id="796" w:name="Tc_25VbLOQfj0yGfmGEpYFG3Q_3_5"/>
      <w:bookmarkStart w:id="797" w:name="Tc_TL27iMoxj0u5tbAq-BTq5g_3_2"/>
      <w:bookmarkStart w:id="798" w:name="Tc_vHaCJ5HpIk6RCx5B63S-zQ_3_0"/>
      <w:bookmarkStart w:id="799" w:name="Tc_6QNoFpCiFUywd_ltu2NMFA_2_5"/>
      <w:bookmarkStart w:id="800" w:name="Tc_po--vlnujEK2Ra3b_VqINg_2_2"/>
      <w:bookmarkStart w:id="801" w:name="Tc_L5NK2opwD0mP1XmkpzUL9A_1_2"/>
      <w:bookmarkStart w:id="802" w:name="_19aa7e32_3aae_46b9_a648_4ea9ad81aeed"/>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b/>
          <w:sz w:val="20"/>
        </w:rPr>
        <w:t>Note 4 – Prepaid Expenses and Other Current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tbl>
      <w:tblPr>
        <w:tblW w:w="6805" w:type="dxa"/>
        <w:jc w:val="left"/>
        <w:tblInd w:w="0" w:type="dxa"/>
        <w:tblLayout w:type="fixed"/>
        <w:tblCellMar>
          <w:top w:w="0" w:type="dxa"/>
          <w:left w:w="0" w:type="dxa"/>
          <w:bottom w:w="0" w:type="dxa"/>
          <w:right w:w="0" w:type="dxa"/>
        </w:tblCellMar>
      </w:tblPr>
      <w:tblGrid>
        <w:gridCol w:w="3061"/>
        <w:gridCol w:w="326"/>
        <w:gridCol w:w="417"/>
        <w:gridCol w:w="1129"/>
        <w:gridCol w:w="326"/>
        <w:gridCol w:w="442"/>
        <w:gridCol w:w="1104"/>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943735" cy="175260"/>
                      <wp:effectExtent l="0" t="0" r="0" b="0"/>
                      <wp:wrapNone/>
                      <wp:docPr id="77" name="Frame76"/>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64795" cy="175260"/>
                      <wp:effectExtent l="0" t="0" r="0" b="0"/>
                      <wp:wrapNone/>
                      <wp:docPr id="79" name="Frame7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16915" cy="175260"/>
                      <wp:effectExtent l="0" t="0" r="0" b="0"/>
                      <wp:wrapNone/>
                      <wp:docPr id="80" name="Frame79"/>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80670" cy="175260"/>
                      <wp:effectExtent l="0" t="0" r="0" b="0"/>
                      <wp:wrapNone/>
                      <wp:docPr id="82" name="Frame8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01040" cy="175260"/>
                      <wp:effectExtent l="0" t="0" r="0" b="0"/>
                      <wp:wrapNone/>
                      <wp:docPr id="83" name="Frame8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30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 with contract manufacturer</w:t>
            </w:r>
          </w:p>
        </w:tc>
        <w:tc>
          <w:tcPr>
            <w:tcW w:w="326" w:type="dxa"/>
            <w:tcBorders/>
            <w:shd w:fill="CCEEFF" w:val="clear"/>
            <w:vAlign w:val="center"/>
          </w:tcPr>
          <w:p>
            <w:pPr>
              <w:pStyle w:val="TableContents"/>
              <w:bidi w:val="0"/>
              <w:spacing w:before="0" w:after="1"/>
              <w:ind w:left="0" w:right="0" w:hanging="0"/>
              <w:jc w:val="left"/>
              <w:rPr/>
            </w:pPr>
            <w:r>
              <w:rPr/>
              <w:t>    </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and deferred financing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 </w:t>
            </w:r>
          </w:p>
        </w:tc>
        <w:tc>
          <w:tcPr>
            <w:tcW w:w="11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subscriptions</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software and support</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 </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Tradeshow deposits</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0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vAlign w:val="center"/>
          </w:tcPr>
          <w:p>
            <w:pPr>
              <w:pStyle w:val="TableContents"/>
              <w:bidi w:val="0"/>
              <w:spacing w:before="0" w:after="1"/>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3" w:name="Tc_pm2jtTIWz0-_ztBtdC1vIQ_6_5"/>
      <w:bookmarkStart w:id="804" w:name="Tc_oCl365z6eEiedwPr2BPBxw_6_2"/>
      <w:bookmarkStart w:id="805" w:name="Tc_yf9vMfuzNEWXnZrG7-bAxg_6_0"/>
      <w:bookmarkStart w:id="806" w:name="Tc_mw5Isr99sUCEY2y6swBalQ_5_6"/>
      <w:bookmarkStart w:id="807" w:name="Tc_BTom-ufeM06Oe6klKX9J_A_5_0"/>
      <w:bookmarkStart w:id="808" w:name="Tc_T7KA4Kkr1Um1HewUcTBx0A_4_6"/>
      <w:bookmarkStart w:id="809" w:name="Tc_lGDp9UVXek-Gh--qdCez8w_4_0"/>
      <w:bookmarkStart w:id="810" w:name="Tc_B_qSuT-a0UKvjMDeieRBug_3_5"/>
      <w:bookmarkStart w:id="811" w:name="Tc_nTaR_rCsUkuExBPqRXI9HQ_3_2"/>
      <w:bookmarkStart w:id="812" w:name="Tc_O5k-1v6s7UCraoaQobzDkA_3_0"/>
      <w:bookmarkStart w:id="813" w:name="Tc_UW5Eng3WGEirXtiI5bvWTA_2_5"/>
      <w:bookmarkStart w:id="814" w:name="Tc_RxN-D6ztxkeD0M9tIZkGRw_2_2"/>
      <w:bookmarkStart w:id="815" w:name="Tc_Zs0UuvQKeUa6tyEgHcQMAw_1_2"/>
      <w:bookmarkStart w:id="816" w:name="_7fa0163a_2e83_4fa4_a2b0_428ba749d6a7"/>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Pr>
          <w:rFonts w:ascii="Times New Roman;Times;serif" w:hAnsi="Times New Roman;Times;serif"/>
          <w:b/>
          <w:sz w:val="20"/>
        </w:rPr>
        <w:t>Note 5 – Inventory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summary of the Company’s inventory as of September 30, 2025 and December 31, 2024 (in thousands):</w:t>
      </w:r>
    </w:p>
    <w:p>
      <w:pPr>
        <w:pStyle w:val="TextBody"/>
        <w:bidi w:val="0"/>
        <w:spacing w:before="0" w:after="0"/>
        <w:ind w:left="0" w:right="0" w:hanging="0"/>
        <w:jc w:val="left"/>
        <w:rPr/>
      </w:pPr>
      <w:r>
        <w:rPr/>
        <w:t>​</w:t>
      </w:r>
    </w:p>
    <w:tbl>
      <w:tblPr>
        <w:tblW w:w="5200" w:type="dxa"/>
        <w:jc w:val="left"/>
        <w:tblInd w:w="0" w:type="dxa"/>
        <w:tblLayout w:type="fixed"/>
        <w:tblCellMar>
          <w:top w:w="0" w:type="dxa"/>
          <w:left w:w="0" w:type="dxa"/>
          <w:bottom w:w="0" w:type="dxa"/>
          <w:right w:w="0" w:type="dxa"/>
        </w:tblCellMar>
      </w:tblPr>
      <w:tblGrid>
        <w:gridCol w:w="1456"/>
        <w:gridCol w:w="326"/>
        <w:gridCol w:w="417"/>
        <w:gridCol w:w="1129"/>
        <w:gridCol w:w="326"/>
        <w:gridCol w:w="442"/>
        <w:gridCol w:w="110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24560" cy="175260"/>
                      <wp:effectExtent l="0" t="0" r="0" b="0"/>
                      <wp:wrapNone/>
                      <wp:docPr id="84" name="Frame8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64795" cy="175260"/>
                      <wp:effectExtent l="0" t="0" r="0" b="0"/>
                      <wp:wrapNone/>
                      <wp:docPr id="86" name="Frame85"/>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16915" cy="175260"/>
                      <wp:effectExtent l="0" t="0" r="0" b="0"/>
                      <wp:wrapNone/>
                      <wp:docPr id="87" name="Frame86"/>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80670" cy="175260"/>
                      <wp:effectExtent l="0" t="0" r="0" b="0"/>
                      <wp:wrapNone/>
                      <wp:docPr id="89" name="Frame8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01040" cy="175260"/>
                      <wp:effectExtent l="0" t="0" r="0" b="0"/>
                      <wp:wrapNone/>
                      <wp:docPr id="90" name="Frame89"/>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w:t>
            </w:r>
          </w:p>
        </w:tc>
        <w:tc>
          <w:tcPr>
            <w:tcW w:w="326" w:type="dxa"/>
            <w:tcBorders/>
            <w:vAlign w:val="center"/>
          </w:tcPr>
          <w:p>
            <w:pPr>
              <w:pStyle w:val="TableContents"/>
              <w:bidi w:val="0"/>
              <w:spacing w:before="0" w:after="0"/>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17" w:name="Tc_WOpveZNsKEiqawFms__ZCw_9_5"/>
      <w:bookmarkStart w:id="818" w:name="Tc_5LdNxjFCwkaXZy5cax4w3A_9_2"/>
      <w:bookmarkStart w:id="819" w:name="Tc_MQm_rEIyikaXJVo3PvNStw_9_0"/>
      <w:bookmarkStart w:id="820" w:name="Tc_Ug450JCcuEOD2ZkieDFr6Q_8_0"/>
      <w:bookmarkStart w:id="821" w:name="Tc_IjaPx1YfTEGOc1E69Iku0g_6_0"/>
      <w:bookmarkStart w:id="822" w:name="Tc_QeYwVjw1cEiipICDnnRQ5g_5_0"/>
      <w:bookmarkStart w:id="823" w:name="Tc_bAI80qZHtEaCxKkGfYVLfw_4_0"/>
      <w:bookmarkStart w:id="824" w:name="Tc_RZvkhswBcU2-a0dp7YAzAQ_3_5"/>
      <w:bookmarkStart w:id="825" w:name="Tc_hOI-ELdJUUaFJwAt-rOxAQ_3_2"/>
      <w:bookmarkStart w:id="826" w:name="Tc_I9ST_FMu4Eip7cyyCHJtjA_3_0"/>
      <w:bookmarkStart w:id="827" w:name="Tc_XMveBuyOZUiuApuHJqm0yA_2_5"/>
      <w:bookmarkStart w:id="828" w:name="Tc_Z9nUDqY6rUmy6NeHGMaOsw_2_2"/>
      <w:bookmarkStart w:id="829" w:name="Tc_vhbh2RFJSUWrDL5YvaG0ew_1_2"/>
      <w:bookmarkStart w:id="830" w:name="_7736be54_2ed5_46ac_af5c_8e1878ad1c7e"/>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r>
        <w:rPr>
          <w:rFonts w:ascii="Times New Roman;Times;serif" w:hAnsi="Times New Roman;Times;serif"/>
          <w:b/>
          <w:sz w:val="20"/>
        </w:rPr>
        <w:t>Note 6 – 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Property and equipment are as follows (in thousands):</w:t>
      </w:r>
    </w:p>
    <w:tbl>
      <w:tblPr>
        <w:tblW w:w="6640" w:type="dxa"/>
        <w:jc w:val="left"/>
        <w:tblInd w:w="0" w:type="dxa"/>
        <w:tblLayout w:type="fixed"/>
        <w:tblCellMar>
          <w:top w:w="0" w:type="dxa"/>
          <w:left w:w="0" w:type="dxa"/>
          <w:bottom w:w="0" w:type="dxa"/>
          <w:right w:w="0" w:type="dxa"/>
        </w:tblCellMar>
      </w:tblPr>
      <w:tblGrid>
        <w:gridCol w:w="2896"/>
        <w:gridCol w:w="326"/>
        <w:gridCol w:w="387"/>
        <w:gridCol w:w="1159"/>
        <w:gridCol w:w="326"/>
        <w:gridCol w:w="367"/>
        <w:gridCol w:w="1179"/>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38960" cy="175260"/>
                      <wp:effectExtent l="0" t="0" r="0" b="0"/>
                      <wp:wrapNone/>
                      <wp:docPr id="91" name="Frame90"/>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45745" cy="175260"/>
                      <wp:effectExtent l="0" t="0" r="0" b="0"/>
                      <wp:wrapNone/>
                      <wp:docPr id="93" name="Frame92"/>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35965" cy="175260"/>
                      <wp:effectExtent l="0" t="0" r="0" b="0"/>
                      <wp:wrapNone/>
                      <wp:docPr id="94" name="Frame93"/>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33045" cy="175260"/>
                      <wp:effectExtent l="0" t="0" r="0" b="0"/>
                      <wp:wrapNone/>
                      <wp:docPr id="96" name="Frame9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48665" cy="175260"/>
                      <wp:effectExtent l="0" t="0" r="0" b="0"/>
                      <wp:wrapNone/>
                      <wp:docPr id="97" name="Frame9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26" w:type="dxa"/>
            <w:tcBorders/>
            <w:shd w:fill="CCEEFF" w:val="clear"/>
            <w:vAlign w:val="center"/>
          </w:tcPr>
          <w:p>
            <w:pPr>
              <w:pStyle w:val="TableContents"/>
              <w:bidi w:val="0"/>
              <w:spacing w:before="0" w:after="0"/>
              <w:ind w:left="0" w:right="0" w:hanging="0"/>
              <w:jc w:val="left"/>
              <w:rPr/>
            </w:pPr>
            <w:r>
              <w:rPr/>
              <w:t>    </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326"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3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r>
      <w:tr>
        <w:trPr/>
        <w:tc>
          <w:tcPr>
            <w:tcW w:w="28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7"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4,584</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 accumulated depreciation</w:t>
            </w:r>
          </w:p>
        </w:tc>
        <w:tc>
          <w:tcPr>
            <w:tcW w:w="326" w:type="dxa"/>
            <w:tcBorders/>
            <w:vAlign w:val="center"/>
          </w:tcPr>
          <w:p>
            <w:pPr>
              <w:pStyle w:val="TableContents"/>
              <w:bidi w:val="0"/>
              <w:spacing w:before="0" w:after="0"/>
              <w:ind w:left="0" w:right="0" w:hanging="0"/>
              <w:jc w:val="left"/>
              <w:rPr/>
            </w:pPr>
            <w:r>
              <w:rPr/>
              <w:t>​</w:t>
            </w:r>
          </w:p>
        </w:tc>
        <w:tc>
          <w:tcPr>
            <w:tcW w:w="3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3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disposed of $1.4 million in aggregate of fully depreciated assets during the nine months ended September 30, 2025. The Company did not dispose of any assets during the nine months ended September 30, 2024. Total depreciation and amortization expense of the Company’s property and equipment was $0.1 million for each of the nine months ended September 30, 2025 and 2024, of which, $900 and $0 were included in cost of revenue for the nine months ended September 30, 2025 and 2024, respectively.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1" w:name="Tc_FH1CZ5MnskaFvDgtdZAw6Q_8_5"/>
      <w:bookmarkStart w:id="832" w:name="Tc_gG3v5vusZkCW9maYoxdcPA_8_2"/>
      <w:bookmarkStart w:id="833" w:name="Tc_p5-JGbp_Xk-Unqb82JcovA_8_0"/>
      <w:bookmarkStart w:id="834" w:name="Tc_DcHkN7o3uUqGYO8qDhEZnQ_7_0"/>
      <w:bookmarkStart w:id="835" w:name="Tc_R-DgHFFgIE-Ci95Neifz1A_6_0"/>
      <w:bookmarkStart w:id="836" w:name="Tc_28bVNq1DYEegLKMMvIIRlg_5_6"/>
      <w:bookmarkStart w:id="837" w:name="Tc_xtNmqQChtEepNkC1Gwlegg_5_0"/>
      <w:bookmarkStart w:id="838" w:name="Tc_pqIcAZjq6E2Obx7y1Gn6_Q_4_0"/>
      <w:bookmarkStart w:id="839" w:name="Tc_f179Nep260mG3hfmKCmoRA_3_5"/>
      <w:bookmarkStart w:id="840" w:name="Tc_cczF8UFkSEO99Shx12TlrA_3_2"/>
      <w:bookmarkStart w:id="841" w:name="Tc_wezB39YdKEaBga4U9k6Gfg_3_0"/>
      <w:bookmarkStart w:id="842" w:name="Tc_KmM5riUUuEmXhaMF0NNIUQ_2_5"/>
      <w:bookmarkStart w:id="843" w:name="Tc_JAgldrCqiUeBkPJWQ0hU4w_2_2"/>
      <w:bookmarkStart w:id="844" w:name="Tc_r2yz_JnVqkibtnQK1lvJ6w_1_2"/>
      <w:bookmarkStart w:id="845" w:name="_85d41a96_51b0_42c0_ab21_2a415919b4e1"/>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ascii="Times New Roman;Times;serif" w:hAnsi="Times New Roman;Times;serif"/>
          <w:b/>
          <w:sz w:val="20"/>
        </w:rPr>
        <w:t>Note 7 – Accrued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0"/>
        <w:ind w:left="0" w:right="0" w:hanging="0"/>
        <w:jc w:val="left"/>
        <w:rPr/>
      </w:pPr>
      <w:r>
        <w:rPr/>
        <w:t>​</w:t>
      </w:r>
    </w:p>
    <w:tbl>
      <w:tblPr>
        <w:tblW w:w="6700" w:type="dxa"/>
        <w:jc w:val="left"/>
        <w:tblInd w:w="0" w:type="dxa"/>
        <w:tblLayout w:type="fixed"/>
        <w:tblCellMar>
          <w:top w:w="0" w:type="dxa"/>
          <w:left w:w="0" w:type="dxa"/>
          <w:bottom w:w="0" w:type="dxa"/>
          <w:right w:w="0" w:type="dxa"/>
        </w:tblCellMar>
      </w:tblPr>
      <w:tblGrid>
        <w:gridCol w:w="2956"/>
        <w:gridCol w:w="326"/>
        <w:gridCol w:w="417"/>
        <w:gridCol w:w="1129"/>
        <w:gridCol w:w="326"/>
        <w:gridCol w:w="367"/>
        <w:gridCol w:w="1179"/>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77060" cy="175260"/>
                      <wp:effectExtent l="0" t="0" r="0" b="0"/>
                      <wp:wrapNone/>
                      <wp:docPr id="98" name="Frame97"/>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64795" cy="175260"/>
                      <wp:effectExtent l="0" t="0" r="0" b="0"/>
                      <wp:wrapNone/>
                      <wp:docPr id="100" name="Frame9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16915" cy="175260"/>
                      <wp:effectExtent l="0" t="0" r="0" b="0"/>
                      <wp:wrapNone/>
                      <wp:docPr id="101" name="Frame100"/>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33045" cy="175260"/>
                      <wp:effectExtent l="0" t="0" r="0" b="0"/>
                      <wp:wrapNone/>
                      <wp:docPr id="103" name="Frame10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48665" cy="175260"/>
                      <wp:effectExtent l="0" t="0" r="0" b="0"/>
                      <wp:wrapNone/>
                      <wp:docPr id="104" name="Frame10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expenses</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stock registration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San Jose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20, 2022, the Company signed a lease amendment to the existing lease for its office space at its corporate headquarters in San Jose, California, extending the term of the lease for an additional three years ending on September 30, 2025. Upon signing the lease amendment, the Company recorded a new ROU lease asset of $2.1 million and operating lease liability of $2.1 million, using a present value discount rate of 3.0%, which was used as an incremental borrowing rate for a hypothetical fully collateralized real estate transaction. As of January 1, 2024, the discount rate was adjusted to 8% in order to reflect a realistic incremental borrowing rate at lease commencement. The adjustment created a </w:t>
      </w:r>
      <w:r>
        <w:rPr>
          <w:rFonts w:ascii="Times New Roman;Times;serif" w:hAnsi="Times New Roman;Times;serif"/>
          <w:b w:val="false"/>
          <w:i w:val="false"/>
          <w:caps w:val="false"/>
          <w:smallCaps w:val="false"/>
          <w:sz w:val="20"/>
        </w:rPr>
        <w:t>one</w:t>
      </w:r>
      <w:r>
        <w:rPr>
          <w:rFonts w:ascii="Times New Roman;Times;serif" w:hAnsi="Times New Roman;Times;serif"/>
          <w:sz w:val="20"/>
        </w:rPr>
        <w:t>-time reduction to the ROU lease asset and operating lease liability of approximately $51,000. Upon expiration of the original lease on September 30, 2022, the new monthly lease payment starting October 1, 2022 was approximately $59,000, subject to annual escalations up to a maximum monthly lease payment of approximately $62,000. On July 31, 2024, the Company signed an additional lease amendment where the monthly payments through the remainder of 2024 were reduced to approximately $37,000 and the monthly payments from January 2025 through September 2025 increased to approximately $76,000. As a result of this amendment, the Company revalued its ROU lease asset to $0.8 million and its operating lease liability to $0.8 million on July 31,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19, 2025, the Company signed an amendment to the existing lease for its office space at its corporate headquarters in San Jose, California, relocating to a smaller suite within the same building and extending the lease through December 31, 2027. The Company agreed to issue 75,000 shares of its common stock to the landlord upon signing the amendment as partial consideration for the amended lease and agreed to new monthly payments beginning October 2025 of approximately $37,000, escalating to approximately $46,000 during 2026 and $51,000 during 2027. As a result of the new lease amendment signed on March 19, 2025, the ROU asset and operating lease liability were both increased by approximately $0.9 million. The Company recorded lease expense of $0.1 million and $0.4 million for the three and nine months ended September 30, 2025, respectively. The Company recorded lease expense of $0.2 million and $0.6 million for the three and nine months ended September 30, 2024,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Topic 842, “Leases” and recognizes the required ROU assets and operating lease liabilities on its balance sheet. The Company anticipates having future total lease payments of $1.3 million during the period from the fourth quarter of 2025 to the fourth quarter of 2027. As of September 30, 2025, the Company has total operating lease ROU assets of $1.0 million and operating lease liabilities of $1.2 million. The weighted average remaining lease term is 2.25 years as of September 30, 2025.</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46" w:name="Tc_ipNnmRAHf0mGD-DHubDimQ_7_2"/>
      <w:bookmarkStart w:id="847" w:name="Tc_dg15_D77LE2bM2h0olyMjA_7_0"/>
      <w:bookmarkStart w:id="848" w:name="Tc_jI2rcrE-TE2TVoD5Zh3H1w_6_0"/>
      <w:bookmarkStart w:id="849" w:name="Tc_p84CH-bskEyKAzPfw9VsvQ_5_0"/>
      <w:bookmarkStart w:id="850" w:name="Tc_fn8ERy0S8ESw0_zkwBCD_w_4_0"/>
      <w:bookmarkStart w:id="851" w:name="Tc_MBCU9t9Wu0u929HsDVL_Cg_3_0"/>
      <w:bookmarkStart w:id="852" w:name="Tc_J6LEZEo5rUyrHwcztnpukA_2_2"/>
      <w:bookmarkStart w:id="853" w:name="Tc_ezl4rorf402npbxsgi3OeQ_2_0"/>
      <w:bookmarkStart w:id="854" w:name="Tc_xdosf9eN8km5ZSY79ehWxQ_1_2"/>
      <w:bookmarkStart w:id="855" w:name="Tc_AQNhAZvwd0-M5_Xn928wXQ_1_0"/>
      <w:bookmarkStart w:id="856" w:name="_843a28d6_24bb_4b8d_a93d_bfa003dcb94d"/>
      <w:bookmarkEnd w:id="846"/>
      <w:bookmarkEnd w:id="847"/>
      <w:bookmarkEnd w:id="848"/>
      <w:bookmarkEnd w:id="849"/>
      <w:bookmarkEnd w:id="850"/>
      <w:bookmarkEnd w:id="851"/>
      <w:bookmarkEnd w:id="852"/>
      <w:bookmarkEnd w:id="853"/>
      <w:bookmarkEnd w:id="854"/>
      <w:bookmarkEnd w:id="855"/>
      <w:bookmarkEnd w:id="856"/>
      <w:r>
        <w:rPr>
          <w:rFonts w:ascii="Times New Roman;Times;serif" w:hAnsi="Times New Roman;Times;serif"/>
          <w:b/>
          <w:sz w:val="20"/>
        </w:rPr>
        <w:t>Note 8 – Commitments and Contingencies, continued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undiscounted cash flows to lease liabilities recognized as of September 30, 2025 is as follows (in thousands):</w:t>
      </w:r>
    </w:p>
    <w:p>
      <w:pPr>
        <w:pStyle w:val="TextBody"/>
        <w:bidi w:val="0"/>
        <w:spacing w:before="0" w:after="0"/>
        <w:ind w:left="0" w:right="0" w:hanging="0"/>
        <w:jc w:val="left"/>
        <w:rPr/>
      </w:pPr>
      <w:r>
        <w:rPr/>
        <w:t>​</w:t>
      </w:r>
    </w:p>
    <w:tbl>
      <w:tblPr>
        <w:tblW w:w="5219" w:type="dxa"/>
        <w:jc w:val="left"/>
        <w:tblInd w:w="0" w:type="dxa"/>
        <w:tblLayout w:type="fixed"/>
        <w:tblCellMar>
          <w:top w:w="0" w:type="dxa"/>
          <w:left w:w="0" w:type="dxa"/>
          <w:bottom w:w="0" w:type="dxa"/>
          <w:right w:w="0" w:type="dxa"/>
        </w:tblCellMar>
      </w:tblPr>
      <w:tblGrid>
        <w:gridCol w:w="4006"/>
        <w:gridCol w:w="326"/>
        <w:gridCol w:w="211"/>
        <w:gridCol w:w="67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43810" cy="175260"/>
                      <wp:effectExtent l="0" t="0" r="0" b="0"/>
                      <wp:wrapNone/>
                      <wp:docPr id="105" name="Frame104"/>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year ending December 31, </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(Remaining three months)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discount (8.0% weighted average)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1,170</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Litigations, Claims and Assessments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involved from time to time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MBO Bonus Plan and 2024 Bonus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30, 2024, the Board, on the recommendation of the Compensation Committee, approved the 2024 Corporate Bonus Plan (the “2024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2024 Bonus Plan, the Compensation Committee is responsible for selecting the amounts of potential bonuses for executive officers and vice presidents, defining the performance metrics used to determine whether any such bonuses will be paid and determining whether those performance metrics have been achieved. The Company did not record any expense during the three and nine months ended September 30, 2025 or for the three and nine months ended September 30, 2024 under the 2024 Bonus Plan. The Company did not have any outstanding amount accrued as of September 30, 2025 under the 2024 Bonus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21, 2025, the Board, on the recommendation of the Compensation Committee, approved the 2025 Corporate Bonus Plan (the “2025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2025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The Company accrued $0.8 million in bonus expense under the 2025 Bonus Plan as of September 30, 2025, which the Company plans to pay during the first quarter of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and Change in Control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30, 2024, the Compensation Committee approved a new form of Severance Agreement and Change in Control Agreement (“Severance Agreement”) that the Company may enter into with executive officers and vice presidents (each, an “Executive”). Under the Severance Agreement, if an Executive party thereto is terminated without cause or in a qualifying change in control termination, the Company agrees to pay the Executive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twelve months of that Executive’s monthly base salary and 25% to 100% of the Executive’s target bonus, and to accelerate the vesting of 25% to 100% of the Executive’s unvested equity awards.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w:t>
      </w:r>
      <w:r>
        <w:rPr>
          <w:rFonts w:ascii="Times New Roman;Times;serif" w:hAnsi="Times New Roman;Times;serif"/>
          <w:b w:val="false"/>
          <w:i w:val="false"/>
          <w:caps w:val="false"/>
          <w:smallCaps w:val="false"/>
          <w:sz w:val="20"/>
        </w:rPr>
        <w:t>three</w:t>
      </w:r>
      <w:r>
        <w:rPr>
          <w:rFonts w:ascii="Times New Roman;Times;serif" w:hAnsi="Times New Roman;Times;serif"/>
          <w:sz w:val="20"/>
        </w:rPr>
        <w:t>-to-twelve-month period, as applicable, following the Executive’s termination.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Commitments and Contingencies,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Transition – Cesar Johnston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March 26, 2024, the Company announced that Cesar Johnston was no longer serving as President and Chief Executive Officer of the Company effective March 24, 2024. In connection with his cessation as an officer of the Company, Mr. Johnston was entitled to receive the benefits and payments set forth in the Amended and Restated Severance and Change in Control Agreement, dated December 6, 2021 (“Johnston Severance Agreement”), between the Company and Mr. Johnston. Accordingly, Mr. Johnston received (a) 18 months of his monthly salary plus the amount equal to 100% of his target bonus, (b) any outstanding unvested equity awards held by Mr. Johnston that were scheduled to vest during the next 18 months following the termination date, and (c) reimbursement for continued COBRA payments, if elected by Mr. Johnston, during the 18 months following the termination date. The Company recorded $1.2 million in total severance expense pertaining to Mr. Johnston’s departure during the nine months ended September 30, 2024, including $0.1 million in stock-based compensation as a result of accelerated vesting of RSUs and options (see Note 11 – Stock-Based Compensation for additional details).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2025, the Company had no unpaid severance expense pertaining to the Johnston Severance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Short-term Debt</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Financing for Insurance Premiums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29, 2025, the Company financed approximately $0.3 million in business insurance premiums to be repaid in nine installments of approximately $35,000 with a borrowing rate of 6.99%. As of September 30, 2025, the Company had an outstanding balance of approximately $0.1 million on the financing for its insurance premiums.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Agile Subordinated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October 1, 2024, the Company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“Original Term Loan”). Principal and interest on the Original Term Loan in the aggregate amount of $756,000 was to be repaid in weekly payments of $27,000 commencing on October 14, 2024 and fully repaid on or before the maturity date of April 21,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November 5, 2024, the Company entered into an amended subordinated business loan agreement with the Lender (the “Amended Loan Agreement”) to refinance the Original Term Loan. The Amended Loan Agreement provided for a new term loan of $997,000, with the ability to receive additional term loans of up to $1.6 million, subject to certain conditions (such new loans, the “New Term Loan”). Principal and interest on the New Term Loan in the aggregate amount of $1,415,740 was repaid in weekly payments of approximately $39,000 and fully repaid before the maturity date of July 17, 2025 on July 7, 2025. The proceeds of the New Term Loan were allocated to cover the administrative fee of $48,000 and to repay in full the Original Term Loan as described above, which had a carrying amount of $429,000 and settlement value of $648,000 on November 5, 2024. The New Term Loan was expressly subordinated to the Company’s obligations on certain senior indebtedness of the Company as provided in the Amended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2025, the Company had no short-term loan payable balance. The Company recorded interest expense of approximately $4,000 and $0.2 million related to the Amended Loan Agreement during the three and nine months ended September 30, 2025. The payment multiplier on the current loan was 1.42. An administrative fee of $25,000 was paid on the Original Loan agreement, and an administrative fee of $48,000 was paid on the Amended Loan Agreement. These fees were recorded as a debt discount against the proceeds received. As of September 30, 2025, the debt discount was fully amortized. On July 7, 2025, the Company paid off all outstanding amounts owed to the Lender. There are no further obligations under the Amended Loan Agreement. As of September 30, 2025, no balance was owed pursuant to the Amended Loan Agreement.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 Capital Stock and Warrants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Authorized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Financing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November 15, 2021, the Company filed a shelf registration statement on Form S-3 with the SEC, which became effective on December 16, 2021. This shelf registration statement allowed the Company to sell, from time to time, any combination of debt or equity securities described in the registration statement up to aggregate proceeds of $100 million. Pursuant to this registration statement, on March 28, 2023, the Company completed an underwritten offering pursuant to which it issued and sold an aggregate of (i)  13,750 shares of its common stock and (ii) warrants to purchase up to 13,750 shares of its common stock (the “2023 Warrants”), for net proceeds of $2.7 million, after deducting underwriting discounts, commission and expenses payable by the Company. The 2023 Warrants were immediately exercisable upon issuance and have a term of six years and had an initial exercise price of $240.00.</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allocated the proceeds received first to the 2023 Warrants based on the fair value of the 2023 Warrants as determined at initial measurement, with the remaining proceeds allocated to the shares of common stock (see Note 12 – Warrant Liability and Note 13 – Fair Value Measurements). Pursuant to the terms of the 2023 Warrants, the exercise price was adjusted to $49.80 and $9.00 during 2023 and 2024, respectively, and was further adjusted to $8.40 as of June 30, 2025. As of September 30, 2025, the 2023 Warrants had been fully exercised.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February 15, 2024, the Company entered into a securities purchase agreement with an institutional investor, providing for the issuance and sale by the Company in a registered direct offering (the “2024 Offering ”) of (i) 19,000 shares of the Company’s common stock, (ii) pre-funded warrants to purchase up to 15,014 shares of common stock (referred to individually as a “2024 Pre-Funded Warrant” and collectively as the “2024 Pre-Funded Warrants”), and (iii) warrants to purchase an aggregate of 34,014 shares of common stock (referred to individually as a “2024 Warrant” and collectively as the “2024 Warrants”). Each share of common stock and 2024 Pre-Funded Warrant was offered and sold, together with an accompanying 2024 Warrant at a combined price of $58.80 per share of common stock or 2024 Pre-Funded Warrant, as applicable, and the accompanying 2024 Warrant. Each 2024 Pre-Funded Warrant and 2024 Warrant is exercisable at any time on or after the date of issuance to purchase one share of common stock at a price of either $0.03 per share, in the case of 2024 Pre-Funded Warrants, or $55.20 per share, in the case of 2024 Warrants. The 2024 Pre-Funded Warrants expired upon full exercise in April 2024, and the 2024 Warrants expire five years from the date of issuance. The 2024 Offering closed on February 20, 2024. The Company received net proceeds of approximately $1.8 million (net of $0.2 million in issuance costs) in the 2024 Offering. As of September 30, 2025, the 2024 Warrants had been fully exercised.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June 21, 2024, the Company filed a prospectus supplement covering the offering, issuance and sale of up to $3.4 million in shares of the Company’s common stock pursuant to an At the Market Offering Agreement, dated June 21, 2024, between the Company and H.C. Wainwright &amp; Co., LLC (the “ATM Program”). Prior to the commencement of the ATM Program, the Company sold 930 shares of its common stock for proceeds of $47,000 (net of commissions and fees of $2,000) during the year ended December 31, 2024 under the preceding ATM program. During the year ended December 31, 2024, the Company sold 228,392 shares of its common stock under the ATM Program for net proceeds of approximately $3.1 million (net of commissions and other related offering expenses of approximately $0.3 million).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December 30, 2024, the Company filed a prospectus supplement for the issuance and sale of an additional $7.46 million in shares of common stock under the ATM Program. During January 2025, the Company sold 209,348 shares of its common stock under the ATM Program for net proceeds of approximately $7.0 million (net of commissions and other related offering expenses of approximately $0.4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6, 2025, the Company filed a prospectus supplement for the issuance and sale of an additional $6.6 million in shares of common stock under the ATM Program. During January and February 2025, the Company sold 343,465 shares of its common stock under the ATM Program for net proceeds of approximately $6.3 million (net of commissions and other related offering expenses of approximately $0.3 million).</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Capital Stock and Warrants,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13, 2025, the Company filed a prospectus supplement for the issuance and sale of an additional $80.0 million in shares of common stock under the ATM Program. On September 10, 2025, the ATM Program was reduced to up to $70.0 million in shares of common stock. During the three months ended September 30, 2025, the Company sold 232,989 shares of its common stock for net proceeds of approximately $2.4 million (net of commissions and related offering expenses of approximately $0.1 million) under the ATM Program. During the nine months ended September 30, 2025, the Company sold 530,062 shares of its common stock under the ATM Program for net proceeds of approximately $4.9 million (net of commissions and other related offering expenses of approximately $0.4 million) under the ATM Program. As of September 30, 2025, approximately $64.7 million in shares of common stock remained available for issuance under the ATM Program, subject to availability of authorized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10, 2025, the Company entered into a securities purchase agreement (the “Purchase Agreement”) with an institutional investor (the “Investor”), providing for the issuance and sale by the Company, in a registered direct offering (the “2025 Offering”), of (i) 120,000 shares of the Company’s common stock, (ii) pre-funded warrants to purchase up to 465,347 shares of common stock (the “2025 Pre-Funded Warrants”), and (iii) warrants to purchase up to an aggregate of 585,347 shares of common stock (the “2025 Warrants”). Each share of common stock and 2025 Pre-Funded Warrant was being offered and sold together with an accompanying 2025 Warrant at a combined price of $7.92 per share of common stock or 2025 Pre-Funded Warrant and accompanying 2025 Warrant, as applicable. Each 2025 Pre-Funded Warrant and 2025 Warrant is exercisable at any time on or after the date of issuance to purchase one share of common stock at a price of either $0.00001 per share, in the case of the 2025 Pre-Funded Warrants, or $7.79 per share, in the case of the 2025 Warrants. The 2025 Pre-Funded Warrants expire when they are exercised in full and the 2025 Warrants expire five years from the date of issuance. As of September 30, 2025, 350,000 2025 Pre-Funded Warrants and 585,347 2025 Warrants were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2025 Offering closed on September 11, 2025. The Company received net proceeds of approximately $4.1 million from the 2025 Offering, after deducting placement agent fees and estimated offering expenses payable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pursuant to the Engagement Letter, dated as of July 9, 2024, as amended on December 20, 2024 and August 20, 2025 (the “Original Engagement Letter”), between the Company and H.C. Wainwright &amp; Co., LLC (“Wainwright”), and the Engagement Letter Joinder Agreement, dated as of September 10, 2025 (the “Joinder Agreement” and, together with the Original Engagement Letter, the “Engagement Letter”), by and among the Company, Wainwright and Rodman &amp; Renshaw LLC (“Rodman &amp; Renshaw” and, together with Wainwright, the “Placement Agents”), the Company, in connection with the closing of the 2025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2025 Warrants, except the Registered Direct Offering Placement Agent Warrants are exercisable at any time on or after the date of issuance to purchase one share of common stock at a price of $9.90 per share and the Registered Direct Offering Placement Agent Warrants expire on September 10, 2030.</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On September 10, 2025, in connection with the 2025 Offering, the Company entered into a letter agreement (the “Letter Agreement”) with the Investor for the immediate exercise of the outstanding 2023 Warrants and 2024 Warrants (“the Original Warrants”) to purchase an aggregate of 47,764 shares of common stock and having exercise prices of $6.7595 and $55.20 per share, respectively (the “Concurrent Warrant Exercise Transaction”). The 2023 Warrants were exercised at the exercise price of $6.8845 and the 2024 Warrants were exercised at a reduced exercise price of $7.92 per share for aggregate gross proceeds to the Company of approximately $0.4 million.</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As consideration for the exercise of the 2023 Warrants and 2024 Warrants for cash, the Company issued new unregistered warrants (the “New Warrants”) to purchase up to an aggregate of 47,764 shares of common stock at a fixed exercise price of $7.79 per share (the “New Warrant Shares”). The New Warrants are exercisable immediately upon issuance and will expire five years following the initial issuance date. The New Warrants are classified as equity warrants. Except as described herein, the New Warrants are substantially similar to the Original Warrants. The closing of the Concurrent Warrant Exercise Transaction occurred on September 11, 2025.</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Also pursuant to the Engagement Letter, the Company, in connection with the closing of the Concurrent Warrant Exercise Transaction, agreed to issue to the Placement Agents or their respective designees warrants (the “Concurrent Warrant Exercise Transaction Placement Agent Warrants”) to purchase up to an aggregate of 3,343 shares of common stock. The Concurrent Warrant Exercise Transaction Placement Agent Warrants have substantially the same terms as the New Warrants, except the Concurrent Warrant Exercise Transaction Placement Agent Warrants are immediately exercisable to purchase one share of common stock at a price of $9.90 per share and the Concurrent Warrant Exercise Transaction Placement Agent Warrants expire on September 10, 2030.</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7" w:name="Tc_r_9izOxR4EG4MiQINHQSFQ_6_0"/>
      <w:bookmarkStart w:id="858" w:name="Tc_HurZOQrz_EO0kVl8rNR9-Q_5_3"/>
      <w:bookmarkStart w:id="859" w:name="Tc_gbNKxV3eeEeJMr3R8q0PsA_5_0"/>
      <w:bookmarkStart w:id="860" w:name="Tc_uovcwmJxt0WEzEwlE5Lucg_4_0"/>
      <w:bookmarkStart w:id="861" w:name="Tc_6CTtbOXrXECtNlfxlQXBng_3_0"/>
      <w:bookmarkStart w:id="862" w:name="Tc_0AnFhJpYsEKt0HOOnZHORQ_2_0"/>
      <w:bookmarkStart w:id="863" w:name="Tc_IfB7QNiiNkWat-wgsNcTJw_1_5"/>
      <w:bookmarkStart w:id="864" w:name="Tc_3ynmCvw1-EqxvMkkRbb9OQ_1_2"/>
      <w:bookmarkEnd w:id="857"/>
      <w:bookmarkEnd w:id="858"/>
      <w:bookmarkEnd w:id="859"/>
      <w:bookmarkEnd w:id="860"/>
      <w:bookmarkEnd w:id="861"/>
      <w:bookmarkEnd w:id="862"/>
      <w:bookmarkEnd w:id="863"/>
      <w:bookmarkEnd w:id="864"/>
      <w:r>
        <w:rPr>
          <w:rFonts w:ascii="Times New Roman;Times;serif" w:hAnsi="Times New Roman;Times;serif"/>
          <w:b/>
          <w:sz w:val="20"/>
        </w:rPr>
        <w:t>Note 10 – Capital Stock and Warrants, continued</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Regulation A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11, 2024, the Company filed a Regulation A Offering Statement on Form 1-A with an offering of a maximum of 166,667 Units (the “Regulation A Offering”), with each Unit consisting of one share of Series A Convertible Preferred Stock (initially convertible into two shares of common stock) and three common stock purchase warrants, two to each purchase one share of common stock at an exercise price of $45.00 per share and one to purchase one share of common stock at $60.00 per share, for an aggregate of 166,667 shares of Series A Convertible Preferred Stock (and 333,333 shares of common stock underlying the shares of Series A Convertible Preferred Stock) and warrants to purchase up to an aggregate of 333,333 shares of common stock at an exercise price of $45.00 per share and 166,667 shares of common stock at an exercise price of $60.00 per share, at an offering price of $45.00 per Unit, for a maximum offering amount of $7,500,000. The Regulation A Offering was qualified by the SEC on November 22,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11, 2025, the Company withdrew the Regulation A Offering. No sales of Units were made pursuant to the Regulation A Offering. The Company’s prepaid expenses and other current assets as of December 31, 2024 included approximately $0.3 million in prepaid financing expenses related to the Regulation A Offering. An additional $0.4 million in expenses related to the Regulation A Offering was recorded during the three months ended March 31, 2025. Upon termination of the Regulation A Offering, the Company recorded a one-time total write-off of $0.7 million as expenses related to an abandoned financing transaction during the three months ended March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Reserved for Future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reserved the following shares of common stock for future issuance:</w:t>
      </w:r>
    </w:p>
    <w:p>
      <w:pPr>
        <w:pStyle w:val="TextBody"/>
        <w:bidi w:val="0"/>
        <w:spacing w:before="0" w:after="0"/>
        <w:ind w:left="0" w:right="0" w:hanging="0"/>
        <w:jc w:val="left"/>
        <w:rPr/>
      </w:pPr>
      <w:r>
        <w:rPr/>
        <w:t>​</w:t>
      </w:r>
    </w:p>
    <w:tbl>
      <w:tblPr>
        <w:tblW w:w="9595" w:type="dxa"/>
        <w:jc w:val="left"/>
        <w:tblInd w:w="0" w:type="dxa"/>
        <w:tblLayout w:type="fixed"/>
        <w:tblCellMar>
          <w:top w:w="0" w:type="dxa"/>
          <w:left w:w="0" w:type="dxa"/>
          <w:bottom w:w="0" w:type="dxa"/>
          <w:right w:w="0" w:type="dxa"/>
        </w:tblCellMar>
      </w:tblPr>
      <w:tblGrid>
        <w:gridCol w:w="5806"/>
        <w:gridCol w:w="326"/>
        <w:gridCol w:w="209"/>
        <w:gridCol w:w="1337"/>
        <w:gridCol w:w="326"/>
        <w:gridCol w:w="250"/>
        <w:gridCol w:w="1341"/>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86810" cy="175260"/>
                      <wp:effectExtent l="0" t="0" r="0" b="0"/>
                      <wp:wrapNone/>
                      <wp:docPr id="109" name="Frame108"/>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2715" cy="175260"/>
                      <wp:effectExtent l="0" t="0" r="0" b="0"/>
                      <wp:wrapNone/>
                      <wp:docPr id="111" name="Frame11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848995" cy="175260"/>
                      <wp:effectExtent l="0" t="0" r="0" b="0"/>
                      <wp:wrapNone/>
                      <wp:docPr id="112" name="Frame111"/>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8750" cy="175260"/>
                      <wp:effectExtent l="0" t="0" r="0" b="0"/>
                      <wp:wrapNone/>
                      <wp:docPr id="114" name="Frame11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851535" cy="175260"/>
                      <wp:effectExtent l="0" t="0" r="0" b="0"/>
                      <wp:wrapNone/>
                      <wp:docPr id="115" name="Frame114"/>
                      <a:graphic xmlns:a="http://schemas.openxmlformats.org/drawingml/2006/main">
                        <a:graphicData uri="http://schemas.microsoft.com/office/word/2010/wordprocessingShape">
                          <wps:wsp>
                            <wps:cNvSpPr txBox="1"/>
                            <wps:spPr>
                              <a:xfrm>
                                <a:off x="0" y="0"/>
                                <a:ext cx="85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11,298</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17,243</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outstanding</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1,027,428</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13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47,764</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2024 Equity Incentive Plan</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78,172</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9,492</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Employee Stock Purchase Plan</w:t>
            </w:r>
          </w:p>
        </w:tc>
        <w:tc>
          <w:tcPr>
            <w:tcW w:w="326"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1,116,898</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75,071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2017 Equity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28, 2017, the Board approved the 2017 Equity Inducement Plan. Under the 2017 Equity Inducement Plan, the Board reserved 1,000 shares for the grant of RSUs. These grants will be administered by the Board or a committee of the Board. Under the 2017 Equity Inducement Plan, awards could be granted to individuals who (a) were being hired as an employee by the Company or any subsidiary and such award is a material inducement to such person being hired; (b) were being rehired as an employee following a bona fide period of interruption of employment with the Company or any subsidiary; or (c) would become an employee of the Company or any subsidiary in connection with a merger or acquisition.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5" w:name="Tc_ge22M4dY1kKxmqTpk1YVIQ_10_4"/>
      <w:bookmarkStart w:id="866" w:name="Tc_In4kUxTo7Uyva--itl146A_10_0"/>
      <w:bookmarkStart w:id="867" w:name="Tc_wBCDTnWZgkW1vioE6sw1EA_9_0"/>
      <w:bookmarkStart w:id="868" w:name="Tc_smLEGx_8mUi9RW-zhR9ZWQ_8_0"/>
      <w:bookmarkStart w:id="869" w:name="Tc_4UMoGAKXBEmDMQuFh0R4xw_7_0"/>
      <w:bookmarkStart w:id="870" w:name="Tc_IqDMjxH6dk-xYeiPa3xjTg_6_4"/>
      <w:bookmarkStart w:id="871" w:name="Tc_AER0QYkV90qHVmqAsfvgEg_6_0"/>
      <w:bookmarkStart w:id="872" w:name="Tc_aB1FlmtR_0CKpNVzcxbEaQ_5_4"/>
      <w:bookmarkStart w:id="873" w:name="Tc_FdGHxQVLpE-xZxOTuL64HA_5_2"/>
      <w:bookmarkStart w:id="874" w:name="Tc_eTGyojVxskmkGi196ZJQPA_4_4"/>
      <w:bookmarkStart w:id="875" w:name="Tc_etmaGh-OEEaMqSQ6CpIWWA_3_4"/>
      <w:bookmarkStart w:id="876" w:name="Tc_0X0RdLK9QUmWFVCaRJPkzQ_2_4"/>
      <w:bookmarkStart w:id="877" w:name="Tc_3rmWQpclVkSeSSGF-XT1Lg_1_4"/>
      <w:bookmarkEnd w:id="865"/>
      <w:bookmarkEnd w:id="866"/>
      <w:bookmarkEnd w:id="867"/>
      <w:bookmarkEnd w:id="868"/>
      <w:bookmarkEnd w:id="869"/>
      <w:bookmarkEnd w:id="870"/>
      <w:bookmarkEnd w:id="871"/>
      <w:bookmarkEnd w:id="872"/>
      <w:bookmarkEnd w:id="873"/>
      <w:bookmarkEnd w:id="874"/>
      <w:bookmarkEnd w:id="875"/>
      <w:bookmarkEnd w:id="876"/>
      <w:bookmarkEnd w:id="877"/>
      <w:r>
        <w:rPr>
          <w:rFonts w:ascii="Times New Roman;Times;serif" w:hAnsi="Times New Roman;Times;serif"/>
          <w:b/>
          <w:sz w:val="20"/>
        </w:rPr>
        <w:t>Note 11 – Stock-Based Compensation,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20, 2022, the Board increased the number of shares of common stock reserved and available for issuance under the 2017 Equity Inducement Plan by 3,333 shares. On March 28, 2024, the Board increased the number of shares of common stock reserved and available for issuance under the 2017 Equity Inducement Plan by 4,050 shares. As of September 30, 2025, there are 1,270 RSUs granted and outstanding under the 2017 Equity Inducement Plan. No new equity award grants are to be issued from the 2017 Equity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2024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12, 2024, the Energous Corporation 2024 Equity Incentive Plan (the “2024 Equity Incentive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15,200 shares of common stock were approved for issuance under the 2024 Equity Incentive Plan. On June 11, 2025, the Company’s stockholders approved an increase of the available share reserve under the 2024 Equity Incentive Plan by 66,667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2025, there are 10,028 unvested RSUs outstanding under the 2024 Equity Incentive Plan. As of September 30, 2025, 78,172 shares of common stock remain available for issuance under the 2024 Equity Incentive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2025, the Compensation Committee granted directors an aggregate of 159 RSUs for service on the Board. These RSU awards vest on the one-year anniversary of the grant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2025, the Board granted employees an aggregate of 2,099 RSUs, which vest over four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RSU awards were granted during the three months ended September 30,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September 30, 2025, the unamortized fair value of outstanding RSUs was $0.3 million. The unamortized amount will be expensed over a weighted average period of 2.6 years. A summary of the activity related to RSUs for the nine months ended September 30, 2025 is presented below:</w:t>
      </w:r>
    </w:p>
    <w:p>
      <w:pPr>
        <w:pStyle w:val="TextBody"/>
        <w:bidi w:val="0"/>
        <w:spacing w:before="0" w:after="0"/>
        <w:ind w:left="0" w:right="0" w:hanging="0"/>
        <w:jc w:val="left"/>
        <w:rPr/>
      </w:pPr>
      <w:r>
        <w:rPr/>
        <w:t>​</w:t>
      </w:r>
    </w:p>
    <w:tbl>
      <w:tblPr>
        <w:tblW w:w="5486" w:type="dxa"/>
        <w:jc w:val="left"/>
        <w:tblInd w:w="0" w:type="dxa"/>
        <w:tblLayout w:type="fixed"/>
        <w:tblCellMar>
          <w:top w:w="0" w:type="dxa"/>
          <w:left w:w="0" w:type="dxa"/>
          <w:bottom w:w="0" w:type="dxa"/>
          <w:right w:w="0" w:type="dxa"/>
        </w:tblCellMar>
      </w:tblPr>
      <w:tblGrid>
        <w:gridCol w:w="3211"/>
        <w:gridCol w:w="326"/>
        <w:gridCol w:w="691"/>
        <w:gridCol w:w="326"/>
        <w:gridCol w:w="211"/>
        <w:gridCol w:w="72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38985" cy="175260"/>
                      <wp:effectExtent l="0" t="0" r="0" b="0"/>
                      <wp:wrapNone/>
                      <wp:docPr id="116" name="Frame11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8" name="Frame1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57835" cy="175260"/>
                      <wp:effectExtent l="0" t="0" r="0" b="0"/>
                      <wp:wrapNone/>
                      <wp:docPr id="121" name="Frame12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Date Fair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2025</w:t>
            </w:r>
          </w:p>
        </w:tc>
        <w:tc>
          <w:tcPr>
            <w:tcW w:w="3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17,946</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32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(5,081)</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41.78</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September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59.40</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8" w:name="Tc_pOIYV09hPEmwk6VPWPwgew_8_11"/>
      <w:bookmarkStart w:id="879" w:name="Tc_onnlA_gTG0WQfPXz-B76Rg_8_8"/>
      <w:bookmarkStart w:id="880" w:name="Tc_ec_ilxCqO0yPj3PqpfGjbw_8_5"/>
      <w:bookmarkStart w:id="881" w:name="Tc_IHuRbpu4LkKELRahJ49zsA_8_2"/>
      <w:bookmarkStart w:id="882" w:name="Tc_JMWCijii-E2fiuhPCRRvzg_8_0"/>
      <w:bookmarkStart w:id="883" w:name="Tc_q_4fcQ_UdEKgiNFfbsvHNQ_7_12"/>
      <w:bookmarkStart w:id="884" w:name="Tc_oDwmqg9sPUmPGMIhrygY1w_7_6"/>
      <w:bookmarkStart w:id="885" w:name="Tc_j4FMQoF8LkSNk_sSEdD-pA_7_3"/>
      <w:bookmarkStart w:id="886" w:name="Tc_69gVz7pm2kiIzXHvf91dSA_7_0"/>
      <w:bookmarkStart w:id="887" w:name="Tc_hT0rrUcHrEyEKUXmPbuw8Q_6_6"/>
      <w:bookmarkStart w:id="888" w:name="Tc_p3U1yFOb9EOPidfc3vg6SA_6_3"/>
      <w:bookmarkStart w:id="889" w:name="Tc_QZigE_OO5UyYifbVxZ8QMg_6_0"/>
      <w:bookmarkStart w:id="890" w:name="Tc_fkPHKtg0_k2L40aw4EyxOg_5_0"/>
      <w:bookmarkStart w:id="891" w:name="Tc_uwf8zqZZYkOEUCw2u5R-Nw_4_0"/>
      <w:bookmarkStart w:id="892" w:name="Tc_29hjUv0jCEucOzmm39rD3w_3_11"/>
      <w:bookmarkStart w:id="893" w:name="Tc_fz-XqUHmXEmbxNjeGCrhKw_3_8"/>
      <w:bookmarkStart w:id="894" w:name="Tc_nTBBBNqTQkmfSHa4tMsfXg_3_5"/>
      <w:bookmarkStart w:id="895" w:name="Tc_KoqhPvX2bUCTuvVeYSnerw_3_2"/>
      <w:bookmarkStart w:id="896" w:name="Tc_49nvsgR3i0ih61KXf2UMrg_3_0"/>
      <w:bookmarkStart w:id="897" w:name="Tc_MjZbJa7M0kOaZczHvV9fQA_2_11"/>
      <w:bookmarkStart w:id="898" w:name="Tc_e89IiAz3vkmhNGy4Rf4klQ_2_8"/>
      <w:bookmarkStart w:id="899" w:name="Tc_vzDXq2LT_0iMCki0z3wadg_2_5"/>
      <w:bookmarkStart w:id="900" w:name="Tc_dbJNELLn40e8WSoelhRE0w_2_2"/>
      <w:bookmarkStart w:id="901" w:name="Tc_yhcPF2aWT0GR-28PUXfY6Q_1_8"/>
      <w:bookmarkStart w:id="902" w:name="Tc_ISrjLo5VI0mhwJxuexy9Xw_1_2"/>
      <w:bookmarkStart w:id="903" w:name="_2cf34ecf_e23e_49e7_81e0_2a24d45659ac"/>
      <w:bookmarkStart w:id="904" w:name="Tc_VDw8OOP0AUexWs0F7w_-6Q_7_6"/>
      <w:bookmarkStart w:id="905" w:name="Tc_xDxOFdi64ke7rQcSkWcQMQ_7_2"/>
      <w:bookmarkStart w:id="906" w:name="Tc_1alEkypnXUKKElJXhhFB-w_7_0"/>
      <w:bookmarkStart w:id="907" w:name="Tc_42JM-g9E0kyD5DUWL3NLWA_6_6"/>
      <w:bookmarkStart w:id="908" w:name="Tc_GE9lU2X3Z0mDRqMWK7R-ag_6_5"/>
      <w:bookmarkStart w:id="909" w:name="Tc_Pw-Y23BzeEyr75Obsuz96w_6_2"/>
      <w:bookmarkStart w:id="910" w:name="Tc_JA80Vb2yUEGd-gaAuvB6_g_6_0"/>
      <w:bookmarkStart w:id="911" w:name="Tc_MvryNslCZEqf6KlnPozOkQ_5_6"/>
      <w:bookmarkStart w:id="912" w:name="Tc_z-ebhkFgqEOx6SOYDLWMEw_5_5"/>
      <w:bookmarkStart w:id="913" w:name="Tc_uPM-IW3960eMLCXgyfP48g_5_2"/>
      <w:bookmarkStart w:id="914" w:name="Tc_B80ZRS-2WkaQnvLQUeMWgg_5_0"/>
      <w:bookmarkStart w:id="915" w:name="Tc_oAa5s3j1rEqJG6WgHKu91w_4_6"/>
      <w:bookmarkStart w:id="916" w:name="Tc_g4pbBn1dIEOdLbP4ChlxzQ_4_2"/>
      <w:bookmarkStart w:id="917" w:name="Tc_06ZP0Co8u0a8UP2mTtRMkg_4_0"/>
      <w:bookmarkStart w:id="918" w:name="Tc_S_1goQ4Pbkqu-IviFTmA1g_3_5"/>
      <w:bookmarkStart w:id="919" w:name="Tc_FOmYdGllYUOQX86AYdvzjA_3_4"/>
      <w:bookmarkStart w:id="920" w:name="Tc_rN0tNsVyT0iLDnVn2A7oIg_3_2"/>
      <w:bookmarkStart w:id="921" w:name="Tc_ujVKcEjUNEaLVVqlE_VfXw_3_0"/>
      <w:bookmarkStart w:id="922" w:name="Tc_o4In0ZcJFEaR-9HW3HlkpQ_2_5"/>
      <w:bookmarkStart w:id="923" w:name="Tc_EEs3NWdYWEaOxFd985TGwQ_2_2"/>
      <w:bookmarkStart w:id="924" w:name="Tc_onWvjjYD7UuSZBI25-2baQ_1_2"/>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r>
        <w:rPr>
          <w:rFonts w:ascii="Times New Roman;Times;serif" w:hAnsi="Times New Roman;Times;serif"/>
          <w:b/>
          <w:sz w:val="20"/>
        </w:rPr>
        <w:t>Note 11 – Stock-Based Compensation,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2015, the Board approved the ESPP, under which 1,000 shares of common stock were reserved for purchase by the Company’s employees, subject to the approval by the Company’s stockholders. On May 21, 2015, the Company’s stockholders approved the ESPP. On June 12, 2024, the Company’s stockholders approved the amendment and restatement of the ESPP to increase the number of shares reserved for issuance under the ESPP by 207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January 21, 2025, the Company terminated its ESPP. No transactions were recorded under the ESPP during 2025. During the year ended December 31, 2024, there were two offering periods. The first offering period began on January 1, 2024 and concluded on June 30, 2024. The second offering period began on July 1, 2024 and concluded on December 31, 2024. The final shares purchased under the ESPP were deemed delivered on December 31, 2024.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weighted average grant-date fair value of the purchase option for each designated share purchased under the ESPP was approximately $0 per share and $18.90 per share for the nine months ended September 30, 2025 and 2024,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did not recognize any compensation expense for the ESPP during the three and nine months ended September 30, 2025. The Company recognized compensation expense for the ESPP of approximately $1,000 and $42,000 for the three and nine months ended September 30, 2024,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estimated the fair value of ESPP purchase options granted during the nine months ended September 30, 2024 using the Black-Scholes option pricing model. The fair values of ESPP purchase options granted were estimated using the following assumptions:</w:t>
      </w:r>
    </w:p>
    <w:p>
      <w:pPr>
        <w:pStyle w:val="TextBody"/>
        <w:bidi w:val="0"/>
        <w:spacing w:before="0" w:after="0"/>
        <w:ind w:left="0" w:right="0" w:hanging="0"/>
        <w:jc w:val="left"/>
        <w:rPr/>
      </w:pPr>
      <w:r>
        <w:rPr/>
        <w:t>​</w:t>
      </w:r>
    </w:p>
    <w:tbl>
      <w:tblPr>
        <w:tblW w:w="6072" w:type="dxa"/>
        <w:jc w:val="left"/>
        <w:tblInd w:w="0" w:type="dxa"/>
        <w:tblLayout w:type="fixed"/>
        <w:tblCellMar>
          <w:top w:w="0" w:type="dxa"/>
          <w:left w:w="0" w:type="dxa"/>
          <w:bottom w:w="0" w:type="dxa"/>
          <w:right w:w="0" w:type="dxa"/>
        </w:tblCellMar>
      </w:tblPr>
      <w:tblGrid>
        <w:gridCol w:w="1846"/>
        <w:gridCol w:w="326"/>
        <w:gridCol w:w="640"/>
        <w:gridCol w:w="447"/>
        <w:gridCol w:w="289"/>
        <w:gridCol w:w="1773"/>
        <w:gridCol w:w="75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72210" cy="175260"/>
                      <wp:effectExtent l="0" t="0" r="0" b="0"/>
                      <wp:wrapNone/>
                      <wp:docPr id="122" name="Frame12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06400" cy="175260"/>
                      <wp:effectExtent l="0" t="0" r="0" b="0"/>
                      <wp:wrapNone/>
                      <wp:docPr id="124" name="Frame123"/>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83845" cy="175260"/>
                      <wp:effectExtent l="0" t="0" r="0" b="0"/>
                      <wp:wrapNone/>
                      <wp:docPr id="125" name="Frame124"/>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3515" cy="175260"/>
                      <wp:effectExtent l="0" t="0" r="0" b="0"/>
                      <wp:wrapNone/>
                      <wp:docPr id="126" name="Frame12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125855" cy="175260"/>
                      <wp:effectExtent l="0" t="0" r="0" b="0"/>
                      <wp:wrapNone/>
                      <wp:docPr id="127" name="Frame126"/>
                      <a:graphic xmlns:a="http://schemas.openxmlformats.org/drawingml/2006/main">
                        <a:graphicData uri="http://schemas.microsoft.com/office/word/2010/wordprocessingShape">
                          <wps:wsp>
                            <wps:cNvSpPr txBox="1"/>
                            <wps:spPr>
                              <a:xfrm>
                                <a:off x="0" y="0"/>
                                <a:ext cx="1125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76885" cy="175260"/>
                      <wp:effectExtent l="0" t="0" r="0" b="0"/>
                      <wp:wrapNone/>
                      <wp:docPr id="128" name="Frame12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75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7" w:type="dxa"/>
            <w:tcBorders/>
            <w:vAlign w:val="center"/>
          </w:tcPr>
          <w:p>
            <w:pPr>
              <w:pStyle w:val="TableContents"/>
              <w:bidi w:val="0"/>
              <w:spacing w:before="0" w:after="0"/>
              <w:ind w:left="0" w:right="0" w:hanging="0"/>
              <w:jc w:val="center"/>
              <w:rPr/>
            </w:pPr>
            <w:r>
              <w:rPr/>
              <w:t>    </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7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751" w:type="dxa"/>
            <w:tcBorders/>
            <w:vAlign w:val="center"/>
          </w:tcPr>
          <w:p>
            <w:pPr>
              <w:pStyle w:val="TableContents"/>
              <w:bidi w:val="0"/>
              <w:spacing w:before="0" w:after="0"/>
              <w:ind w:left="0" w:right="0" w:hanging="0"/>
              <w:jc w:val="left"/>
              <w:rPr/>
            </w:pPr>
            <w:r>
              <w:rPr/>
              <w:t>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32.70 - $54.90</w:t>
            </w:r>
          </w:p>
        </w:tc>
        <w:tc>
          <w:tcPr>
            <w:tcW w:w="751"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1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1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 - 112</w:t>
            </w:r>
          </w:p>
        </w:tc>
        <w:tc>
          <w:tcPr>
            <w:tcW w:w="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1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5.26 - 5.37</w:t>
            </w:r>
          </w:p>
        </w:tc>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1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months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amount of stock-based compensation was reflected within the statements of operations as (in thousands):</w:t>
      </w:r>
    </w:p>
    <w:p>
      <w:pPr>
        <w:pStyle w:val="TextBody"/>
        <w:bidi w:val="0"/>
        <w:spacing w:before="0" w:after="0"/>
        <w:ind w:left="0" w:right="0" w:hanging="0"/>
        <w:jc w:val="left"/>
        <w:rPr/>
      </w:pPr>
      <w:r>
        <w:rPr/>
        <w:t>​</w:t>
      </w:r>
    </w:p>
    <w:tbl>
      <w:tblPr>
        <w:tblW w:w="8931" w:type="dxa"/>
        <w:jc w:val="left"/>
        <w:tblInd w:w="0" w:type="dxa"/>
        <w:tblLayout w:type="fixed"/>
        <w:tblCellMar>
          <w:top w:w="0" w:type="dxa"/>
          <w:left w:w="0" w:type="dxa"/>
          <w:bottom w:w="0" w:type="dxa"/>
          <w:right w:w="0" w:type="dxa"/>
        </w:tblCellMar>
      </w:tblPr>
      <w:tblGrid>
        <w:gridCol w:w="2311"/>
        <w:gridCol w:w="326"/>
        <w:gridCol w:w="388"/>
        <w:gridCol w:w="581"/>
        <w:gridCol w:w="599"/>
        <w:gridCol w:w="388"/>
        <w:gridCol w:w="774"/>
        <w:gridCol w:w="326"/>
        <w:gridCol w:w="403"/>
        <w:gridCol w:w="804"/>
        <w:gridCol w:w="623"/>
        <w:gridCol w:w="403"/>
        <w:gridCol w:w="1005"/>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67485" cy="175260"/>
                      <wp:effectExtent l="0" t="0" r="0" b="0"/>
                      <wp:wrapNone/>
                      <wp:docPr id="129" name="Frame12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46380" cy="175260"/>
                      <wp:effectExtent l="0" t="0" r="0" b="0"/>
                      <wp:wrapNone/>
                      <wp:docPr id="131" name="Frame130"/>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8935" cy="175260"/>
                      <wp:effectExtent l="0" t="0" r="0" b="0"/>
                      <wp:wrapNone/>
                      <wp:docPr id="132" name="Frame131"/>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0365" cy="175260"/>
                      <wp:effectExtent l="0" t="0" r="0" b="0"/>
                      <wp:wrapNone/>
                      <wp:docPr id="133" name="Frame132"/>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46380" cy="175260"/>
                      <wp:effectExtent l="0" t="0" r="0" b="0"/>
                      <wp:wrapNone/>
                      <wp:docPr id="134" name="Frame13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1490" cy="175260"/>
                      <wp:effectExtent l="0" t="0" r="0" b="0"/>
                      <wp:wrapNone/>
                      <wp:docPr id="135" name="Frame134"/>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5905" cy="175260"/>
                      <wp:effectExtent l="0" t="0" r="0" b="0"/>
                      <wp:wrapNone/>
                      <wp:docPr id="137" name="Frame13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10540" cy="175260"/>
                      <wp:effectExtent l="0" t="0" r="0" b="0"/>
                      <wp:wrapNone/>
                      <wp:docPr id="138" name="Frame137"/>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95605" cy="175260"/>
                      <wp:effectExtent l="0" t="0" r="0" b="0"/>
                      <wp:wrapNone/>
                      <wp:docPr id="139" name="Frame138"/>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55905" cy="175260"/>
                      <wp:effectExtent l="0" t="0" r="0" b="0"/>
                      <wp:wrapNone/>
                      <wp:docPr id="140" name="Frame139"/>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38175" cy="175260"/>
                      <wp:effectExtent l="0" t="0" r="0" b="0"/>
                      <wp:wrapNone/>
                      <wp:docPr id="141" name="Frame140"/>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center"/>
              <w:rPr/>
            </w:pPr>
            <w:r>
              <w:rPr/>
              <w:t>​</w:t>
            </w:r>
          </w:p>
        </w:tc>
        <w:tc>
          <w:tcPr>
            <w:tcW w:w="32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September 30,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9" w:type="dxa"/>
            <w:tcBorders/>
            <w:vAlign w:val="center"/>
          </w:tcPr>
          <w:p>
            <w:pPr>
              <w:pStyle w:val="TableContents"/>
              <w:bidi w:val="0"/>
              <w:spacing w:before="0" w:after="0"/>
              <w:ind w:left="0" w:right="0" w:hanging="0"/>
              <w:jc w:val="center"/>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23" w:type="dxa"/>
            <w:tcBorders/>
            <w:vAlign w:val="center"/>
          </w:tcPr>
          <w:p>
            <w:pPr>
              <w:pStyle w:val="TableContents"/>
              <w:bidi w:val="0"/>
              <w:spacing w:before="0" w:after="0"/>
              <w:ind w:left="0" w:right="0" w:hanging="0"/>
              <w:jc w:val="center"/>
              <w:rPr/>
            </w:pPr>
            <w:r>
              <w:rPr/>
              <w:t>    </w:t>
            </w:r>
          </w:p>
        </w:tc>
        <w:tc>
          <w:tcPr>
            <w:tcW w:w="14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59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623"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9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623"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 </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59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 </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623"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pPr>
            <w:r>
              <w:rPr/>
              <w:t>–</w:t>
            </w:r>
          </w:p>
        </w:tc>
        <w:tc>
          <w:tcPr>
            <w:tcW w:w="59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623"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righ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99"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23" w:type="dxa"/>
            <w:tcBorders/>
            <w:shd w:fill="CCEEFF" w:val="clear"/>
            <w:vAlign w:val="center"/>
          </w:tcPr>
          <w:p>
            <w:pPr>
              <w:pStyle w:val="TableContents"/>
              <w:bidi w:val="0"/>
              <w:spacing w:before="0" w:after="0"/>
              <w:ind w:left="0" w:right="0" w:hanging="0"/>
              <w:jc w:val="righ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599"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4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623" w:type="dxa"/>
            <w:tcBorders/>
            <w:vAlign w:val="center"/>
          </w:tcPr>
          <w:p>
            <w:pPr>
              <w:pStyle w:val="TableContents"/>
              <w:bidi w:val="0"/>
              <w:spacing w:before="0" w:after="0"/>
              <w:ind w:left="0" w:right="0" w:hanging="0"/>
              <w:jc w:val="right"/>
              <w:rPr/>
            </w:pPr>
            <w:r>
              <w:rPr/>
              <w:t>​</w:t>
            </w:r>
          </w:p>
        </w:tc>
        <w:tc>
          <w:tcPr>
            <w:tcW w:w="4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 Warrant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2023, the Company issued warrants to purchase up to 13,750 shares of its common stock. The 2023 Warrants had a six-year term and were exercisable upon issuance on March 28, 2023. Each 2023 Warrant was initially exercisable for one share of the Company’s common stock at a price of $240.00 per share. As of September 11, 2025, the exercise price was adjusted to $8.40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of the 2023 Warrants, including sales under the ATM Program, the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The Company recorded a change in fair value of the warrant liability of an increase of $10,000 and a decrease of $0.3 million for the three and nine months ended September 30, 2025, respectively. The Company recorded a change in fair value of the warrant liability of an increase of $0.2 million and $0.4 million for the three and nine months ended September 30, 2024. As of September 30, 2025, the 2023 Warrants had been fully exercised in the Concurrent Warrant Exercise Transaction, eliminating the recorded warrant liability. See Note 13 - Fair Value Measurements for details on changes of fair value of the warrant liability.</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130"/>
        <w:ind w:left="0" w:right="0" w:hanging="0"/>
        <w:jc w:val="left"/>
        <w:rPr>
          <w:rFonts w:ascii="Times New Roman;Times;serif" w:hAnsi="Times New Roman;Times;serif"/>
          <w:b/>
          <w:sz w:val="20"/>
        </w:rPr>
      </w:pPr>
      <w:bookmarkStart w:id="925" w:name="_e7cdf219_1040_402f_95f9_f97636ee89cb_3"/>
      <w:bookmarkStart w:id="926" w:name="_e7cdf219_1040_402f_95f9_f97636ee89cb_2"/>
      <w:bookmarkStart w:id="927" w:name="_e7cdf219_1040_402f_95f9_f97636ee89cb"/>
      <w:bookmarkStart w:id="928" w:name="_d11abbee_a041_4811_b172_3b7b57603a67_3"/>
      <w:bookmarkStart w:id="929" w:name="_d11abbee_a041_4811_b172_3b7b57603a67_2"/>
      <w:bookmarkStart w:id="930" w:name="_d11abbee_a041_4811_b172_3b7b57603a67"/>
      <w:bookmarkStart w:id="931" w:name="_b56d9a48_a4db_4458_9a5c_350f767d0bfd_3"/>
      <w:bookmarkStart w:id="932" w:name="_b56d9a48_a4db_4458_9a5c_350f767d0bfd_2"/>
      <w:bookmarkStart w:id="933" w:name="_b56d9a48_a4db_4458_9a5c_350f767d0bfd"/>
      <w:bookmarkStart w:id="934" w:name="_757d99f6_1eab_410c_a69f_bb4d887445dd_3"/>
      <w:bookmarkStart w:id="935" w:name="_757d99f6_1eab_410c_a69f_bb4d887445dd_2"/>
      <w:bookmarkStart w:id="936" w:name="_757d99f6_1eab_410c_a69f_bb4d887445dd"/>
      <w:bookmarkStart w:id="937" w:name="_5bfe7b22_f89a_48f3_9a23_f33aef0ee944_3"/>
      <w:bookmarkStart w:id="938" w:name="_5bfe7b22_f89a_48f3_9a23_f33aef0ee944_2"/>
      <w:bookmarkStart w:id="939" w:name="_5bfe7b22_f89a_48f3_9a23_f33aef0ee944"/>
      <w:bookmarkStart w:id="940" w:name="Tc_-jcV_rwlf0y3m-QYFsPG_Q_6_11"/>
      <w:bookmarkStart w:id="941" w:name="Tc_OUXNqy8sekCZaMobNoT0jQ_6_8"/>
      <w:bookmarkStart w:id="942" w:name="Tc_NJtnwbqZVECFVXJJ4w4S8w_6_6"/>
      <w:bookmarkStart w:id="943" w:name="Tc_tJfZj1FaF0yXDVs1_uT7nQ_6_5"/>
      <w:bookmarkStart w:id="944" w:name="Tc_vlSJMGldFEmIRZKjuWegcQ_6_3"/>
      <w:bookmarkStart w:id="945" w:name="Tc_76ax9ly4ZEyL5E8TOzWboQ_6_2"/>
      <w:bookmarkStart w:id="946" w:name="Tc_RDu2dbaiZ0mehk4MLpIEVw_6_0"/>
      <w:bookmarkStart w:id="947" w:name="Tc_YeogIm_YgU670yXdsRyOqQ_5_0"/>
      <w:bookmarkStart w:id="948" w:name="Tc_KMQ_flob90-u7_wFjUHXEA_4_11"/>
      <w:bookmarkStart w:id="949" w:name="Tc__IX30cOQ1UKtM1u4le7myQ_4_9"/>
      <w:bookmarkStart w:id="950" w:name="Tc_1gvj9rBxfkeIP_IlzSQGug_4_8"/>
      <w:bookmarkStart w:id="951" w:name="Tc_R-2ewxd7pkWssLbqFjWM4w_4_6"/>
      <w:bookmarkStart w:id="952" w:name="Tc_9O_CtNPEjEiPrylICZwPoQ_4_5"/>
      <w:bookmarkStart w:id="953" w:name="Tc_pe3yrkpBGU2YfDPCsVqPSw_4_2"/>
      <w:bookmarkStart w:id="954" w:name="Tc_63v1E01DM0aMW8WcxPOYsw_4_0"/>
      <w:bookmarkStart w:id="955" w:name="Tc_PdB0GmuPtE622iD2DbyoqA_3_0"/>
      <w:bookmarkStart w:id="956" w:name="Tc_0m46tpKrAUqLSJeGdj_Ang_2_11"/>
      <w:bookmarkStart w:id="957" w:name="Tc_pqqu_AbFlku3kzjMNNVixw_2_8"/>
      <w:bookmarkStart w:id="958" w:name="Tc_Jv0j6ShZCU6DiqziOL9oMQ_2_5"/>
      <w:bookmarkStart w:id="959" w:name="Tc_h5P2AaGqjkGpomig4caXVw_2_2"/>
      <w:bookmarkStart w:id="960" w:name="Tc_rUu23ks6DU656naEiurbrg_1_2"/>
      <w:bookmarkStart w:id="961" w:name="_e74f4021_925c_406b_94e9_331066b8cb9f"/>
      <w:bookmarkStart w:id="962" w:name="Tc_lIeQRZexq0KDwe-lq6mhvA_6_12"/>
      <w:bookmarkStart w:id="963" w:name="Tc_GknQL7-IV0W5N0DxqHY6hw_6_11"/>
      <w:bookmarkStart w:id="964" w:name="Tc_Fhovjx4F50KLYU8VlBzYng_6_9"/>
      <w:bookmarkStart w:id="965" w:name="Tc_frPN4-dYlUOLXuzL6nUTRg_6_8"/>
      <w:bookmarkStart w:id="966" w:name="Tc_ElLKacaPkkafB6fmICOaqg_6_6"/>
      <w:bookmarkStart w:id="967" w:name="Tc_-C-NtsjXO0i_5xeSiIFwOQ_6_5"/>
      <w:bookmarkStart w:id="968" w:name="Tc_idYbVmrxy0mMUYkUfS3D7g_6_3"/>
      <w:bookmarkStart w:id="969" w:name="Tc_O0q4eaxcFk2aNvKzG1M81w_6_2"/>
      <w:bookmarkStart w:id="970" w:name="Tc_8qA9VZltVEeEADOJVAj0mQ_6_0"/>
      <w:bookmarkStart w:id="971" w:name="Tc_7KEW6b4XbUeWtdf3I91oRA_5_0"/>
      <w:bookmarkStart w:id="972" w:name="Tc_WBBQWuJYxkCdOYstMGifKQ_4_11"/>
      <w:bookmarkStart w:id="973" w:name="Tc_VnakNHgyWUaJQPgauQhdfw_4_9"/>
      <w:bookmarkStart w:id="974" w:name="Tc_khhyFuJ8f0mP_iIUBrmfig_4_8"/>
      <w:bookmarkStart w:id="975" w:name="Tc_Nhi0-Ru2w0uAajw7BFfRnA_4_6"/>
      <w:bookmarkStart w:id="976" w:name="Tc_NCcyiwfFj0CUrAwyjhXd5Q_4_5"/>
      <w:bookmarkStart w:id="977" w:name="Tc_1-jbhxit3kKc0yKZGQ80rg_4_2"/>
      <w:bookmarkStart w:id="978" w:name="Tc_HwKO1HprUUSmgg-Qf5jF6w_4_0"/>
      <w:bookmarkStart w:id="979" w:name="Tc_pcasTfc-ZUO1tLSp9kXOlg_3_0"/>
      <w:bookmarkStart w:id="980" w:name="Tc_CA1AEekm_kemOvrjds-o2w_2_11"/>
      <w:bookmarkStart w:id="981" w:name="Tc_G_anpAjNr0aIoNxkilOk6g_2_8"/>
      <w:bookmarkStart w:id="982" w:name="Tc_pHDaETQhr0mFJJ7zEoK51A_2_5"/>
      <w:bookmarkStart w:id="983" w:name="Tc_P63br_bvv0Wnu-ktFEgDjw_2_2"/>
      <w:bookmarkStart w:id="984" w:name="Tc_H7zc94Lsz020MBBCEGOtoQ_1_2"/>
      <w:bookmarkStart w:id="985" w:name="_b711a831_d0dd_4494_b794_eeaa935a9779"/>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b/>
          <w:sz w:val="20"/>
        </w:rPr>
        <w:t>Note 13 – Fair Value Measurements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information about the Company’s assets and liabilities that are measured at fair value on a recurring basis as of September 30, 2025 and December 31, 2024 and indicate the fair value hierarchy of the valuation inputs utilized to determine such fair value (in thousands):</w:t>
      </w:r>
    </w:p>
    <w:p>
      <w:pPr>
        <w:pStyle w:val="TextBody"/>
        <w:bidi w:val="0"/>
        <w:spacing w:before="0" w:after="0"/>
        <w:ind w:left="0" w:right="0" w:hanging="0"/>
        <w:jc w:val="left"/>
        <w:rPr/>
      </w:pPr>
      <w:r>
        <w:rPr/>
        <w:t>​</w:t>
      </w:r>
    </w:p>
    <w:tbl>
      <w:tblPr>
        <w:tblW w:w="5899" w:type="dxa"/>
        <w:jc w:val="left"/>
        <w:tblInd w:w="0" w:type="dxa"/>
        <w:tblLayout w:type="fixed"/>
        <w:tblCellMar>
          <w:top w:w="0" w:type="dxa"/>
          <w:left w:w="0" w:type="dxa"/>
          <w:bottom w:w="0" w:type="dxa"/>
          <w:right w:w="0" w:type="dxa"/>
        </w:tblCellMar>
      </w:tblPr>
      <w:tblGrid>
        <w:gridCol w:w="1516"/>
        <w:gridCol w:w="326"/>
        <w:gridCol w:w="211"/>
        <w:gridCol w:w="676"/>
        <w:gridCol w:w="326"/>
        <w:gridCol w:w="239"/>
        <w:gridCol w:w="391"/>
        <w:gridCol w:w="326"/>
        <w:gridCol w:w="239"/>
        <w:gridCol w:w="391"/>
        <w:gridCol w:w="326"/>
        <w:gridCol w:w="211"/>
        <w:gridCol w:w="72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62660" cy="175260"/>
                      <wp:effectExtent l="0" t="0" r="0" b="0"/>
                      <wp:wrapNone/>
                      <wp:docPr id="142" name="Frame14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29260" cy="175260"/>
                      <wp:effectExtent l="0" t="0" r="0" b="0"/>
                      <wp:wrapNone/>
                      <wp:docPr id="145" name="Frame1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1765" cy="175260"/>
                      <wp:effectExtent l="0" t="0" r="0" b="0"/>
                      <wp:wrapNone/>
                      <wp:docPr id="147" name="Frame14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48285" cy="175260"/>
                      <wp:effectExtent l="0" t="0" r="0" b="0"/>
                      <wp:wrapNone/>
                      <wp:docPr id="148" name="Frame14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1765" cy="175260"/>
                      <wp:effectExtent l="0" t="0" r="0" b="0"/>
                      <wp:wrapNone/>
                      <wp:docPr id="150" name="Frame14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48285" cy="175260"/>
                      <wp:effectExtent l="0" t="0" r="0" b="0"/>
                      <wp:wrapNone/>
                      <wp:docPr id="151" name="Frame15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57835" cy="175260"/>
                      <wp:effectExtent l="0" t="0" r="0" b="0"/>
                      <wp:wrapNone/>
                      <wp:docPr id="154" name="Frame15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5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 September 30, 2025</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12,898</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12,898</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center"/>
        <w:rPr/>
      </w:pPr>
      <w:r>
        <w:rPr/>
        <w:t>​</w:t>
      </w:r>
    </w:p>
    <w:tbl>
      <w:tblPr>
        <w:tblW w:w="5691" w:type="dxa"/>
        <w:jc w:val="left"/>
        <w:tblInd w:w="0" w:type="dxa"/>
        <w:tblLayout w:type="fixed"/>
        <w:tblCellMar>
          <w:top w:w="0" w:type="dxa"/>
          <w:left w:w="0" w:type="dxa"/>
          <w:bottom w:w="0" w:type="dxa"/>
          <w:right w:w="0" w:type="dxa"/>
        </w:tblCellMar>
      </w:tblPr>
      <w:tblGrid>
        <w:gridCol w:w="1516"/>
        <w:gridCol w:w="326"/>
        <w:gridCol w:w="211"/>
        <w:gridCol w:w="571"/>
        <w:gridCol w:w="326"/>
        <w:gridCol w:w="239"/>
        <w:gridCol w:w="391"/>
        <w:gridCol w:w="326"/>
        <w:gridCol w:w="211"/>
        <w:gridCol w:w="421"/>
        <w:gridCol w:w="326"/>
        <w:gridCol w:w="211"/>
        <w:gridCol w:w="61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62660" cy="175260"/>
                      <wp:effectExtent l="0" t="0" r="0" b="0"/>
                      <wp:wrapNone/>
                      <wp:docPr id="155" name="Frame15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62585" cy="175260"/>
                      <wp:effectExtent l="0" t="0" r="0" b="0"/>
                      <wp:wrapNone/>
                      <wp:docPr id="158" name="Frame1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1765" cy="175260"/>
                      <wp:effectExtent l="0" t="0" r="0" b="0"/>
                      <wp:wrapNone/>
                      <wp:docPr id="160" name="Frame15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8285" cy="175260"/>
                      <wp:effectExtent l="0" t="0" r="0" b="0"/>
                      <wp:wrapNone/>
                      <wp:docPr id="161" name="Frame16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67335" cy="175260"/>
                      <wp:effectExtent l="0" t="0" r="0" b="0"/>
                      <wp:wrapNone/>
                      <wp:docPr id="164" name="Frame16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91160" cy="175260"/>
                      <wp:effectExtent l="0" t="0" r="0" b="0"/>
                      <wp:wrapNone/>
                      <wp:docPr id="167" name="Frame16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84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 December 31, 2024</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358</w:t>
            </w:r>
          </w:p>
        </w:tc>
      </w:tr>
    </w:tbl>
    <w:p>
      <w:pPr>
        <w:pStyle w:val="TextBody"/>
        <w:bidi w:val="0"/>
        <w:spacing w:before="0" w:after="240"/>
        <w:ind w:left="0" w:right="0" w:hanging="0"/>
        <w:jc w:val="left"/>
        <w:rPr/>
      </w:pPr>
      <w:r>
        <w:rPr/>
        <w:t>​</w:t>
      </w:r>
    </w:p>
    <w:p>
      <w:pPr>
        <w:pStyle w:val="TextBody"/>
        <w:bidi w:val="0"/>
        <w:spacing w:before="0" w:after="130"/>
        <w:ind w:left="0" w:right="0" w:hanging="0"/>
        <w:jc w:val="left"/>
        <w:rPr>
          <w:rFonts w:ascii="Times New Roman;Times;serif" w:hAnsi="Times New Roman;Times;serif"/>
          <w:sz w:val="20"/>
        </w:rPr>
      </w:pPr>
      <w:r>
        <w:rPr>
          <w:rFonts w:ascii="Times New Roman;Times;serif" w:hAnsi="Times New Roman;Times;serif"/>
          <w:sz w:val="20"/>
        </w:rPr>
        <w:t>There were no transfers among Level 1, Level 2, or Level 3 categories during the periods presented.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86" w:name="Tc_GTByAoiCfkyuLl_KEhyZfA_6_5"/>
      <w:bookmarkStart w:id="987" w:name="Tc_k9hCUH2gv0uIAyXDOwomww_6_3"/>
      <w:bookmarkStart w:id="988" w:name="Tc_blaTbgc1RESyakxrswo82A_6_2"/>
      <w:bookmarkStart w:id="989" w:name="Tc_Jc2ub4iGm0ixocV552j-EQ_6_0"/>
      <w:bookmarkStart w:id="990" w:name="Tc_3sv6kYw5mUuL14Ak6lqfyQ_5_6"/>
      <w:bookmarkStart w:id="991" w:name="Tc_oHHA-2bPBkq8-79iCcqocg_5_0"/>
      <w:bookmarkStart w:id="992" w:name="Tc_EaWYwLVd7061EyKJqxrd_Q_4_0"/>
      <w:bookmarkStart w:id="993" w:name="Tc_UuxMKAwgNU2iTtYHTcqrcQ_3_5"/>
      <w:bookmarkStart w:id="994" w:name="Tc_GxUOxBoAcUGOXLAdmH_ftA_3_2"/>
      <w:bookmarkStart w:id="995" w:name="Tc_hKupnXoS6U6mZOsX4_edaQ_3_0"/>
      <w:bookmarkStart w:id="996" w:name="Tc_XlZ6BO77DUqcyVu_OEL-LQ_2_5"/>
      <w:bookmarkStart w:id="997" w:name="Tc_aSaS-6Pu6kWzcg1xu81t3A_2_2"/>
      <w:bookmarkStart w:id="998" w:name="Tc_chWNJa2w0UCEu4V8jpywug_1_2"/>
      <w:bookmarkStart w:id="999" w:name="Tc_FbShYY-VVE6_vOK8v_IF3Q_7_7"/>
      <w:bookmarkStart w:id="1000" w:name="Tc_SDyWWmXzZkyRCXKA54Ai2A_7_4"/>
      <w:bookmarkStart w:id="1001" w:name="Tc_tQ1pksRaXkiYS04hHcVzkQ_7_0"/>
      <w:bookmarkStart w:id="1002" w:name="Tc_yEasiBOC2UGjB8T_enUAuA_6_7"/>
      <w:bookmarkStart w:id="1003" w:name="Tc_l4NSUOHfdUSeiYLx6IzT6g_6_4"/>
      <w:bookmarkStart w:id="1004" w:name="Tc_1_K02EASokKsWuBUYgWD-g_6_0"/>
      <w:bookmarkStart w:id="1005" w:name="Tc_jUuv9F4bvEitPw-1d3KM3g_5_7"/>
      <w:bookmarkStart w:id="1006" w:name="Tc_0J7jip82DUasHq_sOwHb6Q_5_4"/>
      <w:bookmarkStart w:id="1007" w:name="Tc_-ASkF7dQsUOInT9QxiWmaQ_5_0"/>
      <w:bookmarkStart w:id="1008" w:name="Tc_GGE1lq-OcEOfEXyoKOHAdQ_4_3"/>
      <w:bookmarkStart w:id="1009" w:name="Tc_zEYbtXFGB0WQSJNfi8DEjQ_4_0"/>
      <w:bookmarkStart w:id="1010" w:name="Tc_MBg1uNXltkuWEQtWHTVZag_3_5"/>
      <w:bookmarkStart w:id="1011" w:name="Tc_X3O30SX0LkinMlrPpsSHiw_3_2"/>
      <w:bookmarkStart w:id="1012" w:name="Tc_NwrRLcv9_0ChDay2QKOlGA_3_0"/>
      <w:bookmarkStart w:id="1013" w:name="Tc_Ep6lv6n7i0u3tVP5NSlWKQ_2_5"/>
      <w:bookmarkStart w:id="1014" w:name="Tc_jmIYWmFnoUSupFIRXx6AJg_2_2"/>
      <w:bookmarkStart w:id="1015" w:name="Tc_HkPLXV-sGEy4atkthda9Rg_2_0"/>
      <w:bookmarkStart w:id="1016" w:name="Tc_IyOpT8AfBkOjTkDETkNv9A_1_5"/>
      <w:bookmarkStart w:id="1017" w:name="Tc_AJhLuV2YHUyWm0fEhJ62Og_1_2"/>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r>
        <w:rPr>
          <w:rFonts w:ascii="Times New Roman;Times;serif" w:hAnsi="Times New Roman;Times;serif"/>
          <w:b/>
          <w:sz w:val="20"/>
        </w:rPr>
        <w:t>Note 13 – Fair Value Measurements, continued</w:t>
      </w:r>
    </w:p>
    <w:p>
      <w:pPr>
        <w:pStyle w:val="TextBody"/>
        <w:bidi w:val="0"/>
        <w:spacing w:before="0" w:after="13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130"/>
        <w:ind w:left="0" w:right="0" w:hanging="0"/>
        <w:jc w:val="left"/>
        <w:rPr>
          <w:rFonts w:ascii="Times New Roman;Times;serif" w:hAnsi="Times New Roman;Times;serif"/>
          <w:sz w:val="20"/>
        </w:rPr>
      </w:pPr>
      <w:r>
        <w:rPr>
          <w:rFonts w:ascii="Times New Roman;Times;serif" w:hAnsi="Times New Roman;Times;serif"/>
          <w:sz w:val="20"/>
        </w:rPr>
        <w:t>The Company utilized a Monte Carlo simulation model for the 2023 Warrants at each reporting period, with changes in fair value recognized in the statements of operations. The estimated fair value of the 2023 Warrant liability was determined using Level 3 inputs. Inherent in a Monte Carlo simulation model are assumptions related to expected share-price volatility, expected life, risk-free interest rate, and dividend yield.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key inputs into the Monte Carlo simulation model for the 2023 Warrants are as follows:</w:t>
      </w:r>
    </w:p>
    <w:p>
      <w:pPr>
        <w:pStyle w:val="TextBody"/>
        <w:bidi w:val="0"/>
        <w:spacing w:before="0" w:after="0"/>
        <w:ind w:left="0" w:right="0" w:hanging="0"/>
        <w:jc w:val="left"/>
        <w:rPr/>
      </w:pPr>
      <w:r>
        <w:rPr/>
        <w:t>​</w:t>
      </w:r>
    </w:p>
    <w:tbl>
      <w:tblPr>
        <w:tblW w:w="6239" w:type="dxa"/>
        <w:jc w:val="left"/>
        <w:tblInd w:w="0" w:type="dxa"/>
        <w:tblLayout w:type="fixed"/>
        <w:tblCellMar>
          <w:top w:w="0" w:type="dxa"/>
          <w:left w:w="0" w:type="dxa"/>
          <w:bottom w:w="0" w:type="dxa"/>
          <w:right w:w="0" w:type="dxa"/>
        </w:tblCellMar>
      </w:tblPr>
      <w:tblGrid>
        <w:gridCol w:w="1351"/>
        <w:gridCol w:w="326"/>
        <w:gridCol w:w="611"/>
        <w:gridCol w:w="1354"/>
        <w:gridCol w:w="361"/>
        <w:gridCol w:w="518"/>
        <w:gridCol w:w="1402"/>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857885" cy="175260"/>
                      <wp:effectExtent l="0" t="0" r="0" b="0"/>
                      <wp:wrapNone/>
                      <wp:docPr id="168" name="Frame16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87985" cy="175260"/>
                      <wp:effectExtent l="0" t="0" r="0" b="0"/>
                      <wp:wrapNone/>
                      <wp:docPr id="170" name="Frame169"/>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859790" cy="175260"/>
                      <wp:effectExtent l="0" t="0" r="0" b="0"/>
                      <wp:wrapNone/>
                      <wp:docPr id="171" name="Frame170"/>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29235" cy="175260"/>
                      <wp:effectExtent l="0" t="0" r="0" b="0"/>
                      <wp:wrapNone/>
                      <wp:docPr id="172" name="Frame1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28930" cy="175260"/>
                      <wp:effectExtent l="0" t="0" r="0" b="0"/>
                      <wp:wrapNone/>
                      <wp:docPr id="173" name="Frame172"/>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890270" cy="175260"/>
                      <wp:effectExtent l="0" t="0" r="0" b="0"/>
                      <wp:wrapNone/>
                      <wp:docPr id="174" name="Frame173"/>
                      <a:graphic xmlns:a="http://schemas.openxmlformats.org/drawingml/2006/main">
                        <a:graphicData uri="http://schemas.microsoft.com/office/word/2010/wordprocessingShape">
                          <wps:wsp>
                            <wps:cNvSpPr txBox="1"/>
                            <wps:spPr>
                              <a:xfrm>
                                <a:off x="0" y="0"/>
                                <a:ext cx="890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660" cy="175260"/>
                      <wp:effectExtent l="0" t="0" r="0" b="0"/>
                      <wp:wrapNone/>
                      <wp:docPr id="175" name="Frame1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11, 2025</w:t>
            </w:r>
          </w:p>
        </w:tc>
        <w:tc>
          <w:tcPr>
            <w:tcW w:w="361" w:type="dxa"/>
            <w:tcBorders/>
            <w:vAlign w:val="center"/>
          </w:tcPr>
          <w:p>
            <w:pPr>
              <w:pStyle w:val="TableContents"/>
              <w:bidi w:val="0"/>
              <w:spacing w:before="0" w:after="1"/>
              <w:ind w:left="0" w:right="0" w:hanging="0"/>
              <w:jc w:val="left"/>
              <w:rPr/>
            </w:pPr>
            <w:r>
              <w:rPr/>
              <w:t>    </w:t>
            </w:r>
          </w:p>
        </w:tc>
        <w:tc>
          <w:tcPr>
            <w:tcW w:w="1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left"/>
              <w:rPr/>
            </w:pPr>
            <w:r>
              <w:rPr/>
              <w:t>​</w:t>
            </w:r>
          </w:p>
        </w:tc>
        <w:tc>
          <w:tcPr>
            <w:tcW w:w="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361"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361"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611"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left"/>
              <w:rPr/>
            </w:pPr>
            <w:r>
              <w:rPr/>
              <w:t>​</w:t>
            </w:r>
          </w:p>
        </w:tc>
        <w:tc>
          <w:tcPr>
            <w:tcW w:w="14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pPr>
            <w:r>
              <w:rPr/>
              <w:t> </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18" w:type="dxa"/>
            <w:tcBorders/>
            <w:vAlign w:val="center"/>
          </w:tcPr>
          <w:p>
            <w:pPr>
              <w:pStyle w:val="TableContents"/>
              <w:bidi w:val="0"/>
              <w:spacing w:before="0" w:after="1"/>
              <w:ind w:left="0" w:right="0" w:hanging="0"/>
              <w:jc w:val="left"/>
              <w:rPr/>
            </w:pPr>
            <w:r>
              <w:rPr/>
              <w:t>​</w:t>
            </w:r>
          </w:p>
        </w:tc>
        <w:tc>
          <w:tcPr>
            <w:tcW w:w="14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611"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18" w:type="dxa"/>
            <w:tcBorders/>
            <w:shd w:fill="CCEEFF" w:val="clear"/>
            <w:vAlign w:val="center"/>
          </w:tcPr>
          <w:p>
            <w:pPr>
              <w:pStyle w:val="TableContents"/>
              <w:bidi w:val="0"/>
              <w:spacing w:before="0" w:after="1"/>
              <w:ind w:left="0" w:right="0" w:hanging="0"/>
              <w:jc w:val="left"/>
              <w:rPr/>
            </w:pPr>
            <w:r>
              <w:rPr/>
              <w:t>​</w:t>
            </w:r>
          </w:p>
        </w:tc>
        <w:tc>
          <w:tcPr>
            <w:tcW w:w="14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18" w:type="dxa"/>
            <w:tcBorders/>
            <w:vAlign w:val="center"/>
          </w:tcPr>
          <w:p>
            <w:pPr>
              <w:pStyle w:val="TableContents"/>
              <w:bidi w:val="0"/>
              <w:spacing w:before="0" w:after="1"/>
              <w:ind w:left="0" w:right="0" w:hanging="0"/>
              <w:jc w:val="left"/>
              <w:rPr/>
            </w:pPr>
            <w:r>
              <w:rPr/>
              <w:t>​</w:t>
            </w:r>
          </w:p>
        </w:tc>
        <w:tc>
          <w:tcPr>
            <w:tcW w:w="14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change in the fair value of the 2023 Warrant liability was a decrease of $0.3 million during the nine months ended September 30, 2025. The change in fair value of the 2023 Warrant liability was $0.4 million during the nine months ended September 30, 2024 (see Note 12 – Warrant Liability). As of September 30, 2025, the 2023 Warrants were fully exercised in the Concurrent Warrant Exercise Transaction, eliminating the recorded warrant liability.</w:t>
      </w:r>
    </w:p>
    <w:p>
      <w:pPr>
        <w:pStyle w:val="TextBody"/>
        <w:bidi w:val="0"/>
        <w:spacing w:before="0" w:after="0"/>
        <w:ind w:left="0" w:right="0" w:hanging="0"/>
        <w:jc w:val="left"/>
        <w:rPr/>
      </w:pPr>
      <w:r>
        <w:rPr/>
        <w:t>​</w:t>
      </w:r>
    </w:p>
    <w:tbl>
      <w:tblPr>
        <w:tblW w:w="6535" w:type="dxa"/>
        <w:jc w:val="left"/>
        <w:tblInd w:w="0" w:type="dxa"/>
        <w:tblLayout w:type="fixed"/>
        <w:tblCellMar>
          <w:top w:w="0" w:type="dxa"/>
          <w:left w:w="0" w:type="dxa"/>
          <w:bottom w:w="0" w:type="dxa"/>
          <w:right w:w="0" w:type="dxa"/>
        </w:tblCellMar>
      </w:tblPr>
      <w:tblGrid>
        <w:gridCol w:w="3016"/>
        <w:gridCol w:w="326"/>
        <w:gridCol w:w="359"/>
        <w:gridCol w:w="922"/>
        <w:gridCol w:w="555"/>
        <w:gridCol w:w="359"/>
        <w:gridCol w:w="998"/>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15160" cy="175260"/>
                      <wp:effectExtent l="0" t="0" r="0" b="0"/>
                      <wp:wrapNone/>
                      <wp:docPr id="176" name="Frame175"/>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7965" cy="175260"/>
                      <wp:effectExtent l="0" t="0" r="0" b="0"/>
                      <wp:wrapNone/>
                      <wp:docPr id="178" name="Frame177"/>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85470" cy="175260"/>
                      <wp:effectExtent l="0" t="0" r="0" b="0"/>
                      <wp:wrapNone/>
                      <wp:docPr id="179" name="Frame178"/>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52425" cy="175260"/>
                      <wp:effectExtent l="0" t="0" r="0" b="0"/>
                      <wp:wrapNone/>
                      <wp:docPr id="180" name="Frame179"/>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7965" cy="175260"/>
                      <wp:effectExtent l="0" t="0" r="0" b="0"/>
                      <wp:wrapNone/>
                      <wp:docPr id="181" name="Frame180"/>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33730" cy="175260"/>
                      <wp:effectExtent l="0" t="0" r="0" b="0"/>
                      <wp:wrapNone/>
                      <wp:docPr id="182" name="Frame181"/>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55" w:type="dxa"/>
            <w:tcBorders/>
            <w:vAlign w:val="center"/>
          </w:tcPr>
          <w:p>
            <w:pPr>
              <w:pStyle w:val="TableContents"/>
              <w:bidi w:val="0"/>
              <w:spacing w:before="0" w:after="0"/>
              <w:ind w:left="0" w:right="0" w:hanging="0"/>
              <w:jc w:val="center"/>
              <w:rPr/>
            </w:pPr>
            <w:r>
              <w:rPr/>
              <w:t>    </w:t>
            </w:r>
          </w:p>
        </w:tc>
        <w:tc>
          <w:tcPr>
            <w:tcW w:w="13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value</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555"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value of warrant liability</w:t>
            </w:r>
          </w:p>
        </w:tc>
        <w:tc>
          <w:tcPr>
            <w:tcW w:w="326"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555" w:type="dxa"/>
            <w:tcBorders/>
            <w:vAlign w:val="center"/>
          </w:tcPr>
          <w:p>
            <w:pPr>
              <w:pStyle w:val="TableContents"/>
              <w:bidi w:val="0"/>
              <w:spacing w:before="0" w:after="0"/>
              <w:ind w:left="0" w:right="0" w:hanging="0"/>
              <w:jc w:val="left"/>
              <w:rPr/>
            </w:pPr>
            <w:r>
              <w:rPr/>
              <w:t>​</w:t>
            </w:r>
          </w:p>
        </w:tc>
        <w:tc>
          <w:tcPr>
            <w:tcW w:w="359"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555" w:type="dxa"/>
            <w:tcBorders/>
            <w:shd w:fill="CCEEFF" w:val="clear"/>
            <w:vAlign w:val="center"/>
          </w:tcPr>
          <w:p>
            <w:pPr>
              <w:pStyle w:val="TableContents"/>
              <w:bidi w:val="0"/>
              <w:spacing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value</w:t>
            </w:r>
          </w:p>
        </w:tc>
        <w:tc>
          <w:tcPr>
            <w:tcW w:w="326" w:type="dxa"/>
            <w:tcBorders/>
            <w:vAlign w:val="center"/>
          </w:tcPr>
          <w:p>
            <w:pPr>
              <w:pStyle w:val="TableContents"/>
              <w:bidi w:val="0"/>
              <w:spacing w:before="0" w:after="0"/>
              <w:ind w:left="0" w:right="0" w:hanging="0"/>
              <w:jc w:val="left"/>
              <w:rPr/>
            </w:pPr>
            <w:r>
              <w:rPr/>
              <w:t>​</w:t>
            </w:r>
          </w:p>
        </w:tc>
        <w:tc>
          <w:tcPr>
            <w:tcW w:w="3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555" w:type="dxa"/>
            <w:tcBorders/>
            <w:vAlign w:val="center"/>
          </w:tcPr>
          <w:p>
            <w:pPr>
              <w:pStyle w:val="TableContents"/>
              <w:bidi w:val="0"/>
              <w:spacing w:before="0" w:after="0"/>
              <w:ind w:left="0" w:right="0" w:hanging="0"/>
              <w:jc w:val="left"/>
              <w:rPr/>
            </w:pPr>
            <w:r>
              <w:rPr/>
              <w:t>​</w:t>
            </w:r>
          </w:p>
        </w:tc>
        <w:tc>
          <w:tcPr>
            <w:tcW w:w="3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30"/>
        <w:ind w:left="0" w:right="0" w:hanging="0"/>
        <w:jc w:val="left"/>
        <w:rPr>
          <w:rFonts w:ascii="Times New Roman;Times;serif" w:hAnsi="Times New Roman;Times;serif"/>
          <w:b/>
          <w:sz w:val="20"/>
        </w:rPr>
      </w:pPr>
      <w:r>
        <w:rPr>
          <w:rFonts w:ascii="Times New Roman;Times;serif" w:hAnsi="Times New Roman;Times;serif"/>
          <w:b/>
          <w:sz w:val="20"/>
        </w:rPr>
        <w:t>Note 14 – Customer Concentrations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customers accounted for approximately 97% of the Company’s revenue for the three months ended September 30, 2025, and two customers accounted for approximately 81% of the Company’s revenue for the nine months ended September 30, 2025. Two customers accounted for approximately 85% of the Company’s revenue for the three months ended September 30, 2024, and two customers accounted for 74% of the Company’s revenue for the nine months ended September 30, 2024. Three customers accounted for approximately 99% of the Company’s accounts receivable balance as of September 30, 2025, and two customers accounted for approximately 99% of the Company’s accounts receivable balance as of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18" w:name="Item2ManagementsDiscussionandAnalysisofF"/>
      <w:bookmarkStart w:id="1019" w:name="_66ba0fd1_0de5_42d5_bc1a_08e13ff9a230"/>
      <w:bookmarkEnd w:id="1018"/>
      <w:bookmarkEnd w:id="101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used in this Quarterly Report on Form 10-Q (this “Report”), unless the context otherwise requires the terms “we,” “us,” “our,” and “Energous” refer to Energous Corporation d/b/a Energous Wireless Power Solutions,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expectations with respect to future financings; expectations for revenues, liquidity, cash flows and financial performance; and expectations regarding the release of additional wireless power-enabled products.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or commercialize such technology; timing of customer implementations of our technology in consumer products; timing and receipt of regulatory approvals in the United States and internationally; our ability to find and maintain contract manufacturing partners; market acceptance of our technology; competition in our industry; our ability to protect our intellectual property; our ability to maintain or improve our financial position, cash flows, and liquidity and our expected financial needs; and other risks and uncertainties described in the Risk Factors and in Management’s Discussion and Analysis sections of our most recently filed Annual Report on Form 10-K and subsequently filed Quarterly Reports on Form 10-Q, including this Report. We undertake no obligation to publicly update any of our forward-looking statements, whether as a result of new information, future developments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developed scalable, over-the-air Wireless Power Network (“WPN”) technology that integrates advanced semiconductor chipsets, software controls, hardware designs, and antenna systems to enable radio frequency (“RF”)-based charging for ambient Internet of Things (“ambient IoT”) devices. Our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a patent portfolio exceeding 250 patents, our solutions support both near-field and at-a-distance wireless charging, supplying power at multiple levels across varying distances, as well as expertise in advanced receiver technology. By enabling continuous wireless power transmission, our transmitter and receiver technologies facilitate the use of battery-free ambient IoT devices, transforming asset and inventory tracking across multiple industries. Key applications include retail sensors, electronic shelf labels, asset trackers, air quality monitors, motion detectors, and other smart monitoring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technology represents a breakthrough in wireless power delivery, offering a differentiated approach to charging IoT devices via RF technology. To date, we have developed and released multiple transmitter and receiver solutions. Our transmitters vary in form factor, power specifications, and operating frequencies, while our receivers are engineered to support a wide range of wireless charging applications across multiple device categories. including:</w:t>
      </w:r>
    </w:p>
    <w:tbl>
      <w:tblPr>
        <w:tblW w:w="5552" w:type="dxa"/>
        <w:jc w:val="left"/>
        <w:tblInd w:w="0" w:type="dxa"/>
        <w:tblLayout w:type="fixed"/>
        <w:tblCellMar>
          <w:top w:w="28" w:type="dxa"/>
          <w:left w:w="110" w:type="dxa"/>
          <w:bottom w:w="28" w:type="dxa"/>
          <w:right w:w="110" w:type="dxa"/>
        </w:tblCellMar>
      </w:tblPr>
      <w:tblGrid>
        <w:gridCol w:w="2056"/>
        <w:gridCol w:w="3496"/>
      </w:tblGrid>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Ambient IoT Sensors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WPN-enabled end product featuring our technology entered the market in 2019. In the fourth quarter of 2021, we commenced shipments of its first at-a-distance wireless PowerBridge transmitter systems for commercial IoT applications and proof-of-concept deployments. As we continue to innovate our technology applications, we anticipate the release of additional wireless power-enabled products. In the second quarter of 2025, the Company introduced its battery-free e-Sense tag and e-Compass software platform, establishing the first end-to-end wireless power platform for the ambient IoT.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11, 2025, we raised net proceeds of $4.5 million from a registered direct offering and concurrent exercise of our 2023 and 2024 warrants where we issued 120,000 shares of common stock, 465,347 pre-funded warrants and 585,347 warrants.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Use of Estimates. </w:t>
      </w:r>
      <w:r>
        <w:rPr>
          <w:rFonts w:ascii="Times New Roman;Times;serif" w:hAnsi="Times New Roman;Times;serif"/>
          <w:sz w:val="20"/>
        </w:rPr>
        <w:t>The preparation of financial statements in conformity with generally accepted accounting principles in the United States of America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Some of these judgments can be subjective and complex, and, consequently, actual results may differ from these estimates. Although we believe that management’s estimates and assumptions are reasonable, they are based upon information available at the time the estimates and assumptions were made. Actual results could differ from those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Going Concern.</w:t>
      </w:r>
      <w:r>
        <w:rPr>
          <w:rFonts w:ascii="Times New Roman;Times;serif" w:hAnsi="Times New Roman;Times;serif"/>
          <w:sz w:val="20"/>
        </w:rPr>
        <w:t xml:space="preserve"> Accounting Standards Codification (“ASC”) 205-40 “Presentation of Financial Statements - Going Concern,” requires management to assess our ability to continue as a going concern. In accordance with this guidance, we have evaluated whether there are conditions and events, considered in the aggregate, that raise substantial doubt about our ability to continue as a going concern within one year after the date that the financial statements are issued. We have determined that there was substantial doubt about our ability to continue as a going concern, but it was alleviated based on financing received in 2025, as well as current operating levels and further cost reductions implemented in the first and second quarters of 2025. We anticipate cash flows generated from operations and our cash and cash equivalents will be sufficient to meet our liquidity needs for at least the next 12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Determining the extent to which conditions or events raise substantial doubt about our ability to continue as a going concern requires significant judgment and estimation by us. Our significant estimates related to this analysis may include identifying business factors used in the forecasted financial results and liquidity. We believe that the estimated values used in our going concern analysis are based on reasonable assumptions. However, such assumptions are inherently uncertain and actual results could differ materially from those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Warrants.</w:t>
      </w:r>
      <w:r>
        <w:rPr>
          <w:rFonts w:ascii="Times New Roman;Times;serif" w:hAnsi="Times New Roman;Times;serif"/>
          <w:sz w:val="20"/>
        </w:rPr>
        <w:t xml:space="preserve"> 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Revenue Recognition. </w:t>
      </w:r>
      <w:r>
        <w:rPr>
          <w:rFonts w:ascii="Times New Roman;Times;serif" w:hAnsi="Times New Roman;Times;serif"/>
          <w:sz w:val="20"/>
        </w:rPr>
        <w:t>We follow ASC 606, “Revenue from Contracts with Customers” (“Topic 606”). In accordance with Topic 606, we recognize revenue using the following five-step approach:</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the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of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revenue consists of its single segment of wireless charging system solutions. The wireless charging system revenue consists of revenue from product development projects and production-level systems.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 revenue associated with the sales of products, such as PowerBridge transmitter systems, and with product development projects that we enter into with certain customers. For the sales of products, we generally record revenue upon shipment of the products. In general, product development projects are complex, and we do not have certainty about our ability to achieve the project milestones. The achievement of a milestone is dependent on our performance obligation and requires acceptance by the customer. We recognize this revenue at the point in time at which the performance obligation is met. The payment associated with achieving the performance obligation is generally commensurate with our effort or the value of the deliverable and is nonrefundable. Any deferred revenue is recognized upon achievement of the performance obligation or expiration of a support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2025, management believes there have been no significant changes to the items that we disclosed within our critical accounting policies and estimates in “Management’s Discussion and Analysis of Financial Condition and Results of Operations”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sales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September 30,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w:t>
      </w:r>
    </w:p>
    <w:tbl>
      <w:tblPr>
        <w:tblW w:w="9560" w:type="dxa"/>
        <w:jc w:val="left"/>
        <w:tblInd w:w="0" w:type="dxa"/>
        <w:tblLayout w:type="fixed"/>
        <w:tblCellMar>
          <w:top w:w="0" w:type="dxa"/>
          <w:left w:w="0" w:type="dxa"/>
          <w:bottom w:w="0" w:type="dxa"/>
          <w:right w:w="0" w:type="dxa"/>
        </w:tblCellMar>
      </w:tblPr>
      <w:tblGrid>
        <w:gridCol w:w="3331"/>
        <w:gridCol w:w="326"/>
        <w:gridCol w:w="319"/>
        <w:gridCol w:w="1046"/>
        <w:gridCol w:w="493"/>
        <w:gridCol w:w="319"/>
        <w:gridCol w:w="1046"/>
        <w:gridCol w:w="326"/>
        <w:gridCol w:w="214"/>
        <w:gridCol w:w="582"/>
        <w:gridCol w:w="326"/>
        <w:gridCol w:w="916"/>
        <w:gridCol w:w="3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15185" cy="175260"/>
                      <wp:effectExtent l="0" t="0" r="0" b="0"/>
                      <wp:wrapNone/>
                      <wp:docPr id="183" name="Frame182"/>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2565" cy="175260"/>
                      <wp:effectExtent l="0" t="0" r="0" b="0"/>
                      <wp:wrapNone/>
                      <wp:docPr id="185" name="Frame18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4210" cy="175260"/>
                      <wp:effectExtent l="0" t="0" r="0" b="0"/>
                      <wp:wrapNone/>
                      <wp:docPr id="186" name="Frame185"/>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13055" cy="175260"/>
                      <wp:effectExtent l="0" t="0" r="0" b="0"/>
                      <wp:wrapNone/>
                      <wp:docPr id="187" name="Frame186"/>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2565" cy="175260"/>
                      <wp:effectExtent l="0" t="0" r="0" b="0"/>
                      <wp:wrapNone/>
                      <wp:docPr id="188" name="Frame18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64210" cy="175260"/>
                      <wp:effectExtent l="0" t="0" r="0" b="0"/>
                      <wp:wrapNone/>
                      <wp:docPr id="189" name="Frame188"/>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5890" cy="175260"/>
                      <wp:effectExtent l="0" t="0" r="0" b="0"/>
                      <wp:wrapNone/>
                      <wp:docPr id="191" name="Frame19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9570" cy="175260"/>
                      <wp:effectExtent l="0" t="0" r="0" b="0"/>
                      <wp:wrapNone/>
                      <wp:docPr id="192" name="Frame191"/>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81660" cy="175260"/>
                      <wp:effectExtent l="0" t="0" r="0" b="0"/>
                      <wp:wrapNone/>
                      <wp:docPr id="194" name="Frame19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0660" cy="175260"/>
                      <wp:effectExtent l="0" t="0" r="0" b="0"/>
                      <wp:wrapNone/>
                      <wp:docPr id="195" name="Frame1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3"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 Change </w:t>
            </w:r>
          </w:p>
        </w:tc>
        <w:tc>
          <w:tcPr>
            <w:tcW w:w="316" w:type="dxa"/>
            <w:tcBorders/>
            <w:vAlign w:val="center"/>
          </w:tcPr>
          <w:p>
            <w:pPr>
              <w:pStyle w:val="TableContents"/>
              <w:bidi w:val="0"/>
              <w:spacing w:before="0" w:after="0"/>
              <w:ind w:left="0" w:right="0" w:hanging="0"/>
              <w:jc w:val="center"/>
              <w:rPr/>
            </w:pPr>
            <w:r>
              <w:rPr/>
              <w:t> </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c>
          <w:tcPr>
            <w:tcW w:w="493"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493" w:type="dxa"/>
            <w:tcBorders/>
            <w:vAlign w:val="center"/>
          </w:tcPr>
          <w:p>
            <w:pPr>
              <w:pStyle w:val="TableContents"/>
              <w:bidi w:val="0"/>
              <w:spacing w:before="0" w:after="0"/>
              <w:ind w:left="0" w:right="0" w:hanging="0"/>
              <w:jc w:val="righ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0"/>
              <w:ind w:left="0" w:right="0" w:hanging="0"/>
              <w:jc w:val="righ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493" w:type="dxa"/>
            <w:tcBorders/>
            <w:shd w:fill="CCEEFF" w:val="clear"/>
            <w:vAlign w:val="center"/>
          </w:tcPr>
          <w:p>
            <w:pPr>
              <w:pStyle w:val="TableContents"/>
              <w:bidi w:val="0"/>
              <w:spacing w:before="0" w:after="0"/>
              <w:ind w:left="0" w:right="0" w:hanging="0"/>
              <w:jc w:val="righ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righ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w:t>
            </w:r>
          </w:p>
        </w:tc>
        <w:tc>
          <w:tcPr>
            <w:tcW w:w="493"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493"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c>
          <w:tcPr>
            <w:tcW w:w="326"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493"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493"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c>
          <w:tcPr>
            <w:tcW w:w="326"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93" w:type="dxa"/>
            <w:tcBorders/>
            <w:vAlign w:val="center"/>
          </w:tcPr>
          <w:p>
            <w:pPr>
              <w:pStyle w:val="TableContents"/>
              <w:bidi w:val="0"/>
              <w:spacing w:before="0" w:after="0"/>
              <w:ind w:left="0" w:right="0" w:hanging="0"/>
              <w:jc w:val="righ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0"/>
              <w:ind w:left="0" w:right="0" w:hanging="0"/>
              <w:jc w:val="righ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493" w:type="dxa"/>
            <w:tcBorders/>
            <w:shd w:fill="CCEEFF" w:val="clear"/>
            <w:vAlign w:val="center"/>
          </w:tcPr>
          <w:p>
            <w:pPr>
              <w:pStyle w:val="TableContents"/>
              <w:bidi w:val="0"/>
              <w:spacing w:before="0" w:after="0"/>
              <w:ind w:left="0" w:right="0" w:hanging="0"/>
              <w:jc w:val="righ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326" w:type="dxa"/>
            <w:tcBorders/>
            <w:shd w:fill="CCEEFF" w:val="clear"/>
            <w:vAlign w:val="center"/>
          </w:tcPr>
          <w:p>
            <w:pPr>
              <w:pStyle w:val="TableContents"/>
              <w:bidi w:val="0"/>
              <w:spacing w:before="0" w:after="0"/>
              <w:ind w:left="0" w:right="0" w:hanging="0"/>
              <w:jc w:val="righ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w:t>
            </w:r>
          </w:p>
        </w:tc>
        <w:tc>
          <w:tcPr>
            <w:tcW w:w="493" w:type="dxa"/>
            <w:tcBorders/>
            <w:vAlign w:val="center"/>
          </w:tcPr>
          <w:p>
            <w:pPr>
              <w:pStyle w:val="TableContents"/>
              <w:bidi w:val="0"/>
              <w:spacing w:before="0" w:after="0"/>
              <w:ind w:left="0" w:right="0" w:hanging="0"/>
              <w:jc w:val="righ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w:t>
            </w:r>
          </w:p>
        </w:tc>
        <w:tc>
          <w:tcPr>
            <w:tcW w:w="326" w:type="dxa"/>
            <w:tcBorders/>
            <w:vAlign w:val="center"/>
          </w:tcPr>
          <w:p>
            <w:pPr>
              <w:pStyle w:val="TableContents"/>
              <w:bidi w:val="0"/>
              <w:spacing w:before="0" w:after="0"/>
              <w:ind w:left="0" w:right="0" w:hanging="0"/>
              <w:jc w:val="righ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c>
          <w:tcPr>
            <w:tcW w:w="493"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93"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93" w:type="dxa"/>
            <w:tcBorders/>
            <w:shd w:fill="CCEEFF" w:val="clear"/>
            <w:vAlign w:val="center"/>
          </w:tcPr>
          <w:p>
            <w:pPr>
              <w:pStyle w:val="TableContents"/>
              <w:bidi w:val="0"/>
              <w:spacing w:before="0" w:after="0"/>
              <w:ind w:left="0" w:right="0" w:hanging="0"/>
              <w:jc w:val="righ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righ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93" w:type="dxa"/>
            <w:tcBorders/>
            <w:vAlign w:val="center"/>
          </w:tcPr>
          <w:p>
            <w:pPr>
              <w:pStyle w:val="TableContents"/>
              <w:bidi w:val="0"/>
              <w:spacing w:before="0" w:after="0"/>
              <w:ind w:left="0" w:right="0" w:hanging="0"/>
              <w:jc w:val="righ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righ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w:t>
            </w:r>
          </w:p>
        </w:tc>
        <w:tc>
          <w:tcPr>
            <w:tcW w:w="493" w:type="dxa"/>
            <w:tcBorders/>
            <w:shd w:fill="CCEEFF" w:val="clear"/>
            <w:vAlign w:val="center"/>
          </w:tcPr>
          <w:p>
            <w:pPr>
              <w:pStyle w:val="TableContents"/>
              <w:bidi w:val="0"/>
              <w:spacing w:before="0" w:after="0"/>
              <w:ind w:left="0" w:right="0" w:hanging="0"/>
              <w:jc w:val="righ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w:t>
            </w:r>
          </w:p>
        </w:tc>
        <w:tc>
          <w:tcPr>
            <w:tcW w:w="326" w:type="dxa"/>
            <w:tcBorders/>
            <w:shd w:fill="CCEEFF" w:val="clear"/>
            <w:vAlign w:val="center"/>
          </w:tcPr>
          <w:p>
            <w:pPr>
              <w:pStyle w:val="TableContents"/>
              <w:bidi w:val="0"/>
              <w:spacing w:before="0" w:after="0"/>
              <w:ind w:left="0" w:right="0" w:hanging="0"/>
              <w:jc w:val="righ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three months ended September 30, 2025 and 2024, we recorded revenue of $1.3 million and $0.2 million, respectively. The 453% year over year increase is primarily due to the expansion of commercial applications with multinational enterprise retailers, including two Fortune 10 companies, deploying our WPN technology in connection with their infrastructure modernization initiatives as well as a proof-of-concept deployment with a Fortune 500 customer referred through the Company’s participation in the Amazon Web Services (“AWS”) Partner Network.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Costs and Expenses and Loss from Operations.</w:t>
      </w:r>
      <w:r>
        <w:rPr>
          <w:rFonts w:ascii="Times New Roman;Times;serif" w:hAnsi="Times New Roman;Times;serif"/>
          <w:sz w:val="20"/>
        </w:rPr>
        <w:t xml:space="preserve"> Costs and expenses are made up of cost of revenue, research and development, sales and marketing, general and administrative and severance expenses. Loss from operations for the three months ended September 30, 2025 and 2024 was $2.2 million and $3.6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tbl>
      <w:tblPr>
        <w:tblW w:w="8259" w:type="dxa"/>
        <w:jc w:val="left"/>
        <w:tblInd w:w="0" w:type="dxa"/>
        <w:tblLayout w:type="fixed"/>
        <w:tblCellMar>
          <w:top w:w="0" w:type="dxa"/>
          <w:left w:w="0" w:type="dxa"/>
          <w:bottom w:w="0" w:type="dxa"/>
          <w:right w:w="0" w:type="dxa"/>
        </w:tblCellMar>
      </w:tblPr>
      <w:tblGrid>
        <w:gridCol w:w="2041"/>
        <w:gridCol w:w="326"/>
        <w:gridCol w:w="418"/>
        <w:gridCol w:w="835"/>
        <w:gridCol w:w="716"/>
        <w:gridCol w:w="418"/>
        <w:gridCol w:w="835"/>
        <w:gridCol w:w="361"/>
        <w:gridCol w:w="265"/>
        <w:gridCol w:w="531"/>
        <w:gridCol w:w="326"/>
        <w:gridCol w:w="286"/>
        <w:gridCol w:w="585"/>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96035" cy="175260"/>
                      <wp:effectExtent l="0" t="0" r="0" b="0"/>
                      <wp:wrapNone/>
                      <wp:docPr id="196" name="Frame195"/>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65430" cy="175260"/>
                      <wp:effectExtent l="0" t="0" r="0" b="0"/>
                      <wp:wrapNone/>
                      <wp:docPr id="198" name="Frame197"/>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30225" cy="175260"/>
                      <wp:effectExtent l="0" t="0" r="0" b="0"/>
                      <wp:wrapNone/>
                      <wp:docPr id="199" name="Frame198"/>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54660" cy="175260"/>
                      <wp:effectExtent l="0" t="0" r="0" b="0"/>
                      <wp:wrapNone/>
                      <wp:docPr id="200" name="Frame199"/>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65430" cy="175260"/>
                      <wp:effectExtent l="0" t="0" r="0" b="0"/>
                      <wp:wrapNone/>
                      <wp:docPr id="201" name="Frame200"/>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30225" cy="175260"/>
                      <wp:effectExtent l="0" t="0" r="0" b="0"/>
                      <wp:wrapNone/>
                      <wp:docPr id="202" name="Frame201"/>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9235" cy="175260"/>
                      <wp:effectExtent l="0" t="0" r="0" b="0"/>
                      <wp:wrapNone/>
                      <wp:docPr id="203" name="Frame20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8275" cy="175260"/>
                      <wp:effectExtent l="0" t="0" r="0" b="0"/>
                      <wp:wrapNone/>
                      <wp:docPr id="204" name="Frame203"/>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37185" cy="175260"/>
                      <wp:effectExtent l="0" t="0" r="0" b="0"/>
                      <wp:wrapNone/>
                      <wp:docPr id="205" name="Frame204"/>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1610" cy="175260"/>
                      <wp:effectExtent l="0" t="0" r="0" b="0"/>
                      <wp:wrapNone/>
                      <wp:docPr id="207" name="Frame2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71475" cy="175260"/>
                      <wp:effectExtent l="0" t="0" r="0" b="0"/>
                      <wp:wrapNone/>
                      <wp:docPr id="208" name="Frame207"/>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0660" cy="175260"/>
                      <wp:effectExtent l="0" t="0" r="0" b="0"/>
                      <wp:wrapNone/>
                      <wp:docPr id="209" name="Frame2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1"/>
              <w:ind w:left="0" w:right="0" w:hanging="0"/>
              <w:jc w:val="center"/>
              <w:rPr/>
            </w:pPr>
            <w:r>
              <w:rPr/>
              <w:t>​</w:t>
            </w:r>
          </w:p>
        </w:tc>
        <w:tc>
          <w:tcPr>
            <w:tcW w:w="265"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585"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716" w:type="dxa"/>
            <w:tcBorders/>
            <w:vAlign w:val="center"/>
          </w:tcPr>
          <w:p>
            <w:pPr>
              <w:pStyle w:val="TableContents"/>
              <w:bidi w:val="0"/>
              <w:spacing w:before="0" w:after="1"/>
              <w:ind w:left="0" w:right="0" w:hanging="0"/>
              <w:jc w:val="center"/>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71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61"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26"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18"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1"/>
              <w:ind w:left="0" w:right="0" w:hanging="0"/>
              <w:jc w:val="left"/>
              <w:rPr/>
            </w:pPr>
            <w:r>
              <w:rPr/>
              <w:t> </w:t>
            </w:r>
          </w:p>
        </w:tc>
        <w:tc>
          <w:tcPr>
            <w:tcW w:w="5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86" w:type="dxa"/>
            <w:tcBorders/>
            <w:vAlign w:val="center"/>
          </w:tcPr>
          <w:p>
            <w:pPr>
              <w:pStyle w:val="TableContents"/>
              <w:bidi w:val="0"/>
              <w:spacing w:before="0" w:after="1"/>
              <w:ind w:left="0" w:right="0" w:hanging="0"/>
              <w:jc w:val="right"/>
              <w:rPr/>
            </w:pPr>
            <w:r>
              <w:rPr/>
              <w:t>  </w:t>
            </w:r>
          </w:p>
        </w:tc>
        <w:tc>
          <w:tcPr>
            <w:tcW w:w="585"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$0.8 million and $0.3 million, respectively, for the three months ended September 30, 2025 and 2024. The increase is primarily due to higher sales volume of PowerBridge Pro transmitters that were shipped during the third quarter of 2025. With the ramp up of our volume manufacturing during 2025 and other strategic efforts made to optimize operations, product margins improved significantly, transitioning from a gross loss in 2024 of $76,000 to a gross profit in 2025 of approximately $0.5 million, representing a 703% year over year improvement in gross profit for the same quarter last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tbl>
      <w:tblPr>
        <w:tblW w:w="8531" w:type="dxa"/>
        <w:jc w:val="left"/>
        <w:tblInd w:w="0" w:type="dxa"/>
        <w:tblLayout w:type="fixed"/>
        <w:tblCellMar>
          <w:top w:w="0" w:type="dxa"/>
          <w:left w:w="0" w:type="dxa"/>
          <w:bottom w:w="0" w:type="dxa"/>
          <w:right w:w="0" w:type="dxa"/>
        </w:tblCellMar>
      </w:tblPr>
      <w:tblGrid>
        <w:gridCol w:w="2311"/>
        <w:gridCol w:w="326"/>
        <w:gridCol w:w="383"/>
        <w:gridCol w:w="765"/>
        <w:gridCol w:w="656"/>
        <w:gridCol w:w="383"/>
        <w:gridCol w:w="1037"/>
        <w:gridCol w:w="361"/>
        <w:gridCol w:w="242"/>
        <w:gridCol w:w="554"/>
        <w:gridCol w:w="326"/>
        <w:gridCol w:w="308"/>
        <w:gridCol w:w="56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67485" cy="175260"/>
                      <wp:effectExtent l="0" t="0" r="0" b="0"/>
                      <wp:wrapNone/>
                      <wp:docPr id="210" name="Frame20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3205" cy="175260"/>
                      <wp:effectExtent l="0" t="0" r="0" b="0"/>
                      <wp:wrapNone/>
                      <wp:docPr id="212" name="Frame211"/>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85775" cy="175260"/>
                      <wp:effectExtent l="0" t="0" r="0" b="0"/>
                      <wp:wrapNone/>
                      <wp:docPr id="213" name="Frame212"/>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16560" cy="175260"/>
                      <wp:effectExtent l="0" t="0" r="0" b="0"/>
                      <wp:wrapNone/>
                      <wp:docPr id="214" name="Frame213"/>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3205" cy="175260"/>
                      <wp:effectExtent l="0" t="0" r="0" b="0"/>
                      <wp:wrapNone/>
                      <wp:docPr id="215" name="Frame21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58495" cy="175260"/>
                      <wp:effectExtent l="0" t="0" r="0" b="0"/>
                      <wp:wrapNone/>
                      <wp:docPr id="216" name="Frame215"/>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29235" cy="175260"/>
                      <wp:effectExtent l="0" t="0" r="0" b="0"/>
                      <wp:wrapNone/>
                      <wp:docPr id="217" name="Frame2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53670" cy="175260"/>
                      <wp:effectExtent l="0" t="0" r="0" b="0"/>
                      <wp:wrapNone/>
                      <wp:docPr id="218" name="Frame21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51790" cy="175260"/>
                      <wp:effectExtent l="0" t="0" r="0" b="0"/>
                      <wp:wrapNone/>
                      <wp:docPr id="219" name="Frame218"/>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95580" cy="175260"/>
                      <wp:effectExtent l="0" t="0" r="0" b="0"/>
                      <wp:wrapNone/>
                      <wp:docPr id="221" name="Frame220"/>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57505" cy="175260"/>
                      <wp:effectExtent l="0" t="0" r="0" b="0"/>
                      <wp:wrapNone/>
                      <wp:docPr id="222" name="Frame221"/>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0660" cy="175260"/>
                      <wp:effectExtent l="0" t="0" r="0" b="0"/>
                      <wp:wrapNone/>
                      <wp:docPr id="223" name="Frame2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08" w:type="dxa"/>
            <w:tcBorders/>
            <w:vAlign w:val="center"/>
          </w:tcPr>
          <w:p>
            <w:pPr>
              <w:pStyle w:val="TableContents"/>
              <w:bidi w:val="0"/>
              <w:spacing w:before="0" w:after="1"/>
              <w:ind w:left="0" w:right="0" w:hanging="0"/>
              <w:jc w:val="center"/>
              <w:rPr/>
            </w:pPr>
            <w:r>
              <w:rPr/>
              <w:t>​</w:t>
            </w:r>
          </w:p>
        </w:tc>
        <w:tc>
          <w:tcPr>
            <w:tcW w:w="563"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56" w:type="dxa"/>
            <w:tcBorders/>
            <w:vAlign w:val="center"/>
          </w:tcPr>
          <w:p>
            <w:pPr>
              <w:pStyle w:val="TableContents"/>
              <w:bidi w:val="0"/>
              <w:spacing w:before="0" w:after="1"/>
              <w:ind w:left="0" w:right="0" w:hanging="0"/>
              <w:jc w:val="left"/>
              <w:rPr/>
            </w:pPr>
            <w:r>
              <w:rPr/>
              <w:t>    </w:t>
            </w:r>
          </w:p>
        </w:tc>
        <w:tc>
          <w:tcPr>
            <w:tcW w:w="14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c>
          <w:tcPr>
            <w:tcW w:w="65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CCEEFF" w:val="clear"/>
            <w:vAlign w:val="center"/>
          </w:tcPr>
          <w:p>
            <w:pPr>
              <w:pStyle w:val="TableContents"/>
              <w:bidi w:val="0"/>
              <w:spacing w:before="0" w:after="1"/>
              <w:ind w:left="0" w:right="0" w:hanging="0"/>
              <w:jc w:val="left"/>
              <w:rPr/>
            </w:pPr>
            <w:r>
              <w:rPr/>
              <w:t> </w:t>
            </w:r>
          </w:p>
        </w:tc>
        <w:tc>
          <w:tcPr>
            <w:tcW w:w="308"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83"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 </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08" w:type="dxa"/>
            <w:tcBorders/>
            <w:vAlign w:val="center"/>
          </w:tcPr>
          <w:p>
            <w:pPr>
              <w:pStyle w:val="TableContents"/>
              <w:bidi w:val="0"/>
              <w:spacing w:before="0" w:after="1"/>
              <w:ind w:left="0" w:right="0" w:hanging="0"/>
              <w:jc w:val="right"/>
              <w:rPr/>
            </w:pPr>
            <w:r>
              <w:rPr/>
              <w:t>  </w:t>
            </w:r>
          </w:p>
        </w:tc>
        <w:tc>
          <w:tcPr>
            <w:tcW w:w="563"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(“R&amp;D”) costs were $0.9 million and $1.5 million, respectively, for the three months ended September 30, 2025 and 2024. The decrease of $0.6 million is primarily due to a $0.5 million decrease in payroll costs from a lower headcount within the R&amp;D department.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tbl>
      <w:tblPr>
        <w:tblW w:w="8259" w:type="dxa"/>
        <w:jc w:val="left"/>
        <w:tblInd w:w="0" w:type="dxa"/>
        <w:tblLayout w:type="fixed"/>
        <w:tblCellMar>
          <w:top w:w="0" w:type="dxa"/>
          <w:left w:w="0" w:type="dxa"/>
          <w:bottom w:w="0" w:type="dxa"/>
          <w:right w:w="0" w:type="dxa"/>
        </w:tblCellMar>
      </w:tblPr>
      <w:tblGrid>
        <w:gridCol w:w="2041"/>
        <w:gridCol w:w="326"/>
        <w:gridCol w:w="418"/>
        <w:gridCol w:w="835"/>
        <w:gridCol w:w="716"/>
        <w:gridCol w:w="418"/>
        <w:gridCol w:w="835"/>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96035" cy="175260"/>
                      <wp:effectExtent l="0" t="0" r="0" b="0"/>
                      <wp:wrapNone/>
                      <wp:docPr id="224" name="Frame223"/>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65430" cy="175260"/>
                      <wp:effectExtent l="0" t="0" r="0" b="0"/>
                      <wp:wrapNone/>
                      <wp:docPr id="226" name="Frame225"/>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30225" cy="175260"/>
                      <wp:effectExtent l="0" t="0" r="0" b="0"/>
                      <wp:wrapNone/>
                      <wp:docPr id="227" name="Frame226"/>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54660" cy="175260"/>
                      <wp:effectExtent l="0" t="0" r="0" b="0"/>
                      <wp:wrapNone/>
                      <wp:docPr id="228" name="Frame227"/>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65430" cy="175260"/>
                      <wp:effectExtent l="0" t="0" r="0" b="0"/>
                      <wp:wrapNone/>
                      <wp:docPr id="229" name="Frame228"/>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30225" cy="175260"/>
                      <wp:effectExtent l="0" t="0" r="0" b="0"/>
                      <wp:wrapNone/>
                      <wp:docPr id="230" name="Frame229"/>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9235" cy="175260"/>
                      <wp:effectExtent l="0" t="0" r="0" b="0"/>
                      <wp:wrapNone/>
                      <wp:docPr id="231" name="Frame2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3670" cy="175260"/>
                      <wp:effectExtent l="0" t="0" r="0" b="0"/>
                      <wp:wrapNone/>
                      <wp:docPr id="232" name="Frame23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51790" cy="175260"/>
                      <wp:effectExtent l="0" t="0" r="0" b="0"/>
                      <wp:wrapNone/>
                      <wp:docPr id="233" name="Frame232"/>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53085" cy="175260"/>
                      <wp:effectExtent l="0" t="0" r="0" b="0"/>
                      <wp:wrapNone/>
                      <wp:docPr id="235" name="Frame23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0660" cy="175260"/>
                      <wp:effectExtent l="0" t="0" r="0" b="0"/>
                      <wp:wrapNone/>
                      <wp:docPr id="236" name="Frame2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716" w:type="dxa"/>
            <w:tcBorders/>
            <w:vAlign w:val="center"/>
          </w:tcPr>
          <w:p>
            <w:pPr>
              <w:pStyle w:val="TableContents"/>
              <w:bidi w:val="0"/>
              <w:spacing w:before="0" w:after="1"/>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71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18"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 </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for the three months ended September 30, 2025 and 2024 were $0.5 million and $0.7 million, respectively. The decrease of $0.2 million is primarily due to a $0.1 million decrease in stock-based compensation and a $0.1 million decrease in consulting fees.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tbl>
      <w:tblPr>
        <w:tblW w:w="8529" w:type="dxa"/>
        <w:jc w:val="left"/>
        <w:tblInd w:w="0" w:type="dxa"/>
        <w:tblLayout w:type="fixed"/>
        <w:tblCellMar>
          <w:top w:w="0" w:type="dxa"/>
          <w:left w:w="0" w:type="dxa"/>
          <w:bottom w:w="0" w:type="dxa"/>
          <w:right w:w="0" w:type="dxa"/>
        </w:tblCellMar>
      </w:tblPr>
      <w:tblGrid>
        <w:gridCol w:w="2311"/>
        <w:gridCol w:w="326"/>
        <w:gridCol w:w="353"/>
        <w:gridCol w:w="956"/>
        <w:gridCol w:w="604"/>
        <w:gridCol w:w="353"/>
        <w:gridCol w:w="956"/>
        <w:gridCol w:w="361"/>
        <w:gridCol w:w="286"/>
        <w:gridCol w:w="510"/>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67485" cy="175260"/>
                      <wp:effectExtent l="0" t="0" r="0" b="0"/>
                      <wp:wrapNone/>
                      <wp:docPr id="237" name="Frame23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24155" cy="175260"/>
                      <wp:effectExtent l="0" t="0" r="0" b="0"/>
                      <wp:wrapNone/>
                      <wp:docPr id="239" name="Frame238"/>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07060" cy="175260"/>
                      <wp:effectExtent l="0" t="0" r="0" b="0"/>
                      <wp:wrapNone/>
                      <wp:docPr id="240" name="Frame239"/>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83540" cy="175260"/>
                      <wp:effectExtent l="0" t="0" r="0" b="0"/>
                      <wp:wrapNone/>
                      <wp:docPr id="241" name="Frame240"/>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24155" cy="175260"/>
                      <wp:effectExtent l="0" t="0" r="0" b="0"/>
                      <wp:wrapNone/>
                      <wp:docPr id="242" name="Frame241"/>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07060" cy="175260"/>
                      <wp:effectExtent l="0" t="0" r="0" b="0"/>
                      <wp:wrapNone/>
                      <wp:docPr id="243" name="Frame242"/>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9235" cy="175260"/>
                      <wp:effectExtent l="0" t="0" r="0" b="0"/>
                      <wp:wrapNone/>
                      <wp:docPr id="244" name="Frame2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81610" cy="175260"/>
                      <wp:effectExtent l="0" t="0" r="0" b="0"/>
                      <wp:wrapNone/>
                      <wp:docPr id="245" name="Frame24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23850" cy="175260"/>
                      <wp:effectExtent l="0" t="0" r="0" b="0"/>
                      <wp:wrapNone/>
                      <wp:docPr id="246" name="Frame245"/>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53085" cy="175260"/>
                      <wp:effectExtent l="0" t="0" r="0" b="0"/>
                      <wp:wrapNone/>
                      <wp:docPr id="248" name="Frame24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0660" cy="175260"/>
                      <wp:effectExtent l="0" t="0" r="0" b="0"/>
                      <wp:wrapNone/>
                      <wp:docPr id="249" name="Frame2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5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04" w:type="dxa"/>
            <w:tcBorders/>
            <w:vAlign w:val="center"/>
          </w:tcPr>
          <w:p>
            <w:pPr>
              <w:pStyle w:val="TableContents"/>
              <w:bidi w:val="0"/>
              <w:spacing w:before="0" w:after="1"/>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w:t>
            </w:r>
          </w:p>
        </w:tc>
        <w:tc>
          <w:tcPr>
            <w:tcW w:w="604"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c>
          <w:tcPr>
            <w:tcW w:w="36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6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53" w:type="dxa"/>
            <w:tcBorders/>
            <w:vAlign w:val="center"/>
          </w:tcPr>
          <w:p>
            <w:pPr>
              <w:pStyle w:val="TableContents"/>
              <w:bidi w:val="0"/>
              <w:spacing w:before="0" w:after="1"/>
              <w:ind w:left="0" w:right="0" w:hanging="0"/>
              <w:jc w:val="left"/>
              <w:rPr/>
            </w:pPr>
            <w:r>
              <w:rPr/>
              <w:t> </w:t>
            </w:r>
          </w:p>
        </w:tc>
        <w:tc>
          <w:tcPr>
            <w:tcW w:w="9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6" w:type="dxa"/>
            <w:tcBorders/>
            <w:vAlign w:val="center"/>
          </w:tcPr>
          <w:p>
            <w:pPr>
              <w:pStyle w:val="TableContents"/>
              <w:bidi w:val="0"/>
              <w:spacing w:before="0" w:after="1"/>
              <w:ind w:left="0" w:right="0" w:hanging="0"/>
              <w:jc w:val="left"/>
              <w:rPr/>
            </w:pPr>
            <w:r>
              <w:rPr/>
              <w:t> </w:t>
            </w:r>
          </w:p>
        </w:tc>
        <w:tc>
          <w:tcPr>
            <w:tcW w:w="5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costs for the three months ended September 30, 2025 and 2024 were $1.2 million and $1.3 million, respectively. The overall change was relatively flat. A $0.1 million increase in compensation and a $0.1 million increase in stock registration and transfer expenses were offset by a $0.2 million decrease in legal fees for patent and general corporate matters.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tbl>
      <w:tblPr>
        <w:tblW w:w="8260" w:type="dxa"/>
        <w:jc w:val="left"/>
        <w:tblInd w:w="0" w:type="dxa"/>
        <w:tblLayout w:type="fixed"/>
        <w:tblCellMar>
          <w:top w:w="0" w:type="dxa"/>
          <w:left w:w="0" w:type="dxa"/>
          <w:bottom w:w="0" w:type="dxa"/>
          <w:right w:w="0" w:type="dxa"/>
        </w:tblCellMar>
      </w:tblPr>
      <w:tblGrid>
        <w:gridCol w:w="2041"/>
        <w:gridCol w:w="326"/>
        <w:gridCol w:w="519"/>
        <w:gridCol w:w="519"/>
        <w:gridCol w:w="888"/>
        <w:gridCol w:w="519"/>
        <w:gridCol w:w="778"/>
        <w:gridCol w:w="361"/>
        <w:gridCol w:w="286"/>
        <w:gridCol w:w="510"/>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96035" cy="175260"/>
                      <wp:effectExtent l="0" t="0" r="0" b="0"/>
                      <wp:wrapNone/>
                      <wp:docPr id="250" name="Frame249"/>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29565" cy="175260"/>
                      <wp:effectExtent l="0" t="0" r="0" b="0"/>
                      <wp:wrapNone/>
                      <wp:docPr id="252" name="Frame251"/>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29565" cy="175260"/>
                      <wp:effectExtent l="0" t="0" r="0" b="0"/>
                      <wp:wrapNone/>
                      <wp:docPr id="253" name="Frame252"/>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63880" cy="175260"/>
                      <wp:effectExtent l="0" t="0" r="0" b="0"/>
                      <wp:wrapNone/>
                      <wp:docPr id="254" name="Frame253"/>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29565" cy="175260"/>
                      <wp:effectExtent l="0" t="0" r="0" b="0"/>
                      <wp:wrapNone/>
                      <wp:docPr id="255" name="Frame254"/>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94030" cy="175260"/>
                      <wp:effectExtent l="0" t="0" r="0" b="0"/>
                      <wp:wrapNone/>
                      <wp:docPr id="256" name="Frame255"/>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9235" cy="175260"/>
                      <wp:effectExtent l="0" t="0" r="0" b="0"/>
                      <wp:wrapNone/>
                      <wp:docPr id="257"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81610" cy="175260"/>
                      <wp:effectExtent l="0" t="0" r="0" b="0"/>
                      <wp:wrapNone/>
                      <wp:docPr id="258" name="Frame25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23850" cy="175260"/>
                      <wp:effectExtent l="0" t="0" r="0" b="0"/>
                      <wp:wrapNone/>
                      <wp:docPr id="259" name="Frame258"/>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53085" cy="175260"/>
                      <wp:effectExtent l="0" t="0" r="0" b="0"/>
                      <wp:wrapNone/>
                      <wp:docPr id="261" name="Frame26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0660" cy="175260"/>
                      <wp:effectExtent l="0" t="0" r="0" b="0"/>
                      <wp:wrapNone/>
                      <wp:docPr id="262" name="Frame2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6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5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888" w:type="dxa"/>
            <w:tcBorders/>
            <w:vAlign w:val="center"/>
          </w:tcPr>
          <w:p>
            <w:pPr>
              <w:pStyle w:val="TableContents"/>
              <w:bidi w:val="0"/>
              <w:spacing w:before="0" w:after="1"/>
              <w:ind w:left="0" w:right="0" w:hanging="0"/>
              <w:jc w:val="left"/>
              <w:rPr/>
            </w:pPr>
            <w:r>
              <w:rPr/>
              <w:t>    </w:t>
            </w:r>
          </w:p>
        </w:tc>
        <w:tc>
          <w:tcPr>
            <w:tcW w:w="12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888" w:type="dxa"/>
            <w:tcBorders/>
            <w:shd w:fill="CCEEFF" w:val="clear"/>
            <w:vAlign w:val="center"/>
          </w:tcPr>
          <w:p>
            <w:pPr>
              <w:pStyle w:val="TableContents"/>
              <w:bidi w:val="0"/>
              <w:spacing w:before="0" w:after="1"/>
              <w:ind w:left="0" w:right="0" w:hanging="0"/>
              <w:jc w:val="left"/>
              <w:rPr/>
            </w:pPr>
            <w:r>
              <w:rPr/>
              <w:t> </w:t>
            </w:r>
          </w:p>
        </w:tc>
        <w:tc>
          <w:tcPr>
            <w:tcW w:w="5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6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left"/>
              <w:rPr/>
            </w:pPr>
            <w:r>
              <w:rPr/>
              <w:t> </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8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19"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6" w:type="dxa"/>
            <w:tcBorders/>
            <w:vAlign w:val="center"/>
          </w:tcPr>
          <w:p>
            <w:pPr>
              <w:pStyle w:val="TableContents"/>
              <w:bidi w:val="0"/>
              <w:spacing w:before="0" w:after="1"/>
              <w:ind w:left="0" w:right="0" w:hanging="0"/>
              <w:jc w:val="left"/>
              <w:rPr/>
            </w:pPr>
            <w:r>
              <w:rPr/>
              <w:t> </w:t>
            </w:r>
          </w:p>
        </w:tc>
        <w:tc>
          <w:tcPr>
            <w:tcW w:w="5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Severance expense for the three months ended September 30, 2025 and 2024 was $8,000 and $0.1 million, respectively. Severance expense for both the three months ended September 30, 2025 and 2024 was related to separation with certain non-executive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tbl>
      <w:tblPr>
        <w:tblW w:w="9517" w:type="dxa"/>
        <w:jc w:val="left"/>
        <w:tblInd w:w="0" w:type="dxa"/>
        <w:tblLayout w:type="fixed"/>
        <w:tblCellMar>
          <w:top w:w="0" w:type="dxa"/>
          <w:left w:w="0" w:type="dxa"/>
          <w:bottom w:w="0" w:type="dxa"/>
          <w:right w:w="0" w:type="dxa"/>
        </w:tblCellMar>
      </w:tblPr>
      <w:tblGrid>
        <w:gridCol w:w="3331"/>
        <w:gridCol w:w="326"/>
        <w:gridCol w:w="424"/>
        <w:gridCol w:w="876"/>
        <w:gridCol w:w="655"/>
        <w:gridCol w:w="424"/>
        <w:gridCol w:w="846"/>
        <w:gridCol w:w="326"/>
        <w:gridCol w:w="242"/>
        <w:gridCol w:w="554"/>
        <w:gridCol w:w="326"/>
        <w:gridCol w:w="871"/>
        <w:gridCol w:w="3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15185" cy="175260"/>
                      <wp:effectExtent l="0" t="0" r="0" b="0"/>
                      <wp:wrapNone/>
                      <wp:docPr id="263" name="Frame262"/>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69240" cy="175260"/>
                      <wp:effectExtent l="0" t="0" r="0" b="0"/>
                      <wp:wrapNone/>
                      <wp:docPr id="265" name="Frame264"/>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56260" cy="175260"/>
                      <wp:effectExtent l="0" t="0" r="0" b="0"/>
                      <wp:wrapNone/>
                      <wp:docPr id="266" name="Frame265"/>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15925" cy="175260"/>
                      <wp:effectExtent l="0" t="0" r="0" b="0"/>
                      <wp:wrapNone/>
                      <wp:docPr id="267" name="Frame266"/>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69240" cy="175260"/>
                      <wp:effectExtent l="0" t="0" r="0" b="0"/>
                      <wp:wrapNone/>
                      <wp:docPr id="268" name="Frame267"/>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37210" cy="175260"/>
                      <wp:effectExtent l="0" t="0" r="0" b="0"/>
                      <wp:wrapNone/>
                      <wp:docPr id="269" name="Frame26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53670" cy="175260"/>
                      <wp:effectExtent l="0" t="0" r="0" b="0"/>
                      <wp:wrapNone/>
                      <wp:docPr id="271" name="Frame27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51790" cy="175260"/>
                      <wp:effectExtent l="0" t="0" r="0" b="0"/>
                      <wp:wrapNone/>
                      <wp:docPr id="272" name="Frame271"/>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53085" cy="175260"/>
                      <wp:effectExtent l="0" t="0" r="0" b="0"/>
                      <wp:wrapNone/>
                      <wp:docPr id="274" name="Frame27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0660" cy="175260"/>
                      <wp:effectExtent l="0" t="0" r="0" b="0"/>
                      <wp:wrapNone/>
                      <wp:docPr id="275" name="Frame2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55" w:type="dxa"/>
            <w:tcBorders/>
            <w:vAlign w:val="center"/>
          </w:tcPr>
          <w:p>
            <w:pPr>
              <w:pStyle w:val="TableContents"/>
              <w:bidi w:val="0"/>
              <w:spacing w:before="0" w:after="1"/>
              <w:ind w:left="0" w:right="0" w:hanging="0"/>
              <w:jc w:val="center"/>
              <w:rPr/>
            </w:pPr>
            <w:r>
              <w:rPr/>
              <w:t>    </w:t>
            </w:r>
          </w:p>
        </w:tc>
        <w:tc>
          <w:tcPr>
            <w:tcW w:w="12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 </w:t>
            </w:r>
          </w:p>
        </w:tc>
        <w:tc>
          <w:tcPr>
            <w:tcW w:w="4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655" w:type="dxa"/>
            <w:tcBorders/>
            <w:shd w:fill="CCEEFF" w:val="clear"/>
            <w:vAlign w:val="center"/>
          </w:tcPr>
          <w:p>
            <w:pPr>
              <w:pStyle w:val="TableContents"/>
              <w:bidi w:val="0"/>
              <w:spacing w:before="0" w:after="1"/>
              <w:ind w:left="0" w:right="0" w:hanging="0"/>
              <w:jc w:val="left"/>
              <w:rPr/>
            </w:pPr>
            <w:r>
              <w:rPr/>
              <w:t> </w:t>
            </w:r>
          </w:p>
        </w:tc>
        <w:tc>
          <w:tcPr>
            <w:tcW w:w="4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vAlign w:val="center"/>
          </w:tcPr>
          <w:p>
            <w:pPr>
              <w:pStyle w:val="TableContents"/>
              <w:bidi w:val="0"/>
              <w:spacing w:before="0" w:after="1"/>
              <w:ind w:left="0" w:right="0" w:hanging="0"/>
              <w:jc w:val="left"/>
              <w:rPr/>
            </w:pPr>
            <w:r>
              <w:rPr/>
              <w:t>​</w:t>
            </w:r>
          </w:p>
        </w:tc>
        <w:tc>
          <w:tcPr>
            <w:tcW w:w="4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655" w:type="dxa"/>
            <w:tcBorders/>
            <w:vAlign w:val="center"/>
          </w:tcPr>
          <w:p>
            <w:pPr>
              <w:pStyle w:val="TableContents"/>
              <w:bidi w:val="0"/>
              <w:spacing w:before="0" w:after="1"/>
              <w:ind w:left="0" w:right="0" w:hanging="0"/>
              <w:jc w:val="left"/>
              <w:rPr/>
            </w:pPr>
            <w:r>
              <w:rPr/>
              <w:t>​</w:t>
            </w:r>
          </w:p>
        </w:tc>
        <w:tc>
          <w:tcPr>
            <w:tcW w:w="4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4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655" w:type="dxa"/>
            <w:tcBorders/>
            <w:shd w:fill="CCEEFF" w:val="clear"/>
            <w:vAlign w:val="center"/>
          </w:tcPr>
          <w:p>
            <w:pPr>
              <w:pStyle w:val="TableContents"/>
              <w:bidi w:val="0"/>
              <w:spacing w:before="0" w:after="1"/>
              <w:ind w:left="0" w:right="0" w:hanging="0"/>
              <w:jc w:val="left"/>
              <w:rPr/>
            </w:pPr>
            <w:r>
              <w:rPr/>
              <w:t> </w:t>
            </w:r>
          </w:p>
        </w:tc>
        <w:tc>
          <w:tcPr>
            <w:tcW w:w="4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expense resulting from the change in fair value of the warrant liability was $10,000 for the three months ended September 30, 2025, compared to $0.2 million in income for the three months ended September 30, 2024. As of September 30, 2025, the 2023 Warrants were fully exercised, eliminating the related warrant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interest income for the three months ended September 30, 2025 was $88,000, as we earned approximately $99,000 in interest from our money market account, partially offset by approximately $11,000 in interest expense from a short-term loan that was paid off on July 7, 2025. Interest income for the three months ended September 30, 2024 was $10,000 from interest earned on our money market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Net Loss. </w:t>
      </w:r>
      <w:r>
        <w:rPr>
          <w:rFonts w:ascii="Times New Roman;Times;serif" w:hAnsi="Times New Roman;Times;serif"/>
          <w:sz w:val="20"/>
        </w:rPr>
        <w:t>As a result of the above, net loss for the three months ended September 30, 2025 was $2.1 million as compared to $3.4 million for the three months ended September 30,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Nine Months Ended September 30,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w:t>
      </w:r>
    </w:p>
    <w:tbl>
      <w:tblPr>
        <w:tblW w:w="10205" w:type="dxa"/>
        <w:jc w:val="left"/>
        <w:tblInd w:w="0" w:type="dxa"/>
        <w:tblLayout w:type="fixed"/>
        <w:tblCellMar>
          <w:top w:w="0" w:type="dxa"/>
          <w:left w:w="0" w:type="dxa"/>
          <w:bottom w:w="0" w:type="dxa"/>
          <w:right w:w="0" w:type="dxa"/>
        </w:tblCellMar>
      </w:tblPr>
      <w:tblGrid>
        <w:gridCol w:w="3998"/>
        <w:gridCol w:w="326"/>
        <w:gridCol w:w="296"/>
        <w:gridCol w:w="971"/>
        <w:gridCol w:w="457"/>
        <w:gridCol w:w="296"/>
        <w:gridCol w:w="1118"/>
        <w:gridCol w:w="326"/>
        <w:gridCol w:w="211"/>
        <w:gridCol w:w="690"/>
        <w:gridCol w:w="326"/>
        <w:gridCol w:w="871"/>
        <w:gridCol w:w="319"/>
      </w:tblGrid>
      <w:tr>
        <w:trPr/>
        <w:tc>
          <w:tcPr>
            <w:tcW w:w="3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538730" cy="175260"/>
                      <wp:effectExtent l="0" t="0" r="0" b="0"/>
                      <wp:wrapNone/>
                      <wp:docPr id="276" name="Frame275"/>
                      <a:graphic xmlns:a="http://schemas.openxmlformats.org/drawingml/2006/main">
                        <a:graphicData uri="http://schemas.microsoft.com/office/word/2010/wordprocessingShape">
                          <wps:wsp>
                            <wps:cNvSpPr txBox="1"/>
                            <wps:spPr>
                              <a:xfrm>
                                <a:off x="0" y="0"/>
                                <a:ext cx="2538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87960" cy="175260"/>
                      <wp:effectExtent l="0" t="0" r="0" b="0"/>
                      <wp:wrapNone/>
                      <wp:docPr id="278" name="Frame27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16585" cy="175260"/>
                      <wp:effectExtent l="0" t="0" r="0" b="0"/>
                      <wp:wrapNone/>
                      <wp:docPr id="279" name="Frame278"/>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90195" cy="175260"/>
                      <wp:effectExtent l="0" t="0" r="0" b="0"/>
                      <wp:wrapNone/>
                      <wp:docPr id="280" name="Frame279"/>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87960" cy="175260"/>
                      <wp:effectExtent l="0" t="0" r="0" b="0"/>
                      <wp:wrapNone/>
                      <wp:docPr id="281" name="Frame28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09930" cy="175260"/>
                      <wp:effectExtent l="0" t="0" r="0" b="0"/>
                      <wp:wrapNone/>
                      <wp:docPr id="282" name="Frame281"/>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38150" cy="175260"/>
                      <wp:effectExtent l="0" t="0" r="0" b="0"/>
                      <wp:wrapNone/>
                      <wp:docPr id="285" name="Frame28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53085" cy="175260"/>
                      <wp:effectExtent l="0" t="0" r="0" b="0"/>
                      <wp:wrapNone/>
                      <wp:docPr id="287" name="Frame28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2565" cy="175260"/>
                      <wp:effectExtent l="0" t="0" r="0" b="0"/>
                      <wp:wrapNone/>
                      <wp:docPr id="288" name="Frame28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6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  </w:t>
            </w:r>
          </w:p>
        </w:tc>
        <w:tc>
          <w:tcPr>
            <w:tcW w:w="319" w:type="dxa"/>
            <w:tcBorders/>
            <w:vAlign w:val="center"/>
          </w:tcPr>
          <w:p>
            <w:pPr>
              <w:pStyle w:val="TableContents"/>
              <w:bidi w:val="0"/>
              <w:spacing w:before="0" w:after="1"/>
              <w:ind w:left="0" w:right="0" w:hanging="0"/>
              <w:jc w:val="center"/>
              <w:rPr/>
            </w:pPr>
            <w:r>
              <w:rPr/>
              <w:t> </w:t>
            </w:r>
          </w:p>
        </w:tc>
      </w:tr>
      <w:tr>
        <w:trPr/>
        <w:tc>
          <w:tcPr>
            <w:tcW w:w="39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7" w:type="dxa"/>
            <w:tcBorders/>
            <w:vAlign w:val="center"/>
          </w:tcPr>
          <w:p>
            <w:pPr>
              <w:pStyle w:val="TableContents"/>
              <w:bidi w:val="0"/>
              <w:spacing w:before="0" w:after="1"/>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9" w:type="dxa"/>
            <w:tcBorders/>
            <w:vAlign w:val="center"/>
          </w:tcPr>
          <w:p>
            <w:pPr>
              <w:pStyle w:val="TableContents"/>
              <w:bidi w:val="0"/>
              <w:spacing w:before="0" w:after="1"/>
              <w:ind w:left="0" w:right="0" w:hanging="0"/>
              <w:jc w:val="center"/>
              <w:rPr/>
            </w:pPr>
            <w:r>
              <w:rPr/>
              <w:t> </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 </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c>
          <w:tcPr>
            <w:tcW w:w="457" w:type="dxa"/>
            <w:tcBorders/>
            <w:vAlign w:val="center"/>
          </w:tcPr>
          <w:p>
            <w:pPr>
              <w:pStyle w:val="TableContents"/>
              <w:bidi w:val="0"/>
              <w:spacing w:before="0" w:after="1"/>
              <w:ind w:left="0" w:right="0" w:hanging="0"/>
              <w:jc w:val="righ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right"/>
              <w:rPr/>
            </w:pPr>
            <w:r>
              <w:rPr/>
              <w:t>​</w:t>
            </w:r>
          </w:p>
        </w:tc>
        <w:tc>
          <w:tcPr>
            <w:tcW w:w="971" w:type="dxa"/>
            <w:tcBorders/>
            <w:vAlign w:val="center"/>
          </w:tcPr>
          <w:p>
            <w:pPr>
              <w:pStyle w:val="TableContents"/>
              <w:bidi w:val="0"/>
              <w:spacing w:before="0" w:after="1"/>
              <w:ind w:left="0" w:right="0" w:hanging="0"/>
              <w:jc w:val="right"/>
              <w:rPr/>
            </w:pPr>
            <w:r>
              <w:rPr/>
              <w:t>​</w:t>
            </w:r>
          </w:p>
        </w:tc>
        <w:tc>
          <w:tcPr>
            <w:tcW w:w="457"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left"/>
              <w:rPr/>
            </w:pPr>
            <w:r>
              <w:rPr/>
              <w:t>​</w:t>
            </w:r>
          </w:p>
        </w:tc>
        <w:tc>
          <w:tcPr>
            <w:tcW w:w="11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right"/>
              <w:rPr/>
            </w:pPr>
            <w:r>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11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(2,767)</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right"/>
              <w:rPr/>
            </w:pPr>
            <w:r>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c>
          <w:tcPr>
            <w:tcW w:w="457"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left"/>
              <w:rPr/>
            </w:pPr>
            <w:r>
              <w:rPr/>
              <w:t> </w:t>
            </w:r>
          </w:p>
        </w:tc>
        <w:tc>
          <w:tcPr>
            <w:tcW w:w="11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right"/>
              <w:rPr/>
            </w:pPr>
            <w:r>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11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right"/>
              <w:rPr/>
            </w:pPr>
            <w:r>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457"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left"/>
              <w:rPr/>
            </w:pPr>
            <w:r>
              <w:rPr/>
              <w:t> </w:t>
            </w:r>
          </w:p>
        </w:tc>
        <w:tc>
          <w:tcPr>
            <w:tcW w:w="11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 </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9,471</w:t>
            </w:r>
          </w:p>
        </w:tc>
        <w:tc>
          <w:tcPr>
            <w:tcW w:w="457" w:type="dxa"/>
            <w:tcBorders/>
            <w:vAlign w:val="center"/>
          </w:tcPr>
          <w:p>
            <w:pPr>
              <w:pStyle w:val="TableContents"/>
              <w:bidi w:val="0"/>
              <w:spacing w:before="0" w:after="1"/>
              <w:ind w:left="0" w:right="0" w:hanging="0"/>
              <w:jc w:val="righ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(5,229)</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(8,582)</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right"/>
              <w:rPr/>
            </w:pPr>
            <w:r>
              <w:rPr/>
              <w:t>​</w:t>
            </w:r>
          </w:p>
        </w:tc>
        <w:tc>
          <w:tcPr>
            <w:tcW w:w="971" w:type="dxa"/>
            <w:tcBorders/>
            <w:vAlign w:val="center"/>
          </w:tcPr>
          <w:p>
            <w:pPr>
              <w:pStyle w:val="TableContents"/>
              <w:bidi w:val="0"/>
              <w:spacing w:before="0" w:after="1"/>
              <w:ind w:left="0" w:right="0" w:hanging="0"/>
              <w:jc w:val="right"/>
              <w:rPr/>
            </w:pPr>
            <w:r>
              <w:rPr/>
              <w:t>​</w:t>
            </w:r>
          </w:p>
        </w:tc>
        <w:tc>
          <w:tcPr>
            <w:tcW w:w="457"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left"/>
              <w:rPr/>
            </w:pPr>
            <w:r>
              <w:rPr/>
              <w:t>​</w:t>
            </w:r>
          </w:p>
        </w:tc>
        <w:tc>
          <w:tcPr>
            <w:tcW w:w="111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right"/>
              <w:rPr/>
            </w:pPr>
            <w:r>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11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vAlign w:val="center"/>
          </w:tcPr>
          <w:p>
            <w:pPr>
              <w:pStyle w:val="TableContents"/>
              <w:bidi w:val="0"/>
              <w:spacing w:before="0" w:after="1"/>
              <w:ind w:left="0" w:right="0" w:hanging="0"/>
              <w:jc w:val="left"/>
              <w:rPr/>
            </w:pPr>
            <w:r>
              <w:rPr/>
              <w:t> </w:t>
            </w:r>
          </w:p>
        </w:tc>
        <w:tc>
          <w:tcPr>
            <w:tcW w:w="296" w:type="dxa"/>
            <w:tcBorders/>
            <w:vAlign w:val="center"/>
          </w:tcPr>
          <w:p>
            <w:pPr>
              <w:pStyle w:val="TableContents"/>
              <w:bidi w:val="0"/>
              <w:spacing w:before="0" w:after="1"/>
              <w:ind w:left="0" w:right="0" w:hanging="0"/>
              <w:jc w:val="right"/>
              <w:rPr/>
            </w:pPr>
            <w:r>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457" w:type="dxa"/>
            <w:tcBorders/>
            <w:vAlign w:val="center"/>
          </w:tcPr>
          <w:p>
            <w:pPr>
              <w:pStyle w:val="TableContents"/>
              <w:bidi w:val="0"/>
              <w:spacing w:before="0" w:after="1"/>
              <w:ind w:left="0" w:right="0" w:hanging="0"/>
              <w:jc w:val="right"/>
              <w:rPr/>
            </w:pPr>
            <w:r>
              <w:rPr/>
              <w:t>​</w:t>
            </w:r>
          </w:p>
        </w:tc>
        <w:tc>
          <w:tcPr>
            <w:tcW w:w="296" w:type="dxa"/>
            <w:tcBorders/>
            <w:vAlign w:val="center"/>
          </w:tcPr>
          <w:p>
            <w:pPr>
              <w:pStyle w:val="TableContents"/>
              <w:bidi w:val="0"/>
              <w:spacing w:before="0" w:after="1"/>
              <w:ind w:left="0" w:right="0" w:hanging="0"/>
              <w:jc w:val="left"/>
              <w:rPr/>
            </w:pPr>
            <w:r>
              <w:rPr/>
              <w:t> </w:t>
            </w:r>
          </w:p>
        </w:tc>
        <w:tc>
          <w:tcPr>
            <w:tcW w:w="11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1"/>
              <w:ind w:left="0" w:right="0" w:hanging="0"/>
              <w:jc w:val="left"/>
              <w:rPr/>
            </w:pPr>
            <w:r>
              <w:rPr/>
              <w:t> </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457" w:type="dxa"/>
            <w:tcBorders/>
            <w:vAlign w:val="center"/>
          </w:tcPr>
          <w:p>
            <w:pPr>
              <w:pStyle w:val="TableContents"/>
              <w:bidi w:val="0"/>
              <w:spacing w:before="0" w:after="1"/>
              <w:ind w:left="0" w:right="0" w:hanging="0"/>
              <w:jc w:val="righ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(8,267)</w:t>
            </w:r>
          </w:p>
        </w:tc>
        <w:tc>
          <w:tcPr>
            <w:tcW w:w="457" w:type="dxa"/>
            <w:tcBorders/>
            <w:shd w:fill="CCEEFF" w:val="clear"/>
            <w:vAlign w:val="center"/>
          </w:tcPr>
          <w:p>
            <w:pPr>
              <w:pStyle w:val="TableContents"/>
              <w:bidi w:val="0"/>
              <w:spacing w:before="0" w:after="1"/>
              <w:ind w:left="0" w:right="0" w:hanging="0"/>
              <w:jc w:val="righ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6,002</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nine months ended September 30, 2025 and 2024, we recorded revenue of $2.6 million and $0.3 million, respectively. The 662% year over year increase is primarily due to the expansion of commercial applications with multinational enterprise retailers, including two Fortune 10 companies, deploying our WPN technology in connection with their infrastructure modernization initiatives as well as a proof-of-concept deployment with a Fortune 500 customer referred through the Company’s participation in the AWS Partner Network.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Costs and Expenses and Loss from Operations.</w:t>
      </w:r>
      <w:r>
        <w:rPr>
          <w:rFonts w:ascii="Times New Roman;Times;serif" w:hAnsi="Times New Roman;Times;serif"/>
          <w:sz w:val="20"/>
        </w:rPr>
        <w:t xml:space="preserve"> Costs and expenses are made up of cost of revenue, research and development, sales and marketing, general and administrative, severance expense and expenses from the abandoned financing transaction. Loss from operations for the nine months ended September 30, 2025 and 2024 was $8.6 million and $14.9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tbl>
      <w:tblPr>
        <w:tblW w:w="8185" w:type="dxa"/>
        <w:jc w:val="left"/>
        <w:tblInd w:w="0" w:type="dxa"/>
        <w:tblLayout w:type="fixed"/>
        <w:tblCellMar>
          <w:top w:w="0" w:type="dxa"/>
          <w:left w:w="0" w:type="dxa"/>
          <w:bottom w:w="0" w:type="dxa"/>
          <w:right w:w="0" w:type="dxa"/>
        </w:tblCellMar>
      </w:tblPr>
      <w:tblGrid>
        <w:gridCol w:w="2041"/>
        <w:gridCol w:w="326"/>
        <w:gridCol w:w="374"/>
        <w:gridCol w:w="1013"/>
        <w:gridCol w:w="640"/>
        <w:gridCol w:w="374"/>
        <w:gridCol w:w="747"/>
        <w:gridCol w:w="361"/>
        <w:gridCol w:w="214"/>
        <w:gridCol w:w="582"/>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96035" cy="175260"/>
                      <wp:effectExtent l="0" t="0" r="0" b="0"/>
                      <wp:wrapNone/>
                      <wp:docPr id="289" name="Frame288"/>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37490" cy="175260"/>
                      <wp:effectExtent l="0" t="0" r="0" b="0"/>
                      <wp:wrapNone/>
                      <wp:docPr id="291" name="Frame29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3255" cy="175260"/>
                      <wp:effectExtent l="0" t="0" r="0" b="0"/>
                      <wp:wrapNone/>
                      <wp:docPr id="292" name="Frame291"/>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06400" cy="175260"/>
                      <wp:effectExtent l="0" t="0" r="0" b="0"/>
                      <wp:wrapNone/>
                      <wp:docPr id="293" name="Frame292"/>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37490" cy="175260"/>
                      <wp:effectExtent l="0" t="0" r="0" b="0"/>
                      <wp:wrapNone/>
                      <wp:docPr id="294" name="Frame293"/>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74345" cy="175260"/>
                      <wp:effectExtent l="0" t="0" r="0" b="0"/>
                      <wp:wrapNone/>
                      <wp:docPr id="295" name="Frame294"/>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29235" cy="175260"/>
                      <wp:effectExtent l="0" t="0" r="0" b="0"/>
                      <wp:wrapNone/>
                      <wp:docPr id="296" name="Frame29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5890" cy="175260"/>
                      <wp:effectExtent l="0" t="0" r="0" b="0"/>
                      <wp:wrapNone/>
                      <wp:docPr id="297" name="Frame29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69570" cy="175260"/>
                      <wp:effectExtent l="0" t="0" r="0" b="0"/>
                      <wp:wrapNone/>
                      <wp:docPr id="298" name="Frame297"/>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53085" cy="175260"/>
                      <wp:effectExtent l="0" t="0" r="0" b="0"/>
                      <wp:wrapNone/>
                      <wp:docPr id="300" name="Frame29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0660" cy="175260"/>
                      <wp:effectExtent l="0" t="0" r="0" b="0"/>
                      <wp:wrapNone/>
                      <wp:docPr id="301" name="Frame3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61"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40" w:type="dxa"/>
            <w:tcBorders/>
            <w:vAlign w:val="center"/>
          </w:tcPr>
          <w:p>
            <w:pPr>
              <w:pStyle w:val="TableContents"/>
              <w:bidi w:val="0"/>
              <w:spacing w:before="0" w:after="1"/>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c>
          <w:tcPr>
            <w:tcW w:w="640"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6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 </w:t>
            </w:r>
          </w:p>
        </w:tc>
        <w:tc>
          <w:tcPr>
            <w:tcW w:w="374" w:type="dxa"/>
            <w:tcBorders/>
            <w:vAlign w:val="center"/>
          </w:tcPr>
          <w:p>
            <w:pPr>
              <w:pStyle w:val="TableContents"/>
              <w:bidi w:val="0"/>
              <w:spacing w:before="0" w:after="1"/>
              <w:ind w:left="0" w:right="0" w:hanging="0"/>
              <w:jc w:val="left"/>
              <w:rPr/>
            </w:pPr>
            <w:r>
              <w:rPr/>
              <w:t>​</w:t>
            </w:r>
          </w:p>
        </w:tc>
        <w:tc>
          <w:tcPr>
            <w:tcW w:w="10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6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74"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$1.7 million and $0.5 million, respectively, for the nine months ended September 30, 2025 and 2024. The increase is primarily due to higher sales volume of PowerBridge Pro transmitters that were shipped during 2025. With the continued ramp up of our volume manufacturing during the first nine months of 2025 and other strategic efforts made to optimize operations, product margins improved significantly, transitioning from a gross loss in 2024 of $0.2 million to a gross profit in 2025 of approximately $0.9 million, representing a 551% year over year improvement in gross profit.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tbl>
      <w:tblPr>
        <w:tblW w:w="8561" w:type="dxa"/>
        <w:jc w:val="left"/>
        <w:tblInd w:w="0" w:type="dxa"/>
        <w:tblLayout w:type="fixed"/>
        <w:tblCellMar>
          <w:top w:w="0" w:type="dxa"/>
          <w:left w:w="0" w:type="dxa"/>
          <w:bottom w:w="0" w:type="dxa"/>
          <w:right w:w="0" w:type="dxa"/>
        </w:tblCellMar>
      </w:tblPr>
      <w:tblGrid>
        <w:gridCol w:w="2311"/>
        <w:gridCol w:w="326"/>
        <w:gridCol w:w="345"/>
        <w:gridCol w:w="934"/>
        <w:gridCol w:w="590"/>
        <w:gridCol w:w="345"/>
        <w:gridCol w:w="934"/>
        <w:gridCol w:w="361"/>
        <w:gridCol w:w="211"/>
        <w:gridCol w:w="69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67485" cy="175260"/>
                      <wp:effectExtent l="0" t="0" r="0" b="0"/>
                      <wp:wrapNone/>
                      <wp:docPr id="302" name="Frame30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075" cy="175260"/>
                      <wp:effectExtent l="0" t="0" r="0" b="0"/>
                      <wp:wrapNone/>
                      <wp:docPr id="304" name="Frame30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93090" cy="175260"/>
                      <wp:effectExtent l="0" t="0" r="0" b="0"/>
                      <wp:wrapNone/>
                      <wp:docPr id="305" name="Frame304"/>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74650" cy="175260"/>
                      <wp:effectExtent l="0" t="0" r="0" b="0"/>
                      <wp:wrapNone/>
                      <wp:docPr id="306" name="Frame305"/>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075" cy="175260"/>
                      <wp:effectExtent l="0" t="0" r="0" b="0"/>
                      <wp:wrapNone/>
                      <wp:docPr id="307" name="Frame30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93090" cy="175260"/>
                      <wp:effectExtent l="0" t="0" r="0" b="0"/>
                      <wp:wrapNone/>
                      <wp:docPr id="308" name="Frame307"/>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29235" cy="175260"/>
                      <wp:effectExtent l="0" t="0" r="0" b="0"/>
                      <wp:wrapNone/>
                      <wp:docPr id="309" name="Frame3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38785" cy="175260"/>
                      <wp:effectExtent l="0" t="0" r="0" b="0"/>
                      <wp:wrapNone/>
                      <wp:docPr id="311" name="Frame3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53085" cy="175260"/>
                      <wp:effectExtent l="0" t="0" r="0" b="0"/>
                      <wp:wrapNone/>
                      <wp:docPr id="313" name="Frame31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0660" cy="175260"/>
                      <wp:effectExtent l="0" t="0" r="0" b="0"/>
                      <wp:wrapNone/>
                      <wp:docPr id="314" name="Frame3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0" w:type="dxa"/>
            <w:tcBorders/>
            <w:vAlign w:val="center"/>
          </w:tcPr>
          <w:p>
            <w:pPr>
              <w:pStyle w:val="TableContents"/>
              <w:bidi w:val="0"/>
              <w:spacing w:before="0" w:after="1"/>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center"/>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w:t>
            </w:r>
          </w:p>
        </w:tc>
        <w:tc>
          <w:tcPr>
            <w:tcW w:w="590"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(2,767)</w:t>
            </w:r>
          </w:p>
        </w:tc>
        <w:tc>
          <w:tcPr>
            <w:tcW w:w="32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center"/>
              <w:rPr/>
            </w:pPr>
            <w:r>
              <w:rPr/>
              <w:t>​</w:t>
            </w:r>
          </w:p>
        </w:tc>
        <w:tc>
          <w:tcPr>
            <w:tcW w:w="345"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5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5"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center"/>
              <w:rPr/>
            </w:pPr>
            <w:r>
              <w:rPr/>
              <w:t> </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were $3.2 million and $6.0 million, respectively, for the nine months ended September 30, 2025 and 2024. The decrease of $2.8 million is primarily due to a $1.7 million decrease in compensation, consisting of a $1.5 million decrease in payroll costs from a lower headcount within the R&amp;D department and a $0.2 million decrease in stock-based compensation, a $0.8 million decrease in engineering components, circuit boards and third-party software and a $0.1 million decrease in software maintenance.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tbl>
      <w:tblPr>
        <w:tblW w:w="8185" w:type="dxa"/>
        <w:jc w:val="left"/>
        <w:tblInd w:w="0" w:type="dxa"/>
        <w:tblLayout w:type="fixed"/>
        <w:tblCellMar>
          <w:top w:w="0" w:type="dxa"/>
          <w:left w:w="0" w:type="dxa"/>
          <w:bottom w:w="0" w:type="dxa"/>
          <w:right w:w="0" w:type="dxa"/>
        </w:tblCellMar>
      </w:tblPr>
      <w:tblGrid>
        <w:gridCol w:w="2041"/>
        <w:gridCol w:w="326"/>
        <w:gridCol w:w="345"/>
        <w:gridCol w:w="934"/>
        <w:gridCol w:w="590"/>
        <w:gridCol w:w="345"/>
        <w:gridCol w:w="934"/>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96035" cy="175260"/>
                      <wp:effectExtent l="0" t="0" r="0" b="0"/>
                      <wp:wrapNone/>
                      <wp:docPr id="315" name="Frame314"/>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075" cy="175260"/>
                      <wp:effectExtent l="0" t="0" r="0" b="0"/>
                      <wp:wrapNone/>
                      <wp:docPr id="317" name="Frame31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93090" cy="175260"/>
                      <wp:effectExtent l="0" t="0" r="0" b="0"/>
                      <wp:wrapNone/>
                      <wp:docPr id="318" name="Frame317"/>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74650" cy="175260"/>
                      <wp:effectExtent l="0" t="0" r="0" b="0"/>
                      <wp:wrapNone/>
                      <wp:docPr id="319" name="Frame318"/>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075" cy="175260"/>
                      <wp:effectExtent l="0" t="0" r="0" b="0"/>
                      <wp:wrapNone/>
                      <wp:docPr id="320" name="Frame31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93090" cy="175260"/>
                      <wp:effectExtent l="0" t="0" r="0" b="0"/>
                      <wp:wrapNone/>
                      <wp:docPr id="321" name="Frame320"/>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29235" cy="175260"/>
                      <wp:effectExtent l="0" t="0" r="0" b="0"/>
                      <wp:wrapNone/>
                      <wp:docPr id="322" name="Frame3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53670" cy="175260"/>
                      <wp:effectExtent l="0" t="0" r="0" b="0"/>
                      <wp:wrapNone/>
                      <wp:docPr id="323" name="Frame32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51790" cy="175260"/>
                      <wp:effectExtent l="0" t="0" r="0" b="0"/>
                      <wp:wrapNone/>
                      <wp:docPr id="324" name="Frame323"/>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53085" cy="175260"/>
                      <wp:effectExtent l="0" t="0" r="0" b="0"/>
                      <wp:wrapNone/>
                      <wp:docPr id="326" name="Frame32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0660" cy="175260"/>
                      <wp:effectExtent l="0" t="0" r="0" b="0"/>
                      <wp:wrapNone/>
                      <wp:docPr id="327" name="Frame3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61"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0" w:type="dxa"/>
            <w:tcBorders/>
            <w:vAlign w:val="center"/>
          </w:tcPr>
          <w:p>
            <w:pPr>
              <w:pStyle w:val="TableContents"/>
              <w:bidi w:val="0"/>
              <w:spacing w:before="0" w:after="1"/>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center"/>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c>
          <w:tcPr>
            <w:tcW w:w="590"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c>
          <w:tcPr>
            <w:tcW w:w="32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 </w:t>
            </w:r>
          </w:p>
        </w:tc>
        <w:tc>
          <w:tcPr>
            <w:tcW w:w="345"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5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5"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for the nine months ended September 30, 2025 and 2024 were $1.8 million and $2.4 million, respectively. The decrease of $0.6 million is primarily due to a $0.4 million decrease in public relations, consulting and recruiting fees, a $0.1 million decrease in marketing, promotional and tradeshow expenses and a $0.1 million decrease in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tbl>
      <w:tblPr>
        <w:tblW w:w="8561" w:type="dxa"/>
        <w:jc w:val="left"/>
        <w:tblInd w:w="0" w:type="dxa"/>
        <w:tblLayout w:type="fixed"/>
        <w:tblCellMar>
          <w:top w:w="0" w:type="dxa"/>
          <w:left w:w="0" w:type="dxa"/>
          <w:bottom w:w="0" w:type="dxa"/>
          <w:right w:w="0" w:type="dxa"/>
        </w:tblCellMar>
      </w:tblPr>
      <w:tblGrid>
        <w:gridCol w:w="2311"/>
        <w:gridCol w:w="326"/>
        <w:gridCol w:w="345"/>
        <w:gridCol w:w="934"/>
        <w:gridCol w:w="590"/>
        <w:gridCol w:w="345"/>
        <w:gridCol w:w="934"/>
        <w:gridCol w:w="361"/>
        <w:gridCol w:w="211"/>
        <w:gridCol w:w="69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467485" cy="175260"/>
                      <wp:effectExtent l="0" t="0" r="0" b="0"/>
                      <wp:wrapNone/>
                      <wp:docPr id="328" name="Frame32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075" cy="175260"/>
                      <wp:effectExtent l="0" t="0" r="0" b="0"/>
                      <wp:wrapNone/>
                      <wp:docPr id="330" name="Frame32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93090" cy="175260"/>
                      <wp:effectExtent l="0" t="0" r="0" b="0"/>
                      <wp:wrapNone/>
                      <wp:docPr id="331" name="Frame330"/>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74650" cy="175260"/>
                      <wp:effectExtent l="0" t="0" r="0" b="0"/>
                      <wp:wrapNone/>
                      <wp:docPr id="332" name="Frame331"/>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075" cy="175260"/>
                      <wp:effectExtent l="0" t="0" r="0" b="0"/>
                      <wp:wrapNone/>
                      <wp:docPr id="333" name="Frame332"/>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93090" cy="175260"/>
                      <wp:effectExtent l="0" t="0" r="0" b="0"/>
                      <wp:wrapNone/>
                      <wp:docPr id="334" name="Frame333"/>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29235" cy="175260"/>
                      <wp:effectExtent l="0" t="0" r="0" b="0"/>
                      <wp:wrapNone/>
                      <wp:docPr id="335" name="Frame3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38785" cy="175260"/>
                      <wp:effectExtent l="0" t="0" r="0" b="0"/>
                      <wp:wrapNone/>
                      <wp:docPr id="337" name="Frame3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53085" cy="175260"/>
                      <wp:effectExtent l="0" t="0" r="0" b="0"/>
                      <wp:wrapNone/>
                      <wp:docPr id="339" name="Frame33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0660" cy="175260"/>
                      <wp:effectExtent l="0" t="0" r="0" b="0"/>
                      <wp:wrapNone/>
                      <wp:docPr id="340" name="Frame3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0" w:type="dxa"/>
            <w:tcBorders/>
            <w:vAlign w:val="center"/>
          </w:tcPr>
          <w:p>
            <w:pPr>
              <w:pStyle w:val="TableContents"/>
              <w:bidi w:val="0"/>
              <w:spacing w:before="0" w:after="1"/>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center"/>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w:t>
            </w:r>
          </w:p>
        </w:tc>
        <w:tc>
          <w:tcPr>
            <w:tcW w:w="590"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 </w:t>
            </w:r>
          </w:p>
        </w:tc>
        <w:tc>
          <w:tcPr>
            <w:tcW w:w="345"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5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5" w:type="dxa"/>
            <w:tcBorders/>
            <w:vAlign w:val="center"/>
          </w:tcPr>
          <w:p>
            <w:pPr>
              <w:pStyle w:val="TableContents"/>
              <w:bidi w:val="0"/>
              <w:spacing w:before="0" w:after="1"/>
              <w:ind w:left="0" w:right="0" w:hanging="0"/>
              <w:jc w:val="righ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costs for the nine months ended September 30, 2025 and 2024 were $3.4 million and $5.0 million, respectively. The decrease of $1.6 million is primarily due to a $0.9 million decrease in legal fees, a $0.3 million decrease in annual meeting-related expenses, a $0.3 million decrease in consulting, investor relations, recruiting and third-party services, a $0.2 million decrease in insurance premiums and a $0.1 million decrease in stock-based compensation, partially offset by a $0.2 million increase in payroll costs accrued as a result of key milestones achieved during 2025 under the 2025 Bonus Plan and higher employee benefit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tbl>
      <w:tblPr>
        <w:tblW w:w="8185" w:type="dxa"/>
        <w:jc w:val="left"/>
        <w:tblInd w:w="0" w:type="dxa"/>
        <w:tblLayout w:type="fixed"/>
        <w:tblCellMar>
          <w:top w:w="0" w:type="dxa"/>
          <w:left w:w="0" w:type="dxa"/>
          <w:bottom w:w="0" w:type="dxa"/>
          <w:right w:w="0" w:type="dxa"/>
        </w:tblCellMar>
      </w:tblPr>
      <w:tblGrid>
        <w:gridCol w:w="2041"/>
        <w:gridCol w:w="326"/>
        <w:gridCol w:w="374"/>
        <w:gridCol w:w="747"/>
        <w:gridCol w:w="640"/>
        <w:gridCol w:w="374"/>
        <w:gridCol w:w="1013"/>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296035" cy="175260"/>
                      <wp:effectExtent l="0" t="0" r="0" b="0"/>
                      <wp:wrapNone/>
                      <wp:docPr id="341" name="Frame340"/>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37490" cy="175260"/>
                      <wp:effectExtent l="0" t="0" r="0" b="0"/>
                      <wp:wrapNone/>
                      <wp:docPr id="343" name="Frame342"/>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74345" cy="175260"/>
                      <wp:effectExtent l="0" t="0" r="0" b="0"/>
                      <wp:wrapNone/>
                      <wp:docPr id="344" name="Frame343"/>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06400" cy="175260"/>
                      <wp:effectExtent l="0" t="0" r="0" b="0"/>
                      <wp:wrapNone/>
                      <wp:docPr id="345" name="Frame344"/>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37490" cy="175260"/>
                      <wp:effectExtent l="0" t="0" r="0" b="0"/>
                      <wp:wrapNone/>
                      <wp:docPr id="346" name="Frame345"/>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3255" cy="175260"/>
                      <wp:effectExtent l="0" t="0" r="0" b="0"/>
                      <wp:wrapNone/>
                      <wp:docPr id="347" name="Frame346"/>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29235" cy="175260"/>
                      <wp:effectExtent l="0" t="0" r="0" b="0"/>
                      <wp:wrapNone/>
                      <wp:docPr id="348" name="Frame3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53670" cy="175260"/>
                      <wp:effectExtent l="0" t="0" r="0" b="0"/>
                      <wp:wrapNone/>
                      <wp:docPr id="349" name="Frame34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51790" cy="175260"/>
                      <wp:effectExtent l="0" t="0" r="0" b="0"/>
                      <wp:wrapNone/>
                      <wp:docPr id="350" name="Frame349"/>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53085" cy="175260"/>
                      <wp:effectExtent l="0" t="0" r="0" b="0"/>
                      <wp:wrapNone/>
                      <wp:docPr id="352" name="Frame35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0660" cy="175260"/>
                      <wp:effectExtent l="0" t="0" r="0" b="0"/>
                      <wp:wrapNone/>
                      <wp:docPr id="353" name="Frame3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1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61"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40" w:type="dxa"/>
            <w:tcBorders/>
            <w:vAlign w:val="center"/>
          </w:tcPr>
          <w:p>
            <w:pPr>
              <w:pStyle w:val="TableContents"/>
              <w:bidi w:val="0"/>
              <w:spacing w:before="0" w:after="1"/>
              <w:ind w:left="0" w:right="0" w:hanging="0"/>
              <w:jc w:val="left"/>
              <w:rPr/>
            </w:pPr>
            <w:r>
              <w:rPr/>
              <w:t>    </w:t>
            </w:r>
          </w:p>
        </w:tc>
        <w:tc>
          <w:tcPr>
            <w:tcW w:w="13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640"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32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 </w:t>
            </w:r>
          </w:p>
        </w:tc>
        <w:tc>
          <w:tcPr>
            <w:tcW w:w="374"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6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74" w:type="dxa"/>
            <w:tcBorders/>
            <w:vAlign w:val="center"/>
          </w:tcPr>
          <w:p>
            <w:pPr>
              <w:pStyle w:val="TableContents"/>
              <w:bidi w:val="0"/>
              <w:spacing w:before="0" w:after="1"/>
              <w:ind w:left="0" w:right="0" w:hanging="0"/>
              <w:jc w:val="left"/>
              <w:rPr/>
            </w:pPr>
            <w:r>
              <w:rPr/>
              <w:t>​</w:t>
            </w:r>
          </w:p>
        </w:tc>
        <w:tc>
          <w:tcPr>
            <w:tcW w:w="10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Severance expense for the nine months ended September 30, 2025 and 2024 was $0.4 million and $1.4 million, respectively. Severance expense for the nine months ended September 30, 2025 was related to separation with certain non-executive employees. The severance expense for the nine months ended September 30, 2024 was primarily due to the departure of our former CEO during 2024 for which $1.2 million in severance expense was recorded.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Expenses from Abandoned Financing Transaction:</w:t>
      </w:r>
    </w:p>
    <w:tbl>
      <w:tblPr>
        <w:tblW w:w="10166" w:type="dxa"/>
        <w:jc w:val="left"/>
        <w:tblInd w:w="0" w:type="dxa"/>
        <w:tblLayout w:type="fixed"/>
        <w:tblCellMar>
          <w:top w:w="0" w:type="dxa"/>
          <w:left w:w="0" w:type="dxa"/>
          <w:bottom w:w="0" w:type="dxa"/>
          <w:right w:w="0" w:type="dxa"/>
        </w:tblCellMar>
      </w:tblPr>
      <w:tblGrid>
        <w:gridCol w:w="4021"/>
        <w:gridCol w:w="326"/>
        <w:gridCol w:w="459"/>
        <w:gridCol w:w="916"/>
        <w:gridCol w:w="785"/>
        <w:gridCol w:w="237"/>
        <w:gridCol w:w="752"/>
        <w:gridCol w:w="361"/>
        <w:gridCol w:w="265"/>
        <w:gridCol w:w="531"/>
        <w:gridCol w:w="326"/>
        <w:gridCol w:w="871"/>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553335" cy="175260"/>
                      <wp:effectExtent l="0" t="0" r="0" b="0"/>
                      <wp:wrapNone/>
                      <wp:docPr id="354" name="Frame353"/>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91465" cy="175260"/>
                      <wp:effectExtent l="0" t="0" r="0" b="0"/>
                      <wp:wrapNone/>
                      <wp:docPr id="356" name="Frame355"/>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81660" cy="175260"/>
                      <wp:effectExtent l="0" t="0" r="0" b="0"/>
                      <wp:wrapNone/>
                      <wp:docPr id="357" name="Frame35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8475" cy="175260"/>
                      <wp:effectExtent l="0" t="0" r="0" b="0"/>
                      <wp:wrapNone/>
                      <wp:docPr id="358" name="Frame357"/>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50495" cy="175260"/>
                      <wp:effectExtent l="0" t="0" r="0" b="0"/>
                      <wp:wrapNone/>
                      <wp:docPr id="359" name="Frame35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77520" cy="175260"/>
                      <wp:effectExtent l="0" t="0" r="0" b="0"/>
                      <wp:wrapNone/>
                      <wp:docPr id="360" name="Frame359"/>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9235" cy="175260"/>
                      <wp:effectExtent l="0" t="0" r="0" b="0"/>
                      <wp:wrapNone/>
                      <wp:docPr id="361" name="Frame3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8275" cy="175260"/>
                      <wp:effectExtent l="0" t="0" r="0" b="0"/>
                      <wp:wrapNone/>
                      <wp:docPr id="362" name="Frame36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37185" cy="175260"/>
                      <wp:effectExtent l="0" t="0" r="0" b="0"/>
                      <wp:wrapNone/>
                      <wp:docPr id="363" name="Frame362"/>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53085" cy="175260"/>
                      <wp:effectExtent l="0" t="0" r="0" b="0"/>
                      <wp:wrapNone/>
                      <wp:docPr id="365" name="Frame36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0660" cy="175260"/>
                      <wp:effectExtent l="0" t="0" r="0" b="0"/>
                      <wp:wrapNone/>
                      <wp:docPr id="366" name="Frame3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61"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785" w:type="dxa"/>
            <w:tcBorders/>
            <w:vAlign w:val="center"/>
          </w:tcPr>
          <w:p>
            <w:pPr>
              <w:pStyle w:val="TableContents"/>
              <w:bidi w:val="0"/>
              <w:spacing w:before="0" w:after="0"/>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785"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7" w:type="dxa"/>
            <w:tcBorders/>
            <w:vAlign w:val="center"/>
          </w:tcPr>
          <w:p>
            <w:pPr>
              <w:pStyle w:val="TableContents"/>
              <w:bidi w:val="0"/>
              <w:spacing w:before="0" w:after="0"/>
              <w:ind w:left="0" w:right="0" w:hanging="0"/>
              <w:jc w:val="righ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Expenses related to our abandoned financing transaction were $0.7 million for the nine months ended September 30, 2025, primarily attributable to our decision to terminate the previously announced convertible preferred equity offering under Regulation A. There was no such expense during the nine months ended September 30,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tbl>
      <w:tblPr>
        <w:tblW w:w="9937" w:type="dxa"/>
        <w:jc w:val="left"/>
        <w:tblInd w:w="0" w:type="dxa"/>
        <w:tblLayout w:type="fixed"/>
        <w:tblCellMar>
          <w:top w:w="0" w:type="dxa"/>
          <w:left w:w="0" w:type="dxa"/>
          <w:bottom w:w="0" w:type="dxa"/>
          <w:right w:w="0" w:type="dxa"/>
        </w:tblCellMar>
      </w:tblPr>
      <w:tblGrid>
        <w:gridCol w:w="3826"/>
        <w:gridCol w:w="326"/>
        <w:gridCol w:w="418"/>
        <w:gridCol w:w="834"/>
        <w:gridCol w:w="646"/>
        <w:gridCol w:w="418"/>
        <w:gridCol w:w="834"/>
        <w:gridCol w:w="326"/>
        <w:gridCol w:w="242"/>
        <w:gridCol w:w="554"/>
        <w:gridCol w:w="326"/>
        <w:gridCol w:w="871"/>
        <w:gridCol w:w="31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429510" cy="175260"/>
                      <wp:effectExtent l="0" t="0" r="0" b="0"/>
                      <wp:wrapNone/>
                      <wp:docPr id="367" name="Frame366"/>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65430" cy="175260"/>
                      <wp:effectExtent l="0" t="0" r="0" b="0"/>
                      <wp:wrapNone/>
                      <wp:docPr id="369" name="Frame368"/>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29590" cy="175260"/>
                      <wp:effectExtent l="0" t="0" r="0" b="0"/>
                      <wp:wrapNone/>
                      <wp:docPr id="370" name="Frame36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10210" cy="175260"/>
                      <wp:effectExtent l="0" t="0" r="0" b="0"/>
                      <wp:wrapNone/>
                      <wp:docPr id="371" name="Frame37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65430" cy="175260"/>
                      <wp:effectExtent l="0" t="0" r="0" b="0"/>
                      <wp:wrapNone/>
                      <wp:docPr id="372" name="Frame371"/>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29590" cy="175260"/>
                      <wp:effectExtent l="0" t="0" r="0" b="0"/>
                      <wp:wrapNone/>
                      <wp:docPr id="373" name="Frame37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53670" cy="175260"/>
                      <wp:effectExtent l="0" t="0" r="0" b="0"/>
                      <wp:wrapNone/>
                      <wp:docPr id="375" name="Frame37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51790" cy="175260"/>
                      <wp:effectExtent l="0" t="0" r="0" b="0"/>
                      <wp:wrapNone/>
                      <wp:docPr id="376" name="Frame375"/>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53085" cy="175260"/>
                      <wp:effectExtent l="0" t="0" r="0" b="0"/>
                      <wp:wrapNone/>
                      <wp:docPr id="378" name="Frame37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0660" cy="175260"/>
                      <wp:effectExtent l="0" t="0" r="0" b="0"/>
                      <wp:wrapNone/>
                      <wp:docPr id="379" name="Frame3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c>
          <w:tcPr>
            <w:tcW w:w="32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46" w:type="dxa"/>
            <w:tcBorders/>
            <w:vAlign w:val="center"/>
          </w:tcPr>
          <w:p>
            <w:pPr>
              <w:pStyle w:val="TableContents"/>
              <w:bidi w:val="0"/>
              <w:spacing w:before="0" w:after="0"/>
              <w:ind w:left="0" w:right="0" w:hanging="0"/>
              <w:jc w:val="left"/>
              <w:rPr/>
            </w:pPr>
            <w:r>
              <w:rPr/>
              <w:t>    </w:t>
            </w:r>
          </w:p>
        </w:tc>
        <w:tc>
          <w:tcPr>
            <w:tcW w:w="12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0"/>
              <w:ind w:left="0" w:right="0" w:hanging="0"/>
              <w:jc w:val="center"/>
              <w:rPr/>
            </w:pPr>
            <w:r>
              <w:rPr/>
              <w:t>​</w:t>
            </w:r>
          </w:p>
        </w:tc>
        <w:tc>
          <w:tcPr>
            <w:tcW w:w="4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646" w:type="dxa"/>
            <w:tcBorders/>
            <w:shd w:fill="CCEEFF" w:val="clear"/>
            <w:vAlign w:val="center"/>
          </w:tcPr>
          <w:p>
            <w:pPr>
              <w:pStyle w:val="TableContents"/>
              <w:bidi w:val="0"/>
              <w:spacing w:before="0" w:after="0"/>
              <w:ind w:left="0" w:right="0" w:hanging="0"/>
              <w:jc w:val="right"/>
              <w:rPr/>
            </w:pPr>
            <w:r>
              <w:rPr/>
              <w:t>​</w:t>
            </w:r>
          </w:p>
        </w:tc>
        <w:tc>
          <w:tcPr>
            <w:tcW w:w="4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646" w:type="dxa"/>
            <w:tcBorders/>
            <w:vAlign w:val="center"/>
          </w:tcPr>
          <w:p>
            <w:pPr>
              <w:pStyle w:val="TableContents"/>
              <w:bidi w:val="0"/>
              <w:spacing w:before="0" w:after="0"/>
              <w:ind w:left="0" w:right="0" w:hanging="0"/>
              <w:jc w:val="right"/>
              <w:rPr/>
            </w:pPr>
            <w:r>
              <w:rPr/>
              <w:t> </w:t>
            </w:r>
          </w:p>
        </w:tc>
        <w:tc>
          <w:tcPr>
            <w:tcW w:w="418"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4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46" w:type="dxa"/>
            <w:tcBorders/>
            <w:shd w:fill="CCEEFF" w:val="clear"/>
            <w:vAlign w:val="center"/>
          </w:tcPr>
          <w:p>
            <w:pPr>
              <w:pStyle w:val="TableContents"/>
              <w:bidi w:val="0"/>
              <w:spacing w:before="0" w:after="0"/>
              <w:ind w:left="0" w:right="0" w:hanging="0"/>
              <w:jc w:val="right"/>
              <w:rPr/>
            </w:pPr>
            <w:r>
              <w:rPr/>
              <w:t> </w:t>
            </w:r>
          </w:p>
        </w:tc>
        <w:tc>
          <w:tcPr>
            <w:tcW w:w="4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0"/>
              <w:ind w:left="0" w:right="0" w:hanging="0"/>
              <w:jc w:val="left"/>
              <w:rPr/>
            </w:pPr>
            <w:r>
              <w:rPr/>
              <w:t>​</w:t>
            </w:r>
          </w:p>
        </w:tc>
        <w:tc>
          <w:tcPr>
            <w:tcW w:w="4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646" w:type="dxa"/>
            <w:tcBorders/>
            <w:vAlign w:val="center"/>
          </w:tcPr>
          <w:p>
            <w:pPr>
              <w:pStyle w:val="TableContents"/>
              <w:bidi w:val="0"/>
              <w:spacing w:before="0" w:after="0"/>
              <w:ind w:left="0" w:right="0" w:hanging="0"/>
              <w:jc w:val="right"/>
              <w:rPr/>
            </w:pPr>
            <w:r>
              <w:rPr/>
              <w:t>​</w:t>
            </w:r>
          </w:p>
        </w:tc>
        <w:tc>
          <w:tcPr>
            <w:tcW w:w="4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Other income resulting from the change in fair value of the warrant liability was $0.3 million for the nine months ended September 30, 2025, consistent with $0.4 million for the nine months ended September 30, 2024. As of September 30, 2025, the 2023 Warrants were fully exercised, eliminating the related warrant liability.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Net interest income for the nine months ended September 30, 2025 was $59,000, as we earned $353,000 in interest income from our money market account, partially offset by $294,000 in interest expense from a short-term loan. Interest income for the nine months ended September 30, 2024 was $219,000 from interest earned on our money market account, offset by $4,000 in interest expense.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 xml:space="preserve">Net Loss. </w:t>
      </w:r>
      <w:r>
        <w:rPr>
          <w:rFonts w:ascii="Times New Roman;Times;serif" w:hAnsi="Times New Roman;Times;serif"/>
          <w:sz w:val="20"/>
        </w:rPr>
        <w:t>As a result of the above, net loss for the nine months ended September 30, 2025 was $8.3 million as compared to $14.3 million for the nine months ended September 30, 2024.</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ATM Offering Program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June 21, 2024, we entered into the At the Market Offering Agreement with H.C. Wainwright &amp; Co., LLC, as sales agent, pursuant to which we could issue and sell of up to $3.45 million in shares of our common stock (as amended to date, the “ATM Program”). During the year ended December 31, 2024, we sold 228,392 shares of our common stock under the ATM Program for net proceeds of approximately $3.1 million (net of commissions and other related offering expenses of approximately $0.3 million).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Among other adjustments since June 2024, on February 13, 2025, the Company filed a prospectus supplement for the issuance and sale of an additional $80.0 million in shares of common stock under the ATM Program, which ATM capacity was subsequently reduced to up to $70.0 million in shares of common stock on September 10, 2025. During the three months ended September 30, 2025, we sold 232,989 shares of our common stock under the ATM Program for net proceeds of approximately $2.4 million (net of commissions and other related offering expenses of approximately $0.1 million). During the nine months ended September 30, 2025, we sold 1,082,875 shares of our common stock under the ATM Program for net proceeds of approximately $18.2 million (net of commissions and other related offering expenses of approximately $1.2 million). As of September 30, 2025, approximately $64.7 million in shares of common stock remained available for issuance under the ATM Program, subject to availability of authorized shares.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2025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10, 2025, we entered into a securities purchase agreement with an institutional investor (the “Investor”), providing for the issuance and sale, in a registered direct offering (the “2025 Offering”), of (i) 120,000 shares of our common stock, (ii) pre-funded warrants to purchase up to 465,347 shares of common stock (the “2025 Pre-Funded Warrants”), and (iii) warrants to purchase up to an aggregate of 585,347 shares of common stock (the “2025 Warrants”). Each share of common stock and 2025 Pre-Funded Warrant is being offered and sold together with an accompanying 2025 Warrant at a combined price of $7.92 per share of common stock or 2025 Pre-Funded Warrant and accompanying Warrant, as applicable. Each 2025 Pre-Funded Warrant and 2025 Warrant is exercisable at any time on or after the date of issuance to purchase one share of common stock at a price of either $0.00001 per share, in the case of the 2025 Pre-Funded Warrants, or $7.79 per share, in the case of the 2025 Warrants. The 2025 Pre-Funded Warrants expire when they are exercised in full and the 2025 Warrants expire five years from the date of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2025 Offering closed on September 11, 2025. We received net proceeds of approximately $4.1 million from the 2025 Offering, after deducting placement agent fees and estimated offering expenses.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pursuant to the Engagement Letter, dated as of July 9, 2024, as amended on December 20, 2024 and August 20, 2025 (the “Original Engagement Letter”), between the Company and H.C. Wainwright &amp; Co., LLC (“Wainwright”), and the Engagement Letter Joinder Agreement, dated as of September 10, 2025 (the “Joinder Agreement” and, together with the Original Engagement Letter, the “Engagement Letter”), by and among Energous, Wainwright and Rodman &amp; Renshaw LLC (“Rodman &amp; Renshaw” and, together with Wainwright, the “Placement Agents”), Energous, in connection with the closing of the 2025 Offering, agreed to issue to the Placement Agents or their respective designees warrants (the “Registered Direct Offering Placement Agent Warrants”) to purchase up to an aggregate of 40,974 shares of common stock. The Registered Direct Offering Placement Agent Warrants have substantially the same terms as the 2025 Warrants, except the Registered Direct Offering Placement Agent Warrants are exercisable at any time on or after the date of issuance to purchase one share of common stock at a price of $9.90 per share and the Registered Direct Offering Placement Agent Warrants expire on September 10, 2030.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10, 2025, in connection with the 2025 Offering, we entered into a letter agreement (the “Letter Agreement”) with the Investor for the immediate exercise of certain of our 2023 Warrants and 2024 Warrants to purchase an aggregate of 47,764 shares of common stock and having exercise prices of $6.7595 and $55.20 per share, respectively (the “Concurrent Warrant Exercise Transaction”). The 2023 Warrants were exercised at the exercise price of $6.8845 and the 2024 Warrants were exercised at a reduced exercise price of $7.92 per share for aggregate gross proceeds to the Company of approximately $364,000.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consideration for the exercise of the 2023 Warrants and 2024 Warrants for cash, we issued new unregistered warrants (the “New Warrants”) to purchase up to an aggregate of 47,764 shares of common stock at an exercise price of $7.79 per share (the “New Warrant Shares”). The New Warrants are exercisable immediately upon issuance and will expire five years following the initial issuance date. Except as described herein, the New Warrants are substantially similar to the Original Warrants. The closing of the Concurrent Warrant Exercise Transaction occurred on September 11,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Also pursuant to the Engagement Letter, Energous, in connection with the closing of the Concurrent Warrant Exercise Transaction, agreed to issue to the Placement Agents or their respective designees warrants (the “Concurrent Warrant Exercise Transaction Placement Agent Warrants”) to purchase up to an aggregate of 3,343 shares of Common Stock. The Concurrent Warrant Exercise Transaction Placement Agent Warrants have substantially the same terms as the New Warrants, except the Concurrent Warrant Exercise Transaction Placement Agent Warrants are immediately exercisable to purchase one share of common stock at a price of $9.90 per share and the Concurrent Warrant Exercise Transaction Placement Agent Warrants expire on September 10, 2030.</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Agile Subordinated Loan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Effective October 1, 2024, we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“Original Term Loan”). Principal and interest on the Original Term Loan in the aggregate amount of $756,000 was to be repaid in weekly payments of $27,000 commencing on October 14, 2024 and fully repaid on or before the maturity date of April 21, 2025.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Effective November 5, 2024, we entered into an amended subordinated business loan agreement with the Lender (the “Amended Loan Agreement”) to refinance the Original Term Loan. The Amended Loan Agreement provided for a new term loan of $997,000, with the ability to receive additional term loans of up to $1.6 million, subject to certain conditions (such new loans, the “New Term Loan”). Principal and interest on the New Term Loan in the aggregate amount of $1,415,740 was repaid in weekly payments of approximately $39,000 and was fully repaid before the maturity date of July 17, 2025 on July 7, 2025. The proceeds of the New Term Loan were used to repay in full the Original Term Loan, which had a settlement value of $648,000 on November 5, 2024. The New Term Loan was expressly subordinated to our obligations on certain senior indebtedness of the Company as provided in the Amended Loan Agreement.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July 7, 2025, we paid off all outstanding amounts owed to the Lender. There are no further obligations under the Amended Loan Agreement. As of September 30, 2025, no balance was owed under the “Amended Loan Agreement.”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2025 and 2024, we recorded revenue of $2.6 million and $0.3 million, respectively. We incurred net losses of $8.3 million and $14.3 million for the nine months ended September 30, 2025 and 2024, respectively. Net cash used in operating activities was $10.0 million and $14.9 million for the nine months ended September 30, 2025 and 2024, respectively. As of September 30, 2025, we had cash and cash equivalents of $12.9 million. We are currently meeting our liquidity requirements through the proceeds of the ATM Program (as defined above) that raised net proceeds of $18.2 million during the nine months ended September 30, 2025, a sale of stock, pre-funded warrants and warrants that raised net proceeds of $4.1 million during the nine months ended September 30, 2025 and the exercises of 2023 Warrants and 2024 warrants that raised net proceeds of $0.4 million during the nine months ended September 30,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As we gain traction in the market with our new technology and continue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Accordingly, we expect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 If we are unsuccessful in implementing this plan, we will be required to make further cost and expense reductions or modifications to our on-going operations and strategic plans.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Based on current operating levels and further cost reductions implemented during the first nine months of 2025, the Company believes it has sufficient cash on hand and access to capital to fund operations for the next 12 months.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Operating Activities - </w:t>
      </w:r>
      <w:r>
        <w:rPr>
          <w:rFonts w:ascii="Times New Roman;Times;serif" w:hAnsi="Times New Roman;Times;serif"/>
          <w:sz w:val="20"/>
        </w:rPr>
        <w:t>During the nine months ended September 30, 2025, cash flows used in operating activities were $10.0 million, consisting of a net loss of $8.3 million, less adjustments to reconcile net loss to net cash used in operating activities aggregating $0.2 million (principally stock-based compensation of $0.2 million, depreciation and amortization of $0.1 million and accrued interest and amortization of short-term loan financing fees of approximately $0.1 million, partially offset by a change in fair value of warrant liability of $0.3 million), a $1.2 million increase in accounts receivable, a $0.7 million increase in inventory, a $0.6 million decrease in accounts payable and a $0.4 million decrease in operating lease liabilities, partially offset by a $0.5 million decrease in right-of-use assets, a $0.4 million increase in accrued expenses and a $0.1 million decrease in prepaid expenses and other current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2024, cash flows used in operating activities were $14.9 million, consisting of a net loss of $14.3 million, less adjustments to reconcile net loss to net cash used in operating activities aggregating $0.4 million (principally stock-based compensation of $0.7 million and depreciation and amortization of $0.1 million, partially offset by a change in fair value of warrant liability of $0.4 million), a $0.3 million decrease in accounts payable, a $0.3 million decrease in accrued expenses, a $0.3 million increase in inventory and a $0.1 million decrease in accrued severance.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Investing Activities - </w:t>
      </w:r>
      <w:r>
        <w:rPr>
          <w:rFonts w:ascii="Times New Roman;Times;serif" w:hAnsi="Times New Roman;Times;serif"/>
          <w:sz w:val="20"/>
        </w:rPr>
        <w:t>During the nine months ended September 30, 2025 and 2024, cash flows used in investing activities were $43,000 and $0.1 million, respectively. A small amount of hardware and equipment was purchased during each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Financing Activities - </w:t>
      </w:r>
      <w:r>
        <w:rPr>
          <w:rFonts w:ascii="Times New Roman;Times;serif" w:hAnsi="Times New Roman;Times;serif"/>
          <w:sz w:val="20"/>
        </w:rPr>
        <w:t>During the nine months ended September 30, 2025, cash flows provided by financing activities were $21.6 million, which primarily consisted of $18.2 million in net proceeds from the sale of shares of our common stock under the ATM Program, $4.1 million in net proceeds from the sale of stock, pre-funded warrants and warrants and $0.4 million in proceeds from warrant exercises, partially offset by $0.9 million in repayments of a short-term loan and $0.2 million in repayments of financed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2024, cash flows provided by financing activities were $2.5 million, which primarily consisted of $1.8 million in net proceeds from a registered direct offering that included the sale of common stock, pre-funded warrants and warrants and $0.8 million in net proceeds from the sale of shares of our common stock under the ATM Program.</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20" w:name="Item3QuantitativeandQualitativeDisclosur"/>
      <w:bookmarkStart w:id="1021" w:name="_42884723_d6c9_43cf_a5c6_e5f644867a06"/>
      <w:bookmarkEnd w:id="1020"/>
      <w:bookmarkEnd w:id="1021"/>
      <w:r>
        <w:rPr>
          <w:rFonts w:ascii="Times New Roman;Times;serif" w:hAnsi="Times New Roman;Times;serif"/>
          <w:b/>
          <w:sz w:val="20"/>
        </w:rPr>
        <w:t>Item 3. Quantitative and Qualitative Disclosure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smaller reporting company, we are not required to provide this information.</w:t>
      </w:r>
    </w:p>
    <w:p>
      <w:pPr>
        <w:pStyle w:val="TextBody"/>
        <w:bidi w:val="0"/>
        <w:spacing w:before="0" w:after="240"/>
        <w:ind w:left="0" w:right="0" w:hanging="0"/>
        <w:jc w:val="left"/>
        <w:rPr>
          <w:rFonts w:ascii="Times New Roman;Times;serif" w:hAnsi="Times New Roman;Times;serif"/>
          <w:b/>
          <w:sz w:val="20"/>
        </w:rPr>
      </w:pPr>
      <w:bookmarkStart w:id="1022" w:name="Item4ControlsandProcedures_905555"/>
      <w:bookmarkStart w:id="1023" w:name="_de2ca565_2923_45d8_9368_1b17adda9bb9"/>
      <w:bookmarkEnd w:id="1022"/>
      <w:bookmarkEnd w:id="102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established disclosure controls and procedures to ensure that material information relating to us is made known to the officers who certify our financial reports and the Board. Under the supervision and with the participation of our management, including our principal executive officer and principal financial officer, we conducted an evaluation of our disclosure controls and procedures as such term is defined under Rule 13a-15(e) and 15d-15(e) under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 evaluation, our principal executive officer and principal financial officer concluded that these disclosure controls and procedures were effective as of September 30, 2025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interim principal executive officer and principal financial officer, as appropriate to allow timely decisions regarding required disclosures.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2025, there were no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4" w:name="PARTIIOTHERINFORMATION_171956"/>
      <w:bookmarkStart w:id="1025" w:name="_3a3f9204_a283_46c8_b268_cebd0d26d3f9"/>
      <w:bookmarkEnd w:id="1024"/>
      <w:bookmarkEnd w:id="1025"/>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26" w:name="Item1LegalProceedings_899286"/>
      <w:bookmarkEnd w:id="1026"/>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be subject to claims and legal actions arising in the ordinary course of business from time to time. We are not currently party to any pending legal proceedings that we believe will have a material adverse effect on our business, financial condition or cash flow.</w:t>
      </w:r>
    </w:p>
    <w:p>
      <w:pPr>
        <w:pStyle w:val="TextBody"/>
        <w:bidi w:val="0"/>
        <w:spacing w:before="0" w:after="240"/>
        <w:ind w:left="0" w:right="0" w:hanging="0"/>
        <w:jc w:val="left"/>
        <w:rPr>
          <w:rFonts w:ascii="Times New Roman;Times;serif" w:hAnsi="Times New Roman;Times;serif"/>
          <w:b/>
          <w:sz w:val="20"/>
        </w:rPr>
      </w:pPr>
      <w:bookmarkStart w:id="1027" w:name="Item1ARiskFactors_566555"/>
      <w:bookmarkStart w:id="1028" w:name="_4c9b41b7_1829_4226_b5d0_a6311b423d91"/>
      <w:bookmarkEnd w:id="1027"/>
      <w:bookmarkEnd w:id="1028"/>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future performance is subject to a variety of risks and uncertainties that could materially and adversely affect our business, financial condition, results of operations, and the trading price of our common stock. These risks and uncertainties are described in Part I, Item 1A. “Risk Factors” in our Annual Report on Form 10-K for the year ended December 31, 2024. There have been no material changes to these risks and uncertainties described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bookmarkStart w:id="1029" w:name="Item2UnregisteredSalesofEquitySecurities"/>
      <w:bookmarkStart w:id="1030" w:name="_f03388e8_f950_44f2_9be9_f251d8b3c159"/>
      <w:bookmarkEnd w:id="1029"/>
      <w:bookmarkEnd w:id="1030"/>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31" w:name="Item3DefaultsUponSeniorSecurities_774055"/>
      <w:bookmarkStart w:id="1032" w:name="_789eb8ea_2f14_421a_bae7_eafd9d458ce3"/>
      <w:bookmarkEnd w:id="1031"/>
      <w:bookmarkEnd w:id="1032"/>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33" w:name="Item4MineSafetyDisclosures_549213"/>
      <w:bookmarkStart w:id="1034" w:name="_62f750b5_8ab9_4e56_a22d_6d4933c81fb3"/>
      <w:bookmarkEnd w:id="1033"/>
      <w:bookmarkEnd w:id="1034"/>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35" w:name="Item5OtherInformation_27695"/>
      <w:bookmarkStart w:id="1036" w:name="_f7d70ee5_136c_483d_a9bd_e7cc74c60f00"/>
      <w:bookmarkEnd w:id="1035"/>
      <w:bookmarkEnd w:id="1036"/>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2025, no director or officer of the Company adopted or terminated a “Rule 10b5-1 trading arrangement” or non-Rule 10b5-1 trading arrangement,” as each term is defined in Item 408(a) of Regulation S-K.</w:t>
      </w:r>
    </w:p>
    <w:p>
      <w:pPr>
        <w:pStyle w:val="TextBody"/>
        <w:bidi w:val="0"/>
        <w:spacing w:before="0" w:after="240"/>
        <w:ind w:left="0" w:right="0" w:hanging="0"/>
        <w:jc w:val="left"/>
        <w:rPr>
          <w:rFonts w:ascii="Times New Roman;Times;serif" w:hAnsi="Times New Roman;Times;serif"/>
          <w:b/>
          <w:sz w:val="20"/>
        </w:rPr>
      </w:pPr>
      <w:bookmarkStart w:id="1037" w:name="Item6Exhibits_285226"/>
      <w:bookmarkStart w:id="1038" w:name="_56b5c871_3262_4841_b27d_7a038456e3c5"/>
      <w:bookmarkEnd w:id="1037"/>
      <w:bookmarkEnd w:id="1038"/>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are filed, furnished or incorporated by reference as a part of this Quarterly Report on Form 10-Q:</w:t>
      </w:r>
    </w:p>
    <w:tbl>
      <w:tblPr>
        <w:tblW w:w="10599" w:type="dxa"/>
        <w:jc w:val="left"/>
        <w:tblInd w:w="0" w:type="dxa"/>
        <w:tblLayout w:type="fixed"/>
        <w:tblCellMar>
          <w:top w:w="0" w:type="dxa"/>
          <w:left w:w="0" w:type="dxa"/>
          <w:bottom w:w="0" w:type="dxa"/>
          <w:right w:w="0" w:type="dxa"/>
        </w:tblCellMar>
      </w:tblPr>
      <w:tblGrid>
        <w:gridCol w:w="706"/>
        <w:gridCol w:w="326"/>
        <w:gridCol w:w="9376"/>
        <w:gridCol w:w="191"/>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48310" cy="175260"/>
                      <wp:effectExtent l="0" t="0" r="0" b="0"/>
                      <wp:wrapNone/>
                      <wp:docPr id="380" name="Frame37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953760" cy="175260"/>
                      <wp:effectExtent l="0" t="0" r="0" b="0"/>
                      <wp:wrapNone/>
                      <wp:docPr id="382" name="Frame381"/>
                      <a:graphic xmlns:a="http://schemas.openxmlformats.org/drawingml/2006/main">
                        <a:graphicData uri="http://schemas.microsoft.com/office/word/2010/wordprocessingShape">
                          <wps:wsp>
                            <wps:cNvSpPr txBox="1"/>
                            <wps:spPr>
                              <a:xfrm>
                                <a:off x="0" y="0"/>
                                <a:ext cx="595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21285" cy="175260"/>
                      <wp:effectExtent l="0" t="0" r="0" b="0"/>
                      <wp:wrapNone/>
                      <wp:docPr id="383" name="Frame38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br/>
            </w:r>
            <w:r>
              <w:rPr>
                <w:rFonts w:ascii="Times New Roman;Times;serif" w:hAnsi="Times New Roman;Times;serif"/>
                <w:b/>
                <w:sz w:val="16"/>
              </w:rPr>
              <w:t>Number</w:t>
            </w:r>
          </w:p>
        </w:tc>
        <w:tc>
          <w:tcPr>
            <w:tcW w:w="3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937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70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7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Certificate of Incorporation of Energous Corporation, as amended (incorporated by reference to Exhibit 3.1 to the Quarterly Report on Form 10-Q filed on August 10, 2020).</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Second Amended and Restated Certificate of Incorporation of Energous Corporation (incorporated by reference to Exhibit 3.1 to the Current Report on Form 8-K filed on August 15, 2023).</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the Second Amended and Restated Certificate of Incorporation of Energous Corporation (incorporated by reference to Exhibit 3.1 to the Current Report on Form 8-K filed on August 11, 2025).</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Second Amended and Restated Bylaws of Energous Corporation (incorporated by reference to Exhibit 3.1 to the Current Report on Form 8-K filed on April 11, 2025).</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2025 Pre-Funded Common Stock Purchase Warrant (incorporated by reference to Exhibit 4.1 to the Current Report on Form 8-K filed on September 11, 2025).</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2025 Common Stock Purchase Warrant (incorporated by reference to Exhibit 4.2 to the Current Report on Form 8-K filed on September 11, 2025).</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2"/>
        <w:gridCol w:w="109"/>
        <w:gridCol w:w="9169"/>
        <w:gridCol w:w="155"/>
      </w:tblGrid>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2025 Offering Placement Agent Common Stock Purchase Warrant (incorporated by reference to Exhibit 4.3 to the Current Report on Form 8-K filed on September 11, 2025).</w:t>
              </w:r>
            </w:hyperlink>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2025 Warrant Inducement Common Stock Purchase Warrant (incorporated by reference to Exhibit 4.4 to the Current Report on Form 8-K filed on September 11, 2025).</w:t>
              </w:r>
            </w:hyperlink>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Warrant Inducement Placement Agent Common Stock Purchase Warrant (incorporated by reference to Exhibit 4.5 to the Current Report on Form 8-K filed on September 11, 2025).</w:t>
              </w:r>
            </w:hyperlink>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Energous Corporation Amended and Restated 2024 Equity Incentive Plan (incorporated by reference to Exhibit 10.1 to the Current Report on Form 8-K filed on June 13, 2025).</w:t>
              </w:r>
            </w:hyperlink>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Securities Purchase Agreement (incorporated by reference to Exhibit 10.1 to the Current Report on Form 8-K filed on September 11, 2025).</w:t>
              </w:r>
            </w:hyperlink>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Letter Agreement for Warrant Inducement (incorporated by reference to Exhibit 10.2 to the Current Report on Form 8-K filed on September 11, 2025).</w:t>
              </w:r>
            </w:hyperlink>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hyperlink w:anchor="watt-20250930xex31d1.htm">
              <w:r>
                <w:rPr>
                  <w:rStyle w:val="InternetLink"/>
                  <w:rFonts w:ascii="Times New Roman;Times;serif" w:hAnsi="Times New Roman;Times;serif"/>
                  <w:b w:val="false"/>
                  <w:i w:val="false"/>
                  <w:caps w:val="false"/>
                  <w:smallCaps w:val="false"/>
                  <w:sz w:val="20"/>
                </w:rPr>
                <w:t>Certification Pursuant to Rule 13a-14(a) or Rule 15d-14(a) of the Securities Exchange Act of 1934.</w:t>
              </w:r>
            </w:hyperlink>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hyperlink w:anchor="watt-20250930xex32d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7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contained in Exhibit 101).</w:t>
            </w:r>
          </w:p>
        </w:tc>
        <w:tc>
          <w:tcPr>
            <w:tcW w:w="155" w:type="dxa"/>
            <w:tcBorders/>
            <w:vAlign w:val="center"/>
          </w:tcPr>
          <w:p>
            <w:pPr>
              <w:pStyle w:val="TableContents"/>
              <w:bidi w:val="0"/>
              <w:spacing w:before="0" w:after="0"/>
              <w:ind w:left="0" w:right="0" w:hanging="0"/>
              <w:jc w:val="left"/>
              <w:rPr/>
            </w:pPr>
            <w:r>
              <w:rPr/>
              <w:t>​</w:t>
            </w:r>
          </w:p>
        </w:tc>
      </w:tr>
    </w:tbl>
    <w:tbl>
      <w:tblPr>
        <w:tblW w:w="1607" w:type="dxa"/>
        <w:jc w:val="left"/>
        <w:tblInd w:w="0" w:type="dxa"/>
        <w:tblLayout w:type="fixed"/>
        <w:tblCellMar>
          <w:top w:w="0" w:type="dxa"/>
          <w:left w:w="0" w:type="dxa"/>
          <w:bottom w:w="0" w:type="dxa"/>
          <w:right w:w="0" w:type="dxa"/>
        </w:tblCellMar>
      </w:tblPr>
      <w:tblGrid>
        <w:gridCol w:w="241"/>
        <w:gridCol w:w="1366"/>
      </w:tblGrid>
      <w:tr>
        <w:trPr/>
        <w:tc>
          <w:tcPr>
            <w:tcW w:w="241" w:type="dxa"/>
            <w:tcBorders/>
            <w:vAlign w:val="center"/>
          </w:tcPr>
          <w:p>
            <w:pPr>
              <w:pStyle w:val="TableContents"/>
              <w:bidi w:val="0"/>
              <w:spacing w:before="0" w:after="240"/>
              <w:jc w:val="left"/>
              <w:rPr/>
            </w:pPr>
            <w:r>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1982" w:type="dxa"/>
        <w:jc w:val="left"/>
        <w:tblInd w:w="0" w:type="dxa"/>
        <w:tblLayout w:type="fixed"/>
        <w:tblCellMar>
          <w:top w:w="0" w:type="dxa"/>
          <w:left w:w="0" w:type="dxa"/>
          <w:bottom w:w="0" w:type="dxa"/>
          <w:right w:w="0" w:type="dxa"/>
        </w:tblCellMar>
      </w:tblPr>
      <w:tblGrid>
        <w:gridCol w:w="226"/>
        <w:gridCol w:w="175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39" w:name="_b126a41d_b6cc_4c4c_a9f8_0aac8bc64f01"/>
      <w:bookmarkEnd w:id="1039"/>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564" w:type="dxa"/>
        <w:jc w:val="left"/>
        <w:tblInd w:w="0" w:type="dxa"/>
        <w:tblLayout w:type="fixed"/>
        <w:tblCellMar>
          <w:top w:w="0" w:type="dxa"/>
          <w:left w:w="0" w:type="dxa"/>
          <w:bottom w:w="0" w:type="dxa"/>
          <w:right w:w="0" w:type="dxa"/>
        </w:tblCellMar>
      </w:tblPr>
      <w:tblGrid>
        <w:gridCol w:w="2206"/>
        <w:gridCol w:w="203"/>
        <w:gridCol w:w="203"/>
        <w:gridCol w:w="631"/>
        <w:gridCol w:w="4321"/>
      </w:tblGrid>
      <w:tr>
        <w:trPr/>
        <w:tc>
          <w:tcPr>
            <w:tcW w:w="220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00685" cy="175260"/>
                      <wp:effectExtent l="0" t="0" r="0" b="0"/>
                      <wp:wrapNone/>
                      <wp:docPr id="384" name="Frame38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743835" cy="175260"/>
                      <wp:effectExtent l="0" t="0" r="0" b="0"/>
                      <wp:wrapNone/>
                      <wp:docPr id="385" name="Frame384"/>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ENERGOUS CORPORATION</w:t>
            </w:r>
          </w:p>
        </w:tc>
      </w:tr>
      <w:tr>
        <w:trPr/>
        <w:tc>
          <w:tcPr>
            <w:tcW w:w="2206"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206"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2025</w:t>
            </w:r>
          </w:p>
        </w:tc>
        <w:tc>
          <w:tcPr>
            <w:tcW w:w="40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5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r>
      <w:tr>
        <w:trPr/>
        <w:tc>
          <w:tcPr>
            <w:tcW w:w="2206"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r>
      <w:tr>
        <w:trPr/>
        <w:tc>
          <w:tcPr>
            <w:tcW w:w="2206"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Executive Officer, Principal Financial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bookmarkStart w:id="1040" w:name="watt-20250930xex31d1.htm"/>
      <w:bookmarkStart w:id="1041" w:name="kswatt20250930xex31d1"/>
      <w:bookmarkEnd w:id="1040"/>
      <w:bookmarkEnd w:id="104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Mallorie Burak, certify that:</w:t>
      </w:r>
    </w:p>
    <w:tbl>
      <w:tblPr>
        <w:tblW w:w="6528" w:type="dxa"/>
        <w:jc w:val="left"/>
        <w:tblInd w:w="0" w:type="dxa"/>
        <w:tblLayout w:type="fixed"/>
        <w:tblCellMar>
          <w:top w:w="0" w:type="dxa"/>
          <w:left w:w="0" w:type="dxa"/>
          <w:bottom w:w="0" w:type="dxa"/>
          <w:right w:w="0" w:type="dxa"/>
        </w:tblCellMar>
      </w:tblPr>
      <w:tblGrid>
        <w:gridCol w:w="23"/>
        <w:gridCol w:w="17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Energous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8196" w:type="dxa"/>
        <w:jc w:val="left"/>
        <w:tblInd w:w="0" w:type="dxa"/>
        <w:tblLayout w:type="fixed"/>
        <w:tblCellMar>
          <w:top w:w="0" w:type="dxa"/>
          <w:left w:w="0" w:type="dxa"/>
          <w:bottom w:w="0" w:type="dxa"/>
          <w:right w:w="0" w:type="dxa"/>
        </w:tblCellMar>
      </w:tblPr>
      <w:tblGrid>
        <w:gridCol w:w="646"/>
        <w:gridCol w:w="739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10210" cy="29210"/>
                      <wp:effectExtent l="0" t="0" r="0" b="0"/>
                      <wp:wrapNone/>
                      <wp:docPr id="386" name="Frame385"/>
                      <a:graphic xmlns:a="http://schemas.openxmlformats.org/drawingml/2006/main">
                        <a:graphicData uri="http://schemas.microsoft.com/office/word/2010/wordprocessingShape">
                          <wps:wsp>
                            <wps:cNvSpPr txBox="1"/>
                            <wps:spPr>
                              <a:xfrm>
                                <a:off x="0" y="0"/>
                                <a:ext cx="41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696460" cy="29210"/>
                      <wp:effectExtent l="0" t="0" r="0" b="0"/>
                      <wp:wrapNone/>
                      <wp:docPr id="387" name="Frame386"/>
                      <a:graphic xmlns:a="http://schemas.openxmlformats.org/drawingml/2006/main">
                        <a:graphicData uri="http://schemas.microsoft.com/office/word/2010/wordprocessingShape">
                          <wps:wsp>
                            <wps:cNvSpPr txBox="1"/>
                            <wps:spPr>
                              <a:xfrm>
                                <a:off x="0" y="0"/>
                                <a:ext cx="4696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97790" cy="175260"/>
                      <wp:effectExtent l="0" t="0" r="0" b="0"/>
                      <wp:wrapNone/>
                      <wp:docPr id="388" name="Frame38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4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November 13, 2025</w:t>
            </w:r>
          </w:p>
        </w:tc>
        <w:tc>
          <w:tcPr>
            <w:tcW w:w="154" w:type="dxa"/>
            <w:tcBorders/>
            <w:vAlign w:val="center"/>
          </w:tcPr>
          <w:p>
            <w:pPr>
              <w:pStyle w:val="TableContents"/>
              <w:bidi w:val="0"/>
              <w:spacing w:before="0" w:after="0"/>
              <w:ind w:left="0" w:right="0" w:hanging="0"/>
              <w:jc w:val="both"/>
              <w:rPr/>
            </w:pPr>
            <w:r>
              <w:rPr/>
              <w:t>​</w:t>
            </w:r>
          </w:p>
        </w:tc>
      </w:tr>
      <w:tr>
        <w:trPr/>
        <w:tc>
          <w:tcPr>
            <w:tcW w:w="804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804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Mallorie Burak</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739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Mallorie Burak</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7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 Chief Financial Officer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pBdr/>
              <w:bidi w:val="0"/>
              <w:spacing w:before="0" w:after="0"/>
              <w:ind w:left="0" w:right="0" w:hanging="0"/>
              <w:jc w:val="both"/>
              <w:rPr/>
            </w:pPr>
            <w:r>
              <w:rPr/>
              <w:t>​</w:t>
            </w:r>
          </w:p>
        </w:tc>
        <w:tc>
          <w:tcPr>
            <w:tcW w:w="7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 Principal Financial Officer and Principal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2" w:name="watt-20250930xex32d1.htm"/>
      <w:bookmarkStart w:id="1043" w:name="kswatt20250930xex32d1"/>
      <w:bookmarkEnd w:id="1042"/>
      <w:bookmarkEnd w:id="1043"/>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Energous Corporation (the “Company”) on Form 10-Q for the period ended September 30, 2025 as filed with the Securities and Exchange Commission on the date hereof (the “Report”), I, Mallorie Burak, Chief Executive Officer and Chief Financial Officer, certify, pursuant to 18 U.S.C. § 1350, as adopted pursuant to § 906 of the Sarbanes-Oxley Act of 2002, that:</w:t>
      </w:r>
    </w:p>
    <w:tbl>
      <w:tblPr>
        <w:tblW w:w="9753" w:type="dxa"/>
        <w:jc w:val="left"/>
        <w:tblInd w:w="0" w:type="dxa"/>
        <w:tblLayout w:type="fixed"/>
        <w:tblCellMar>
          <w:top w:w="0" w:type="dxa"/>
          <w:left w:w="0" w:type="dxa"/>
          <w:bottom w:w="0" w:type="dxa"/>
          <w:right w:w="0" w:type="dxa"/>
        </w:tblCellMar>
      </w:tblPr>
      <w:tblGrid>
        <w:gridCol w:w="23"/>
        <w:gridCol w:w="170"/>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Energous Corporation and will be retained by Energous Corporation and furnished to the Securities and Exchange Commission or its staff upon request.</w:t>
      </w:r>
    </w:p>
    <w:p>
      <w:pPr>
        <w:pStyle w:val="TextBody"/>
        <w:bidi w:val="0"/>
        <w:spacing w:before="0" w:after="0"/>
        <w:ind w:left="0" w:right="0" w:hanging="0"/>
        <w:jc w:val="center"/>
        <w:rPr/>
      </w:pPr>
      <w:r>
        <w:rPr/>
        <w:t>​</w:t>
      </w:r>
    </w:p>
    <w:tbl>
      <w:tblPr>
        <w:tblW w:w="8196" w:type="dxa"/>
        <w:jc w:val="left"/>
        <w:tblInd w:w="0" w:type="dxa"/>
        <w:tblLayout w:type="fixed"/>
        <w:tblCellMar>
          <w:top w:w="0" w:type="dxa"/>
          <w:left w:w="0" w:type="dxa"/>
          <w:bottom w:w="0" w:type="dxa"/>
          <w:right w:w="0" w:type="dxa"/>
        </w:tblCellMar>
      </w:tblPr>
      <w:tblGrid>
        <w:gridCol w:w="646"/>
        <w:gridCol w:w="739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10210" cy="29210"/>
                      <wp:effectExtent l="0" t="0" r="0" b="0"/>
                      <wp:wrapNone/>
                      <wp:docPr id="389" name="Frame388"/>
                      <a:graphic xmlns:a="http://schemas.openxmlformats.org/drawingml/2006/main">
                        <a:graphicData uri="http://schemas.microsoft.com/office/word/2010/wordprocessingShape">
                          <wps:wsp>
                            <wps:cNvSpPr txBox="1"/>
                            <wps:spPr>
                              <a:xfrm>
                                <a:off x="0" y="0"/>
                                <a:ext cx="41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696460" cy="29210"/>
                      <wp:effectExtent l="0" t="0" r="0" b="0"/>
                      <wp:wrapNone/>
                      <wp:docPr id="390" name="Frame389"/>
                      <a:graphic xmlns:a="http://schemas.openxmlformats.org/drawingml/2006/main">
                        <a:graphicData uri="http://schemas.microsoft.com/office/word/2010/wordprocessingShape">
                          <wps:wsp>
                            <wps:cNvSpPr txBox="1"/>
                            <wps:spPr>
                              <a:xfrm>
                                <a:off x="0" y="0"/>
                                <a:ext cx="4696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7790" cy="175260"/>
                      <wp:effectExtent l="0" t="0" r="0" b="0"/>
                      <wp:wrapNone/>
                      <wp:docPr id="391" name="Frame39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and Chief Financial Officer </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13, 2025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5793/000156459020038993/watt-ex31_26.htm" TargetMode="External"/><Relationship Id="rId4" Type="http://schemas.openxmlformats.org/officeDocument/2006/relationships/hyperlink" Target="https://www.sec.gov/Archives/edgar/data/1575793/000119312523213522/d495019dex31.htm" TargetMode="External"/><Relationship Id="rId5" Type="http://schemas.openxmlformats.org/officeDocument/2006/relationships/hyperlink" Target="https://www.sec.gov/Archives/edgar/data/1575793/000110465925075898/tm2522903d1_3-1.htm" TargetMode="External"/><Relationship Id="rId6" Type="http://schemas.openxmlformats.org/officeDocument/2006/relationships/hyperlink" Target="https://www.sec.gov/Archives/edgar/data/1575793/000110465925034243/tm2511996d1_ex3-1.htm" TargetMode="External"/><Relationship Id="rId7" Type="http://schemas.openxmlformats.org/officeDocument/2006/relationships/hyperlink" Target="https://www.sec.gov/Archives/edgar/data/1575793/000141057825002030/tm2525849d2_ex4-1.htm" TargetMode="External"/><Relationship Id="rId8" Type="http://schemas.openxmlformats.org/officeDocument/2006/relationships/hyperlink" Target="https://www.sec.gov/Archives/edgar/data/1575793/000141057825002030/tm2525849d2_ex4-2.htm" TargetMode="External"/><Relationship Id="rId9" Type="http://schemas.openxmlformats.org/officeDocument/2006/relationships/hyperlink" Target="https://www.sec.gov/Archives/edgar/data/1575793/000141057825002030/tm2525849d2_ex4-3.htm" TargetMode="External"/><Relationship Id="rId10" Type="http://schemas.openxmlformats.org/officeDocument/2006/relationships/hyperlink" Target="https://www.sec.gov/Archives/edgar/data/1575793/000141057825002030/tm2525849d2_ex4-4.htm" TargetMode="External"/><Relationship Id="rId11" Type="http://schemas.openxmlformats.org/officeDocument/2006/relationships/hyperlink" Target="https://www.sec.gov/Archives/edgar/data/1575793/000141057825002030/tm2525849d2_ex4-5.htm" TargetMode="External"/><Relationship Id="rId12" Type="http://schemas.openxmlformats.org/officeDocument/2006/relationships/hyperlink" Target="https://www.sec.gov/Archives/edgar/data/1575793/000110465925059401/tm2517950d1_10-1.htm" TargetMode="External"/><Relationship Id="rId13" Type="http://schemas.openxmlformats.org/officeDocument/2006/relationships/hyperlink" Target="https://www.sec.gov/Archives/edgar/data/1575793/000141057825002030/tm2525849d2_ex10-1.htm" TargetMode="External"/><Relationship Id="rId14" Type="http://schemas.openxmlformats.org/officeDocument/2006/relationships/hyperlink" Target="https://www.sec.gov/Archives/edgar/data/1575793/000141057825002030/tm2525849d2_ex10-2.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20487</Words>
  <Characters>111226</Characters>
  <CharactersWithSpaces>133052</CharactersWithSpaces>
  <Paragraphs>4655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