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80" w:right="160" w:hanging="572"/>
        <w:spacing w:after="0" w:line="237" w:lineRule="auto"/>
        <w:tabs>
          <w:tab w:leader="none" w:pos="5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580" w:right="140" w:hanging="572"/>
        <w:spacing w:after="0" w:line="262" w:lineRule="auto"/>
        <w:tabs>
          <w:tab w:leader="none" w:pos="58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38100</wp:posOffset>
            </wp:positionV>
            <wp:extent cx="11830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001-36379</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ENERGOUS CORPORATION</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308" w:right="339" w:bottom="1440" w:gutter="0" w:footer="0" w:header="0"/>
        </w:sectPr>
      </w:pPr>
    </w:p>
    <w:p>
      <w:pPr>
        <w:spacing w:after="0" w:line="115"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i w:val="1"/>
          <w:iCs w:val="1"/>
          <w:color w:val="auto"/>
        </w:rPr>
        <w:t>(State of incorporation)</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8"/>
          <w:szCs w:val="18"/>
          <w:b w:val="1"/>
          <w:bCs w:val="1"/>
          <w:color w:val="auto"/>
        </w:rPr>
        <w:t>46-1318953</w:t>
      </w:r>
    </w:p>
    <w:p>
      <w:pPr>
        <w:spacing w:after="0" w:line="31"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p>
      <w:pPr>
        <w:spacing w:after="0" w:line="81" w:lineRule="exact"/>
        <w:rPr>
          <w:sz w:val="24"/>
          <w:szCs w:val="24"/>
          <w:color w:val="auto"/>
        </w:rPr>
      </w:pPr>
    </w:p>
    <w:p>
      <w:pPr>
        <w:sectPr>
          <w:pgSz w:w="11900" w:h="16838" w:orient="portrait"/>
          <w:cols w:equalWidth="0" w:num="2">
            <w:col w:w="6480" w:space="720"/>
            <w:col w:w="4040"/>
          </w:cols>
          <w:pgMar w:left="320" w:top="30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3590 North First Street, Suite 210, San Jose, CA 95134</w:t>
      </w:r>
    </w:p>
    <w:p>
      <w:pPr>
        <w:sectPr>
          <w:pgSz w:w="11900" w:h="16838" w:orient="portrait"/>
          <w:cols w:equalWidth="0" w:num="1">
            <w:col w:w="11240"/>
          </w:cols>
          <w:pgMar w:left="320" w:top="308" w:right="339" w:bottom="1440" w:gutter="0" w:footer="0" w:header="0"/>
          <w:type w:val="continuous"/>
        </w:sectPr>
      </w:pPr>
    </w:p>
    <w:p>
      <w:pPr>
        <w:spacing w:after="0" w:line="31"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33" w:lineRule="exact"/>
        <w:rPr>
          <w:sz w:val="24"/>
          <w:szCs w:val="24"/>
          <w:color w:val="auto"/>
        </w:rPr>
      </w:pPr>
    </w:p>
    <w:p>
      <w:pPr>
        <w:sectPr>
          <w:pgSz w:w="11900" w:h="16838" w:orient="portrait"/>
          <w:cols w:equalWidth="0" w:num="2">
            <w:col w:w="6280" w:space="280"/>
            <w:col w:w="4680"/>
          </w:cols>
          <w:pgMar w:left="320" w:top="30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(408) 963-0200</w:t>
      </w:r>
    </w:p>
    <w:p>
      <w:pPr>
        <w:spacing w:after="0" w:line="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p>
      <w:pPr>
        <w:spacing w:after="0" w:line="6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400" w:type="dxa"/>
            <w:vAlign w:val="bottom"/>
            <w:gridSpan w:val="2"/>
            <w:vMerge w:val="continue"/>
          </w:tcPr>
          <w:p>
            <w:pPr>
              <w:spacing w:after="0"/>
              <w:rPr>
                <w:sz w:val="15"/>
                <w:szCs w:val="15"/>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5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$0.00001 par value</w:t>
            </w:r>
          </w:p>
        </w:tc>
        <w:tc>
          <w:tcPr>
            <w:tcW w:w="120" w:type="dxa"/>
            <w:vAlign w:val="bottom"/>
          </w:tcPr>
          <w:p>
            <w:pPr>
              <w:spacing w:after="0"/>
              <w:rPr>
                <w:sz w:val="15"/>
                <w:szCs w:val="15"/>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3"/>
              </w:rPr>
              <w:t>WATT</w:t>
            </w:r>
          </w:p>
        </w:tc>
        <w:tc>
          <w:tcPr>
            <w:tcW w:w="120" w:type="dxa"/>
            <w:vAlign w:val="bottom"/>
          </w:tcPr>
          <w:p>
            <w:pPr>
              <w:spacing w:after="0"/>
              <w:rPr>
                <w:sz w:val="15"/>
                <w:szCs w:val="15"/>
                <w:color w:val="auto"/>
              </w:rPr>
            </w:pPr>
          </w:p>
        </w:tc>
        <w:tc>
          <w:tcPr>
            <w:tcW w:w="5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w:t>
            </w:r>
          </w:p>
        </w:tc>
        <w:tc>
          <w:tcPr>
            <w:tcW w:w="0" w:type="dxa"/>
            <w:vAlign w:val="bottom"/>
          </w:tcPr>
          <w:p>
            <w:pPr>
              <w:spacing w:after="0"/>
              <w:rPr>
                <w:sz w:val="1"/>
                <w:szCs w:val="1"/>
                <w:color w:val="auto"/>
              </w:rPr>
            </w:pPr>
          </w:p>
        </w:tc>
      </w:tr>
    </w:tbl>
    <w:p>
      <w:pPr>
        <w:spacing w:after="0" w:line="17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60"/>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9" w:lineRule="exact"/>
        <w:rPr>
          <w:sz w:val="24"/>
          <w:szCs w:val="24"/>
          <w:color w:val="auto"/>
        </w:rPr>
      </w:pPr>
    </w:p>
    <w:p>
      <w:pPr>
        <w:ind w:right="120" w:firstLine="432"/>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70" w:lineRule="exact"/>
        <w:rPr>
          <w:sz w:val="24"/>
          <w:szCs w:val="24"/>
          <w:color w:val="auto"/>
        </w:rPr>
      </w:pPr>
    </w:p>
    <w:p>
      <w:pPr>
        <w:ind w:right="80" w:firstLine="432"/>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left="440" w:right="1060"/>
        <w:spacing w:after="0" w:line="27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May 11, 2022, there were 77,065,782 shares of our Common Stock, par value $0.00001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8"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ENERGOUS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PART I - FINANCIAL INFORMATION</w:t>
            </w:r>
          </w:p>
        </w:tc>
        <w:tc>
          <w:tcPr>
            <w:tcW w:w="6100" w:type="dxa"/>
            <w:vAlign w:val="bottom"/>
            <w:gridSpan w:val="4"/>
          </w:tcPr>
          <w:p>
            <w:pPr>
              <w:spacing w:after="0"/>
              <w:rPr>
                <w:sz w:val="17"/>
                <w:szCs w:val="17"/>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45"/>
        </w:trPr>
        <w:tc>
          <w:tcPr>
            <w:tcW w:w="5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Item 1.</w:t>
            </w:r>
          </w:p>
        </w:tc>
        <w:tc>
          <w:tcPr>
            <w:tcW w:w="1560" w:type="dxa"/>
            <w:vAlign w:val="bottom"/>
            <w:tcBorders>
              <w:bottom w:val="single" w:sz="8" w:color="0000EE"/>
            </w:tcBorders>
            <w:gridSpan w:val="5"/>
          </w:tcPr>
          <w:p>
            <w:pPr>
              <w:ind w:left="40"/>
              <w:spacing w:after="0"/>
              <w:rPr>
                <w:sz w:val="20"/>
                <w:szCs w:val="20"/>
                <w:color w:val="auto"/>
              </w:rPr>
            </w:pPr>
            <w:r>
              <w:rPr>
                <w:rFonts w:ascii="Times New Roman" w:cs="Times New Roman" w:eastAsia="Times New Roman" w:hAnsi="Times New Roman"/>
                <w:sz w:val="18"/>
                <w:szCs w:val="18"/>
                <w:color w:val="0000EE"/>
                <w:w w:val="99"/>
              </w:rPr>
              <w:t>Financial Statements</w:t>
            </w:r>
          </w:p>
        </w:tc>
        <w:tc>
          <w:tcPr>
            <w:tcW w:w="6940" w:type="dxa"/>
            <w:vAlign w:val="bottom"/>
            <w:gridSpan w:val="9"/>
          </w:tcPr>
          <w:p>
            <w:pPr>
              <w:spacing w:after="0"/>
              <w:rPr>
                <w:sz w:val="24"/>
                <w:szCs w:val="2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4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0000EE"/>
              </w:rPr>
              <w:t>Item 2.</w:t>
            </w:r>
          </w:p>
        </w:tc>
        <w:tc>
          <w:tcPr>
            <w:tcW w:w="8500" w:type="dxa"/>
            <w:vAlign w:val="bottom"/>
            <w:gridSpan w:val="14"/>
          </w:tcPr>
          <w:p>
            <w:pPr>
              <w:ind w:left="40"/>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44"/>
        </w:trPr>
        <w:tc>
          <w:tcPr>
            <w:tcW w:w="56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Item 3.</w:t>
            </w:r>
          </w:p>
        </w:tc>
        <w:tc>
          <w:tcPr>
            <w:tcW w:w="4340" w:type="dxa"/>
            <w:vAlign w:val="bottom"/>
            <w:tcBorders>
              <w:top w:val="single" w:sz="8" w:color="0000EE"/>
              <w:bottom w:val="single" w:sz="8" w:color="0000EE"/>
            </w:tcBorders>
            <w:gridSpan w:val="11"/>
          </w:tcPr>
          <w:p>
            <w:pPr>
              <w:ind w:left="40"/>
              <w:spacing w:after="0"/>
              <w:rPr>
                <w:sz w:val="20"/>
                <w:szCs w:val="20"/>
                <w:color w:val="auto"/>
              </w:rPr>
            </w:pPr>
            <w:r>
              <w:rPr>
                <w:rFonts w:ascii="Times New Roman" w:cs="Times New Roman" w:eastAsia="Times New Roman" w:hAnsi="Times New Roman"/>
                <w:sz w:val="18"/>
                <w:szCs w:val="18"/>
                <w:color w:val="0000EE"/>
                <w:w w:val="99"/>
              </w:rPr>
              <w:t>Quantitative and Qualitative Disclosure About Market Risk</w:t>
            </w:r>
          </w:p>
        </w:tc>
        <w:tc>
          <w:tcPr>
            <w:tcW w:w="2160" w:type="dxa"/>
            <w:vAlign w:val="bottom"/>
            <w:tcBorders>
              <w:top w:val="single" w:sz="8" w:color="0000EE"/>
            </w:tcBorders>
            <w:gridSpan w:val="2"/>
          </w:tcPr>
          <w:p>
            <w:pPr>
              <w:spacing w:after="0"/>
              <w:rPr>
                <w:sz w:val="24"/>
                <w:szCs w:val="24"/>
                <w:color w:val="auto"/>
              </w:rPr>
            </w:pPr>
          </w:p>
        </w:tc>
        <w:tc>
          <w:tcPr>
            <w:tcW w:w="200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45"/>
        </w:trPr>
        <w:tc>
          <w:tcPr>
            <w:tcW w:w="5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Item 4.</w:t>
            </w:r>
          </w:p>
        </w:tc>
        <w:tc>
          <w:tcPr>
            <w:tcW w:w="1840" w:type="dxa"/>
            <w:vAlign w:val="bottom"/>
            <w:tcBorders>
              <w:bottom w:val="single" w:sz="8" w:color="0000EE"/>
            </w:tcBorders>
            <w:gridSpan w:val="7"/>
          </w:tcPr>
          <w:p>
            <w:pPr>
              <w:ind w:left="40"/>
              <w:spacing w:after="0"/>
              <w:rPr>
                <w:sz w:val="20"/>
                <w:szCs w:val="20"/>
                <w:color w:val="auto"/>
              </w:rPr>
            </w:pPr>
            <w:r>
              <w:rPr>
                <w:rFonts w:ascii="Times New Roman" w:cs="Times New Roman" w:eastAsia="Times New Roman" w:hAnsi="Times New Roman"/>
                <w:sz w:val="18"/>
                <w:szCs w:val="18"/>
                <w:color w:val="0000EE"/>
              </w:rPr>
              <w:t>Controls and Procedures</w:t>
            </w:r>
          </w:p>
        </w:tc>
        <w:tc>
          <w:tcPr>
            <w:tcW w:w="6660" w:type="dxa"/>
            <w:vAlign w:val="bottom"/>
            <w:gridSpan w:val="7"/>
          </w:tcPr>
          <w:p>
            <w:pPr>
              <w:spacing w:after="0"/>
              <w:rPr>
                <w:sz w:val="24"/>
                <w:szCs w:val="2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44"/>
        </w:trPr>
        <w:tc>
          <w:tcPr>
            <w:tcW w:w="90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PART II – OTHER INFORMATION</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44"/>
        </w:trPr>
        <w:tc>
          <w:tcPr>
            <w:tcW w:w="56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Item 1.</w:t>
            </w:r>
          </w:p>
        </w:tc>
        <w:tc>
          <w:tcPr>
            <w:tcW w:w="2100" w:type="dxa"/>
            <w:vAlign w:val="bottom"/>
            <w:tcBorders>
              <w:top w:val="single" w:sz="8" w:color="0000EE"/>
            </w:tcBorders>
            <w:gridSpan w:val="8"/>
          </w:tcPr>
          <w:p>
            <w:pPr>
              <w:ind w:left="40"/>
              <w:spacing w:after="0"/>
              <w:rPr>
                <w:sz w:val="20"/>
                <w:szCs w:val="20"/>
                <w:color w:val="auto"/>
              </w:rPr>
            </w:pPr>
            <w:r>
              <w:rPr>
                <w:rFonts w:ascii="Times New Roman" w:cs="Times New Roman" w:eastAsia="Times New Roman" w:hAnsi="Times New Roman"/>
                <w:sz w:val="18"/>
                <w:szCs w:val="18"/>
                <w:color w:val="0000EE"/>
              </w:rPr>
              <w:t>Legal Proceedings</w:t>
            </w:r>
          </w:p>
        </w:tc>
        <w:tc>
          <w:tcPr>
            <w:tcW w:w="6400" w:type="dxa"/>
            <w:vAlign w:val="bottom"/>
            <w:gridSpan w:val="6"/>
          </w:tcPr>
          <w:p>
            <w:pPr>
              <w:spacing w:after="0"/>
              <w:rPr>
                <w:sz w:val="24"/>
                <w:szCs w:val="2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45"/>
        </w:trPr>
        <w:tc>
          <w:tcPr>
            <w:tcW w:w="194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Item 1A. Risk Factors</w:t>
            </w:r>
          </w:p>
        </w:tc>
        <w:tc>
          <w:tcPr>
            <w:tcW w:w="7120" w:type="dxa"/>
            <w:vAlign w:val="bottom"/>
            <w:gridSpan w:val="10"/>
          </w:tcPr>
          <w:p>
            <w:pPr>
              <w:spacing w:after="0"/>
              <w:rPr>
                <w:sz w:val="24"/>
                <w:szCs w:val="2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5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4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0000EE"/>
              </w:rPr>
              <w:t>Item 2.</w:t>
            </w:r>
          </w:p>
        </w:tc>
        <w:tc>
          <w:tcPr>
            <w:tcW w:w="8500" w:type="dxa"/>
            <w:vAlign w:val="bottom"/>
            <w:gridSpan w:val="14"/>
          </w:tcPr>
          <w:p>
            <w:pPr>
              <w:ind w:left="40"/>
              <w:spacing w:after="0"/>
              <w:rPr>
                <w:sz w:val="20"/>
                <w:szCs w:val="20"/>
                <w:color w:val="auto"/>
              </w:rPr>
            </w:pPr>
            <w:r>
              <w:rPr>
                <w:rFonts w:ascii="Times New Roman" w:cs="Times New Roman" w:eastAsia="Times New Roman" w:hAnsi="Times New Roman"/>
                <w:sz w:val="18"/>
                <w:szCs w:val="18"/>
                <w:color w:val="0000EE"/>
              </w:rPr>
              <w:t>Recent Sales of Unregistered Securities; Use of Proceeds from Registered Securities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44"/>
        </w:trPr>
        <w:tc>
          <w:tcPr>
            <w:tcW w:w="56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Item 3.</w:t>
            </w:r>
          </w:p>
        </w:tc>
        <w:tc>
          <w:tcPr>
            <w:tcW w:w="2380" w:type="dxa"/>
            <w:vAlign w:val="bottom"/>
            <w:tcBorders>
              <w:top w:val="single" w:sz="8" w:color="0000EE"/>
              <w:bottom w:val="single" w:sz="8" w:color="0000EE"/>
            </w:tcBorders>
            <w:gridSpan w:val="9"/>
          </w:tcPr>
          <w:p>
            <w:pPr>
              <w:ind w:left="40"/>
              <w:spacing w:after="0"/>
              <w:rPr>
                <w:sz w:val="20"/>
                <w:szCs w:val="20"/>
                <w:color w:val="auto"/>
              </w:rPr>
            </w:pPr>
            <w:r>
              <w:rPr>
                <w:rFonts w:ascii="Times New Roman" w:cs="Times New Roman" w:eastAsia="Times New Roman" w:hAnsi="Times New Roman"/>
                <w:sz w:val="18"/>
                <w:szCs w:val="18"/>
                <w:color w:val="0000EE"/>
                <w:w w:val="99"/>
              </w:rPr>
              <w:t>Defaults Upon Senior Securities</w:t>
            </w:r>
          </w:p>
        </w:tc>
        <w:tc>
          <w:tcPr>
            <w:tcW w:w="3740" w:type="dxa"/>
            <w:vAlign w:val="bottom"/>
            <w:tcBorders>
              <w:top w:val="single" w:sz="8" w:color="0000EE"/>
            </w:tcBorders>
            <w:gridSpan w:val="3"/>
          </w:tcPr>
          <w:p>
            <w:pPr>
              <w:spacing w:after="0"/>
              <w:rPr>
                <w:sz w:val="24"/>
                <w:szCs w:val="24"/>
                <w:color w:val="auto"/>
              </w:rPr>
            </w:pPr>
          </w:p>
        </w:tc>
        <w:tc>
          <w:tcPr>
            <w:tcW w:w="2380" w:type="dxa"/>
            <w:vAlign w:val="bottom"/>
            <w:gridSpan w:val="2"/>
          </w:tcPr>
          <w:p>
            <w:pPr>
              <w:spacing w:after="0"/>
              <w:rPr>
                <w:sz w:val="24"/>
                <w:szCs w:val="2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44"/>
        </w:trPr>
        <w:tc>
          <w:tcPr>
            <w:tcW w:w="5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Item 4.</w:t>
            </w:r>
          </w:p>
        </w:tc>
        <w:tc>
          <w:tcPr>
            <w:tcW w:w="1820" w:type="dxa"/>
            <w:vAlign w:val="bottom"/>
            <w:tcBorders>
              <w:bottom w:val="single" w:sz="8" w:color="0000EE"/>
            </w:tcBorders>
            <w:gridSpan w:val="6"/>
          </w:tcPr>
          <w:p>
            <w:pPr>
              <w:ind w:left="40"/>
              <w:spacing w:after="0"/>
              <w:rPr>
                <w:sz w:val="20"/>
                <w:szCs w:val="20"/>
                <w:color w:val="auto"/>
              </w:rPr>
            </w:pPr>
            <w:r>
              <w:rPr>
                <w:rFonts w:ascii="Times New Roman" w:cs="Times New Roman" w:eastAsia="Times New Roman" w:hAnsi="Times New Roman"/>
                <w:sz w:val="18"/>
                <w:szCs w:val="18"/>
                <w:color w:val="0000EE"/>
                <w:w w:val="99"/>
              </w:rPr>
              <w:t>Mine Safety Disclosures</w:t>
            </w:r>
          </w:p>
        </w:tc>
        <w:tc>
          <w:tcPr>
            <w:tcW w:w="6680" w:type="dxa"/>
            <w:vAlign w:val="bottom"/>
            <w:gridSpan w:val="8"/>
          </w:tcPr>
          <w:p>
            <w:pPr>
              <w:spacing w:after="0"/>
              <w:rPr>
                <w:sz w:val="24"/>
                <w:szCs w:val="2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45"/>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0000EE"/>
              </w:rPr>
              <w:t>Item 5.</w:t>
            </w:r>
          </w:p>
        </w:tc>
        <w:tc>
          <w:tcPr>
            <w:tcW w:w="8500" w:type="dxa"/>
            <w:vAlign w:val="bottom"/>
            <w:gridSpan w:val="14"/>
          </w:tcPr>
          <w:p>
            <w:pPr>
              <w:ind w:left="40"/>
              <w:spacing w:after="0"/>
              <w:rPr>
                <w:sz w:val="20"/>
                <w:szCs w:val="20"/>
                <w:color w:val="auto"/>
              </w:rPr>
            </w:pPr>
            <w:r>
              <w:rPr>
                <w:rFonts w:ascii="Times New Roman" w:cs="Times New Roman" w:eastAsia="Times New Roman" w:hAnsi="Times New Roman"/>
                <w:sz w:val="18"/>
                <w:szCs w:val="18"/>
                <w:color w:val="0000EE"/>
              </w:rPr>
              <w:t>Other Information</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45"/>
        </w:trPr>
        <w:tc>
          <w:tcPr>
            <w:tcW w:w="56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Item 6.</w:t>
            </w:r>
          </w:p>
        </w:tc>
        <w:tc>
          <w:tcPr>
            <w:tcW w:w="1360" w:type="dxa"/>
            <w:vAlign w:val="bottom"/>
            <w:tcBorders>
              <w:top w:val="single" w:sz="8" w:color="0000EE"/>
            </w:tcBorders>
            <w:gridSpan w:val="3"/>
          </w:tcPr>
          <w:p>
            <w:pPr>
              <w:ind w:left="40"/>
              <w:spacing w:after="0"/>
              <w:rPr>
                <w:sz w:val="20"/>
                <w:szCs w:val="20"/>
                <w:color w:val="auto"/>
              </w:rPr>
            </w:pPr>
            <w:r>
              <w:rPr>
                <w:rFonts w:ascii="Times New Roman" w:cs="Times New Roman" w:eastAsia="Times New Roman" w:hAnsi="Times New Roman"/>
                <w:sz w:val="18"/>
                <w:szCs w:val="18"/>
                <w:color w:val="0000EE"/>
              </w:rPr>
              <w:t>Exhibits</w:t>
            </w:r>
          </w:p>
        </w:tc>
        <w:tc>
          <w:tcPr>
            <w:tcW w:w="7140" w:type="dxa"/>
            <w:vAlign w:val="bottom"/>
            <w:gridSpan w:val="11"/>
          </w:tcPr>
          <w:p>
            <w:pPr>
              <w:spacing w:after="0"/>
              <w:rPr>
                <w:sz w:val="24"/>
                <w:szCs w:val="2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1350"/>
        </w:trPr>
        <w:tc>
          <w:tcPr>
            <w:tcW w:w="560" w:type="dxa"/>
            <w:vAlign w:val="bottom"/>
            <w:tcBorders>
              <w:top w:val="single" w:sz="8" w:color="0000EE"/>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Energous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6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20" w:type="dxa"/>
            <w:vAlign w:val="bottom"/>
            <w:gridSpan w:val="2"/>
          </w:tcPr>
          <w:p>
            <w:pPr>
              <w:jc w:val="right"/>
              <w:ind w:right="700"/>
              <w:spacing w:after="0" w:line="155" w:lineRule="exact"/>
              <w:rPr>
                <w:sz w:val="20"/>
                <w:szCs w:val="20"/>
                <w:color w:val="auto"/>
              </w:rPr>
            </w:pPr>
            <w:r>
              <w:rPr>
                <w:rFonts w:ascii="Times New Roman" w:cs="Times New Roman" w:eastAsia="Times New Roman" w:hAnsi="Times New Roman"/>
                <w:sz w:val="14"/>
                <w:szCs w:val="14"/>
                <w:b w:val="1"/>
                <w:bCs w:val="1"/>
                <w:color w:val="auto"/>
              </w:rPr>
              <w:t>March 31, 2022</w:t>
            </w:r>
          </w:p>
        </w:tc>
        <w:tc>
          <w:tcPr>
            <w:tcW w:w="180" w:type="dxa"/>
            <w:vAlign w:val="bottom"/>
          </w:tcPr>
          <w:p>
            <w:pPr>
              <w:spacing w:after="0"/>
              <w:rPr>
                <w:sz w:val="13"/>
                <w:szCs w:val="13"/>
                <w:color w:val="auto"/>
              </w:rPr>
            </w:pPr>
          </w:p>
        </w:tc>
        <w:tc>
          <w:tcPr>
            <w:tcW w:w="1560" w:type="dxa"/>
            <w:vAlign w:val="bottom"/>
          </w:tcPr>
          <w:p>
            <w:pPr>
              <w:jc w:val="right"/>
              <w:ind w:right="211"/>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3"/>
                <w:szCs w:val="13"/>
                <w:color w:val="auto"/>
              </w:rPr>
            </w:pPr>
          </w:p>
        </w:tc>
      </w:tr>
      <w:tr>
        <w:trPr>
          <w:trHeight w:val="156"/>
        </w:trPr>
        <w:tc>
          <w:tcPr>
            <w:tcW w:w="6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jc w:val="right"/>
              <w:ind w:right="472"/>
              <w:spacing w:after="0" w:line="155"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6420" w:type="dxa"/>
            <w:vAlign w:val="bottom"/>
            <w:shd w:val="clear" w:color="auto" w:fill="CFF0FC"/>
          </w:tcPr>
          <w:p>
            <w:pPr>
              <w:ind w:left="3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6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42,774,171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49,071,414</w:t>
            </w:r>
          </w:p>
        </w:tc>
        <w:tc>
          <w:tcPr>
            <w:tcW w:w="100" w:type="dxa"/>
            <w:vAlign w:val="bottom"/>
            <w:shd w:val="clear" w:color="auto" w:fill="CFF0FC"/>
          </w:tcPr>
          <w:p>
            <w:pPr>
              <w:spacing w:after="0"/>
              <w:rPr>
                <w:sz w:val="19"/>
                <w:szCs w:val="19"/>
                <w:color w:val="auto"/>
              </w:rPr>
            </w:pPr>
          </w:p>
        </w:tc>
      </w:tr>
      <w:tr>
        <w:trPr>
          <w:trHeight w:val="230"/>
        </w:trPr>
        <w:tc>
          <w:tcPr>
            <w:tcW w:w="6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198,924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283,602</w:t>
            </w:r>
          </w:p>
        </w:tc>
        <w:tc>
          <w:tcPr>
            <w:tcW w:w="100" w:type="dxa"/>
            <w:vAlign w:val="bottom"/>
          </w:tcPr>
          <w:p>
            <w:pPr>
              <w:spacing w:after="0"/>
              <w:rPr>
                <w:sz w:val="19"/>
                <w:szCs w:val="19"/>
                <w:color w:val="auto"/>
              </w:rPr>
            </w:pPr>
          </w:p>
        </w:tc>
      </w:tr>
      <w:tr>
        <w:trPr>
          <w:trHeight w:val="229"/>
        </w:trPr>
        <w:tc>
          <w:tcPr>
            <w:tcW w:w="6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Inventory</w:t>
            </w: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68,480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431,670</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874,886</w:t>
            </w:r>
          </w:p>
        </w:tc>
        <w:tc>
          <w:tcPr>
            <w:tcW w:w="100" w:type="dxa"/>
            <w:vAlign w:val="bottom"/>
            <w:tcBorders>
              <w:bottom w:val="single" w:sz="8" w:color="CFF0FC"/>
            </w:tcBorders>
          </w:tcPr>
          <w:p>
            <w:pPr>
              <w:spacing w:after="0"/>
              <w:rPr>
                <w:sz w:val="19"/>
                <w:szCs w:val="19"/>
                <w:color w:val="auto"/>
              </w:rPr>
            </w:pPr>
          </w:p>
        </w:tc>
      </w:tr>
      <w:tr>
        <w:trPr>
          <w:trHeight w:val="223"/>
        </w:trPr>
        <w:tc>
          <w:tcPr>
            <w:tcW w:w="64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9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43,473,245</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50,229,902</w:t>
            </w:r>
          </w:p>
        </w:tc>
        <w:tc>
          <w:tcPr>
            <w:tcW w:w="100" w:type="dxa"/>
            <w:vAlign w:val="bottom"/>
            <w:shd w:val="clear" w:color="auto" w:fill="CFF0FC"/>
          </w:tcPr>
          <w:p>
            <w:pPr>
              <w:spacing w:after="0"/>
              <w:rPr>
                <w:sz w:val="19"/>
                <w:szCs w:val="19"/>
                <w:color w:val="auto"/>
              </w:rPr>
            </w:pPr>
          </w:p>
        </w:tc>
      </w:tr>
      <w:tr>
        <w:trPr>
          <w:trHeight w:val="223"/>
        </w:trPr>
        <w:tc>
          <w:tcPr>
            <w:tcW w:w="6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484,567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510,197</w:t>
            </w:r>
          </w:p>
        </w:tc>
        <w:tc>
          <w:tcPr>
            <w:tcW w:w="100" w:type="dxa"/>
            <w:vAlign w:val="bottom"/>
            <w:shd w:val="clear" w:color="auto" w:fill="CFF0FC"/>
          </w:tcPr>
          <w:p>
            <w:pPr>
              <w:spacing w:after="0"/>
              <w:rPr>
                <w:sz w:val="19"/>
                <w:szCs w:val="19"/>
                <w:color w:val="auto"/>
              </w:rPr>
            </w:pPr>
          </w:p>
        </w:tc>
      </w:tr>
      <w:tr>
        <w:trPr>
          <w:trHeight w:val="229"/>
        </w:trPr>
        <w:tc>
          <w:tcPr>
            <w:tcW w:w="6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432,249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618,985</w:t>
            </w:r>
          </w:p>
        </w:tc>
        <w:tc>
          <w:tcPr>
            <w:tcW w:w="100" w:type="dxa"/>
            <w:vAlign w:val="bottom"/>
          </w:tcPr>
          <w:p>
            <w:pPr>
              <w:spacing w:after="0"/>
              <w:rPr>
                <w:sz w:val="19"/>
                <w:szCs w:val="19"/>
                <w:color w:val="auto"/>
              </w:rPr>
            </w:pPr>
          </w:p>
        </w:tc>
      </w:tr>
      <w:tr>
        <w:trPr>
          <w:trHeight w:val="230"/>
        </w:trPr>
        <w:tc>
          <w:tcPr>
            <w:tcW w:w="6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assets</w:t>
            </w:r>
          </w:p>
        </w:tc>
        <w:tc>
          <w:tcPr>
            <w:tcW w:w="9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11,991</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11,991</w:t>
            </w:r>
          </w:p>
        </w:tc>
        <w:tc>
          <w:tcPr>
            <w:tcW w:w="100" w:type="dxa"/>
            <w:vAlign w:val="bottom"/>
            <w:shd w:val="clear" w:color="auto" w:fill="CFF0FC"/>
          </w:tcPr>
          <w:p>
            <w:pPr>
              <w:spacing w:after="0"/>
              <w:rPr>
                <w:sz w:val="19"/>
                <w:szCs w:val="19"/>
                <w:color w:val="auto"/>
              </w:rPr>
            </w:pPr>
          </w:p>
        </w:tc>
      </w:tr>
      <w:tr>
        <w:trPr>
          <w:trHeight w:val="263"/>
        </w:trPr>
        <w:tc>
          <w:tcPr>
            <w:tcW w:w="64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90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44,402,052</w:t>
            </w:r>
          </w:p>
        </w:tc>
        <w:tc>
          <w:tcPr>
            <w:tcW w:w="2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51,371,075</w:t>
            </w:r>
          </w:p>
        </w:tc>
        <w:tc>
          <w:tcPr>
            <w:tcW w:w="100" w:type="dxa"/>
            <w:vAlign w:val="bottom"/>
            <w:tcBorders>
              <w:bottom w:val="single" w:sz="8" w:color="CFF0FC"/>
            </w:tcBorders>
          </w:tcPr>
          <w:p>
            <w:pPr>
              <w:spacing w:after="0"/>
              <w:rPr>
                <w:sz w:val="22"/>
                <w:szCs w:val="22"/>
                <w:color w:val="auto"/>
              </w:rPr>
            </w:pPr>
          </w:p>
        </w:tc>
      </w:tr>
      <w:tr>
        <w:trPr>
          <w:trHeight w:val="210"/>
        </w:trPr>
        <w:tc>
          <w:tcPr>
            <w:tcW w:w="6420" w:type="dxa"/>
            <w:vAlign w:val="bottom"/>
            <w:shd w:val="clear" w:color="auto" w:fill="CFF0FC"/>
          </w:tcPr>
          <w:p>
            <w:pPr>
              <w:ind w:left="16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116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934,913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1,205,957</w:t>
            </w:r>
          </w:p>
        </w:tc>
        <w:tc>
          <w:tcPr>
            <w:tcW w:w="100" w:type="dxa"/>
            <w:vAlign w:val="bottom"/>
            <w:shd w:val="clear" w:color="auto" w:fill="CFF0FC"/>
          </w:tcPr>
          <w:p>
            <w:pPr>
              <w:spacing w:after="0"/>
              <w:rPr>
                <w:sz w:val="19"/>
                <w:szCs w:val="19"/>
                <w:color w:val="auto"/>
              </w:rPr>
            </w:pPr>
          </w:p>
        </w:tc>
      </w:tr>
      <w:tr>
        <w:trPr>
          <w:trHeight w:val="229"/>
        </w:trPr>
        <w:tc>
          <w:tcPr>
            <w:tcW w:w="6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expenses</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1,342,782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1,523,317</w:t>
            </w:r>
          </w:p>
        </w:tc>
        <w:tc>
          <w:tcPr>
            <w:tcW w:w="100" w:type="dxa"/>
            <w:vAlign w:val="bottom"/>
          </w:tcPr>
          <w:p>
            <w:pPr>
              <w:spacing w:after="0"/>
              <w:rPr>
                <w:sz w:val="19"/>
                <w:szCs w:val="19"/>
                <w:color w:val="auto"/>
              </w:rPr>
            </w:pPr>
          </w:p>
        </w:tc>
      </w:tr>
      <w:tr>
        <w:trPr>
          <w:trHeight w:val="230"/>
        </w:trPr>
        <w:tc>
          <w:tcPr>
            <w:tcW w:w="6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severance expense</w:t>
            </w: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909,873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975,439</w:t>
            </w:r>
          </w:p>
        </w:tc>
        <w:tc>
          <w:tcPr>
            <w:tcW w:w="100" w:type="dxa"/>
            <w:vAlign w:val="bottom"/>
            <w:shd w:val="clear" w:color="auto" w:fill="CFF0FC"/>
          </w:tcPr>
          <w:p>
            <w:pPr>
              <w:spacing w:after="0"/>
              <w:rPr>
                <w:sz w:val="19"/>
                <w:szCs w:val="19"/>
                <w:color w:val="auto"/>
              </w:rPr>
            </w:pPr>
          </w:p>
        </w:tc>
      </w:tr>
      <w:tr>
        <w:trPr>
          <w:trHeight w:val="229"/>
        </w:trPr>
        <w:tc>
          <w:tcPr>
            <w:tcW w:w="6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438,698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628,307</w:t>
            </w:r>
          </w:p>
        </w:tc>
        <w:tc>
          <w:tcPr>
            <w:tcW w:w="100" w:type="dxa"/>
            <w:vAlign w:val="bottom"/>
          </w:tcPr>
          <w:p>
            <w:pPr>
              <w:spacing w:after="0"/>
              <w:rPr>
                <w:sz w:val="19"/>
                <w:szCs w:val="19"/>
                <w:color w:val="auto"/>
              </w:rPr>
            </w:pPr>
          </w:p>
        </w:tc>
      </w:tr>
      <w:tr>
        <w:trPr>
          <w:trHeight w:val="230"/>
        </w:trPr>
        <w:tc>
          <w:tcPr>
            <w:tcW w:w="6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9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16,091</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13,364</w:t>
            </w:r>
          </w:p>
        </w:tc>
        <w:tc>
          <w:tcPr>
            <w:tcW w:w="100" w:type="dxa"/>
            <w:vAlign w:val="bottom"/>
            <w:shd w:val="clear" w:color="auto" w:fill="CFF0FC"/>
          </w:tcPr>
          <w:p>
            <w:pPr>
              <w:spacing w:after="0"/>
              <w:rPr>
                <w:sz w:val="19"/>
                <w:szCs w:val="19"/>
                <w:color w:val="auto"/>
              </w:rPr>
            </w:pPr>
          </w:p>
        </w:tc>
      </w:tr>
      <w:tr>
        <w:trPr>
          <w:trHeight w:val="223"/>
        </w:trPr>
        <w:tc>
          <w:tcPr>
            <w:tcW w:w="64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9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3,642,357</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4,346,384</w:t>
            </w:r>
          </w:p>
        </w:tc>
        <w:tc>
          <w:tcPr>
            <w:tcW w:w="100" w:type="dxa"/>
            <w:vAlign w:val="bottom"/>
            <w:tcBorders>
              <w:bottom w:val="single" w:sz="8" w:color="CFF0FC"/>
            </w:tcBorders>
          </w:tcPr>
          <w:p>
            <w:pPr>
              <w:spacing w:after="0"/>
              <w:rPr>
                <w:sz w:val="19"/>
                <w:szCs w:val="19"/>
                <w:color w:val="auto"/>
              </w:rPr>
            </w:pPr>
          </w:p>
        </w:tc>
      </w:tr>
      <w:tr>
        <w:trPr>
          <w:trHeight w:val="223"/>
        </w:trPr>
        <w:tc>
          <w:tcPr>
            <w:tcW w:w="64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lease liabilities, long-term portion</w:t>
            </w:r>
          </w:p>
        </w:tc>
        <w:tc>
          <w:tcPr>
            <w:tcW w:w="9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27,012</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40,413</w:t>
            </w:r>
          </w:p>
        </w:tc>
        <w:tc>
          <w:tcPr>
            <w:tcW w:w="100" w:type="dxa"/>
            <w:vAlign w:val="bottom"/>
            <w:tcBorders>
              <w:bottom w:val="single" w:sz="8" w:color="CFF0FC"/>
            </w:tcBorders>
          </w:tcPr>
          <w:p>
            <w:pPr>
              <w:spacing w:after="0"/>
              <w:rPr>
                <w:sz w:val="19"/>
                <w:szCs w:val="19"/>
                <w:color w:val="auto"/>
              </w:rPr>
            </w:pPr>
          </w:p>
        </w:tc>
      </w:tr>
      <w:tr>
        <w:trPr>
          <w:trHeight w:val="223"/>
        </w:trPr>
        <w:tc>
          <w:tcPr>
            <w:tcW w:w="64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9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3,669,369</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4,386,797</w:t>
            </w:r>
          </w:p>
        </w:tc>
        <w:tc>
          <w:tcPr>
            <w:tcW w:w="100" w:type="dxa"/>
            <w:vAlign w:val="bottom"/>
            <w:shd w:val="clear" w:color="auto" w:fill="CFF0FC"/>
          </w:tcPr>
          <w:p>
            <w:pPr>
              <w:spacing w:after="0"/>
              <w:rPr>
                <w:sz w:val="19"/>
                <w:szCs w:val="19"/>
                <w:color w:val="auto"/>
              </w:rPr>
            </w:pPr>
          </w:p>
        </w:tc>
      </w:tr>
      <w:tr>
        <w:trPr>
          <w:trHeight w:val="223"/>
        </w:trPr>
        <w:tc>
          <w:tcPr>
            <w:tcW w:w="6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6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Preferred Stock, $0.00001 par value, 10,000,000 shares authorized</w:t>
            </w: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at March 31, 2022 and December 31, 2021; no shares issued or</w:t>
            </w: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4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outstanding.</w:t>
            </w: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6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 $0.00001 par value, 200,000,000 shares authorized</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at March 31, 2022 and December 31, 2021, respectively;</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77,055,028 and 76,667,205 shares issued and outstanding at</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March 31, 2022 and December 31, 2021, respectively.</w:t>
            </w: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Pr>
          <w:p>
            <w:pPr>
              <w:spacing w:after="0"/>
              <w:rPr>
                <w:sz w:val="20"/>
                <w:szCs w:val="20"/>
                <w:color w:val="auto"/>
              </w:rPr>
            </w:pPr>
          </w:p>
        </w:tc>
      </w:tr>
      <w:tr>
        <w:trPr>
          <w:trHeight w:val="230"/>
        </w:trPr>
        <w:tc>
          <w:tcPr>
            <w:tcW w:w="6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384,284,669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383,383,550</w:t>
            </w:r>
          </w:p>
        </w:tc>
        <w:tc>
          <w:tcPr>
            <w:tcW w:w="100" w:type="dxa"/>
            <w:vAlign w:val="bottom"/>
            <w:shd w:val="clear" w:color="auto" w:fill="CFF0FC"/>
          </w:tcPr>
          <w:p>
            <w:pPr>
              <w:spacing w:after="0"/>
              <w:rPr>
                <w:sz w:val="19"/>
                <w:szCs w:val="19"/>
                <w:color w:val="auto"/>
              </w:rPr>
            </w:pPr>
          </w:p>
        </w:tc>
      </w:tr>
      <w:tr>
        <w:trPr>
          <w:trHeight w:val="230"/>
        </w:trPr>
        <w:tc>
          <w:tcPr>
            <w:tcW w:w="6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(343,552,757)</w:t>
            </w:r>
          </w:p>
        </w:tc>
        <w:tc>
          <w:tcPr>
            <w:tcW w:w="18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(336,400,039)</w:t>
            </w:r>
          </w:p>
        </w:tc>
      </w:tr>
      <w:tr>
        <w:trPr>
          <w:trHeight w:val="223"/>
        </w:trPr>
        <w:tc>
          <w:tcPr>
            <w:tcW w:w="642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9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40,732,683</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46,984,278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900" w:type="dxa"/>
            <w:vAlign w:val="bottom"/>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44,402,052</w:t>
            </w: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51,371,075</w:t>
            </w:r>
          </w:p>
        </w:tc>
        <w:tc>
          <w:tcPr>
            <w:tcW w:w="10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Energous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533"/>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215,961</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203,249</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3,527,146</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4,591,244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1,613,590</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1,794,212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2,027,520</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2,287,396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7,371,505</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8,672,852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(7,155,544)</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(8,527,787)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other income</w:t>
            </w:r>
          </w:p>
        </w:tc>
        <w:tc>
          <w:tcPr>
            <w:tcW w:w="2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(7,152,718)</w:t>
            </w:r>
          </w:p>
        </w:tc>
        <w:tc>
          <w:tcPr>
            <w:tcW w:w="3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(8,525,763)</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loss per common share</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 basic and diluted</w:t>
            </w: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76,930,919</w:t>
            </w: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61,567,003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Energous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2200" w:type="dxa"/>
            <w:vAlign w:val="bottom"/>
            <w:gridSpan w:val="3"/>
            <w:vMerge w:val="restart"/>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180" w:type="dxa"/>
            <w:vAlign w:val="bottom"/>
            <w:gridSpan w:val="2"/>
            <w:vMerge w:val="restart"/>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2200" w:type="dxa"/>
            <w:vAlign w:val="bottom"/>
            <w:tcBorders>
              <w:bottom w:val="single" w:sz="8" w:color="auto"/>
            </w:tcBorders>
            <w:gridSpan w:val="3"/>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4560" w:type="dxa"/>
            <w:vAlign w:val="bottom"/>
          </w:tcPr>
          <w:p>
            <w:pPr>
              <w:spacing w:after="0"/>
              <w:rPr>
                <w:sz w:val="13"/>
                <w:szCs w:val="13"/>
                <w:color w:val="auto"/>
              </w:rPr>
            </w:pPr>
          </w:p>
        </w:tc>
        <w:tc>
          <w:tcPr>
            <w:tcW w:w="1120" w:type="dxa"/>
            <w:vAlign w:val="bottom"/>
          </w:tcPr>
          <w:p>
            <w:pPr>
              <w:jc w:val="right"/>
              <w:ind w:right="284"/>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00" w:type="dxa"/>
            <w:vAlign w:val="bottom"/>
          </w:tcPr>
          <w:p>
            <w:pPr>
              <w:spacing w:after="0"/>
              <w:rPr>
                <w:sz w:val="13"/>
                <w:szCs w:val="13"/>
                <w:color w:val="auto"/>
              </w:rPr>
            </w:pPr>
          </w:p>
        </w:tc>
        <w:tc>
          <w:tcPr>
            <w:tcW w:w="1180" w:type="dxa"/>
            <w:vAlign w:val="bottom"/>
            <w:gridSpan w:val="2"/>
          </w:tcPr>
          <w:p>
            <w:pPr>
              <w:jc w:val="center"/>
              <w:ind w:right="222"/>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4560" w:type="dxa"/>
            <w:vAlign w:val="bottom"/>
            <w:tcBorders>
              <w:top w:val="single" w:sz="8" w:color="CFF0FC"/>
            </w:tcBorders>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Balance at January 1, 2022</w:t>
            </w:r>
          </w:p>
        </w:tc>
        <w:tc>
          <w:tcPr>
            <w:tcW w:w="112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76,667,205</w:t>
            </w:r>
          </w:p>
        </w:tc>
        <w:tc>
          <w:tcPr>
            <w:tcW w:w="220" w:type="dxa"/>
            <w:vAlign w:val="bottom"/>
            <w:tcBorders>
              <w:top w:val="single" w:sz="8" w:color="CFF0FC"/>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jc w:val="right"/>
              <w:ind w:right="70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26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767</w:t>
            </w:r>
          </w:p>
        </w:tc>
        <w:tc>
          <w:tcPr>
            <w:tcW w:w="24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383,383,550</w:t>
            </w:r>
          </w:p>
        </w:tc>
        <w:tc>
          <w:tcPr>
            <w:tcW w:w="2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(336,400,039)</w:t>
            </w:r>
          </w:p>
        </w:tc>
        <w:tc>
          <w:tcPr>
            <w:tcW w:w="14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46,984,278</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60" w:type="dxa"/>
            <w:vAlign w:val="bottom"/>
          </w:tcPr>
          <w:p>
            <w:pPr>
              <w:spacing w:after="0"/>
              <w:rPr>
                <w:sz w:val="20"/>
                <w:szCs w:val="20"/>
                <w:color w:val="auto"/>
              </w:rPr>
            </w:pPr>
            <w:r>
              <w:rPr>
                <w:rFonts w:ascii="Times New Roman" w:cs="Times New Roman" w:eastAsia="Times New Roman" w:hAnsi="Times New Roman"/>
                <w:sz w:val="15"/>
                <w:szCs w:val="15"/>
                <w:color w:val="auto"/>
              </w:rPr>
              <w:t>Stock-based compensation -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10,313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2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45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5"/>
                <w:szCs w:val="15"/>
                <w:color w:val="auto"/>
              </w:rPr>
              <w:t>Stock-based compensation - restricted</w:t>
            </w:r>
          </w:p>
        </w:tc>
        <w:tc>
          <w:tcPr>
            <w:tcW w:w="1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stock units ("RSUs")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745,620</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2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745,620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456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Stock-based compensation - employee</w:t>
            </w: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5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stock purchase plan ("ESPP")</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40,973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2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40,973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Issuance of shares for RSUs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387,823</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2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4560" w:type="dxa"/>
            <w:vAlign w:val="bottom"/>
          </w:tcPr>
          <w:p>
            <w:pPr>
              <w:spacing w:after="0"/>
              <w:rPr>
                <w:sz w:val="20"/>
                <w:szCs w:val="20"/>
                <w:color w:val="auto"/>
              </w:rPr>
            </w:pPr>
            <w:r>
              <w:rPr>
                <w:rFonts w:ascii="Times New Roman" w:cs="Times New Roman" w:eastAsia="Times New Roman" w:hAnsi="Times New Roman"/>
                <w:sz w:val="15"/>
                <w:szCs w:val="15"/>
                <w:color w:val="auto"/>
              </w:rPr>
              <w:t>Proceeds from contributions to the ESPP</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104,217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2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104,217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Net loss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62"/>
              <w:spacing w:after="0"/>
              <w:rPr>
                <w:sz w:val="20"/>
                <w:szCs w:val="20"/>
                <w:color w:val="auto"/>
              </w:rPr>
            </w:pPr>
            <w:r>
              <w:rPr>
                <w:rFonts w:ascii="Times New Roman" w:cs="Times New Roman" w:eastAsia="Times New Roman" w:hAnsi="Times New Roman"/>
                <w:sz w:val="15"/>
                <w:szCs w:val="15"/>
                <w:color w:val="auto"/>
              </w:rPr>
              <w:t>(7,152,718)</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(7,152,718)</w:t>
            </w:r>
          </w:p>
        </w:tc>
        <w:tc>
          <w:tcPr>
            <w:tcW w:w="0" w:type="dxa"/>
            <w:vAlign w:val="bottom"/>
          </w:tcPr>
          <w:p>
            <w:pPr>
              <w:spacing w:after="0"/>
              <w:rPr>
                <w:sz w:val="1"/>
                <w:szCs w:val="1"/>
                <w:color w:val="auto"/>
              </w:rPr>
            </w:pPr>
          </w:p>
        </w:tc>
      </w:tr>
      <w:tr>
        <w:trPr>
          <w:trHeight w:val="169"/>
        </w:trPr>
        <w:tc>
          <w:tcPr>
            <w:tcW w:w="456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Balance at March 31, 2022</w:t>
            </w:r>
          </w:p>
        </w:tc>
        <w:tc>
          <w:tcPr>
            <w:tcW w:w="11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77,055,028</w:t>
            </w:r>
          </w:p>
        </w:tc>
        <w:tc>
          <w:tcPr>
            <w:tcW w:w="220" w:type="dxa"/>
            <w:vAlign w:val="bottom"/>
          </w:tcPr>
          <w:p>
            <w:pPr>
              <w:spacing w:after="0"/>
              <w:rPr>
                <w:sz w:val="14"/>
                <w:szCs w:val="14"/>
                <w:color w:val="auto"/>
              </w:rPr>
            </w:pPr>
          </w:p>
        </w:tc>
        <w:tc>
          <w:tcPr>
            <w:tcW w:w="86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771</w:t>
            </w: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384,284,669</w:t>
            </w:r>
          </w:p>
        </w:tc>
        <w:tc>
          <w:tcPr>
            <w:tcW w:w="2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(343,552,757)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40,732,683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4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183"/>
        </w:trPr>
        <w:tc>
          <w:tcPr>
            <w:tcW w:w="4560" w:type="dxa"/>
            <w:vAlign w:val="bottom"/>
          </w:tcPr>
          <w:p>
            <w:pPr>
              <w:spacing w:after="0"/>
              <w:rPr>
                <w:sz w:val="15"/>
                <w:szCs w:val="15"/>
                <w:color w:val="auto"/>
              </w:rPr>
            </w:pPr>
          </w:p>
        </w:tc>
        <w:tc>
          <w:tcPr>
            <w:tcW w:w="2200" w:type="dxa"/>
            <w:vAlign w:val="bottom"/>
            <w:tcBorders>
              <w:bottom w:val="single" w:sz="8" w:color="auto"/>
            </w:tcBorders>
            <w:gridSpan w:val="3"/>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Paid-in</w:t>
            </w:r>
          </w:p>
        </w:tc>
        <w:tc>
          <w:tcPr>
            <w:tcW w:w="100" w:type="dxa"/>
            <w:vAlign w:val="bottom"/>
          </w:tcPr>
          <w:p>
            <w:pPr>
              <w:spacing w:after="0"/>
              <w:rPr>
                <w:sz w:val="15"/>
                <w:szCs w:val="15"/>
                <w:color w:val="auto"/>
              </w:rPr>
            </w:pPr>
          </w:p>
        </w:tc>
        <w:tc>
          <w:tcPr>
            <w:tcW w:w="1180" w:type="dxa"/>
            <w:vAlign w:val="bottom"/>
            <w:gridSpan w:val="2"/>
          </w:tcPr>
          <w:p>
            <w:pPr>
              <w:jc w:val="center"/>
              <w:ind w:right="222"/>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169"/>
        </w:trPr>
        <w:tc>
          <w:tcPr>
            <w:tcW w:w="4560" w:type="dxa"/>
            <w:vAlign w:val="bottom"/>
          </w:tcPr>
          <w:p>
            <w:pPr>
              <w:spacing w:after="0"/>
              <w:rPr>
                <w:sz w:val="14"/>
                <w:szCs w:val="14"/>
                <w:color w:val="auto"/>
              </w:rPr>
            </w:pPr>
          </w:p>
        </w:tc>
        <w:tc>
          <w:tcPr>
            <w:tcW w:w="1120" w:type="dxa"/>
            <w:vAlign w:val="bottom"/>
          </w:tcPr>
          <w:p>
            <w:pPr>
              <w:jc w:val="right"/>
              <w:ind w:right="264"/>
              <w:spacing w:after="0" w:line="169" w:lineRule="exact"/>
              <w:rPr>
                <w:sz w:val="20"/>
                <w:szCs w:val="20"/>
                <w:color w:val="auto"/>
              </w:rPr>
            </w:pPr>
            <w:r>
              <w:rPr>
                <w:rFonts w:ascii="Times New Roman" w:cs="Times New Roman" w:eastAsia="Times New Roman" w:hAnsi="Times New Roman"/>
                <w:sz w:val="15"/>
                <w:szCs w:val="15"/>
                <w:b w:val="1"/>
                <w:bCs w:val="1"/>
                <w:color w:val="auto"/>
              </w:rPr>
              <w:t>Shares</w:t>
            </w:r>
          </w:p>
        </w:tc>
        <w:tc>
          <w:tcPr>
            <w:tcW w:w="220" w:type="dxa"/>
            <w:vAlign w:val="bottom"/>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Amount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380"/>
              <w:spacing w:after="0" w:line="169" w:lineRule="exact"/>
              <w:rPr>
                <w:sz w:val="20"/>
                <w:szCs w:val="20"/>
                <w:color w:val="auto"/>
              </w:rPr>
            </w:pPr>
            <w:r>
              <w:rPr>
                <w:rFonts w:ascii="Times New Roman" w:cs="Times New Roman" w:eastAsia="Times New Roman" w:hAnsi="Times New Roman"/>
                <w:sz w:val="15"/>
                <w:szCs w:val="15"/>
                <w:b w:val="1"/>
                <w:bCs w:val="1"/>
                <w:color w:val="auto"/>
              </w:rPr>
              <w:t>Capital</w:t>
            </w:r>
          </w:p>
        </w:tc>
        <w:tc>
          <w:tcPr>
            <w:tcW w:w="100" w:type="dxa"/>
            <w:vAlign w:val="bottom"/>
          </w:tcPr>
          <w:p>
            <w:pPr>
              <w:spacing w:after="0"/>
              <w:rPr>
                <w:sz w:val="14"/>
                <w:szCs w:val="14"/>
                <w:color w:val="auto"/>
              </w:rPr>
            </w:pPr>
          </w:p>
        </w:tc>
        <w:tc>
          <w:tcPr>
            <w:tcW w:w="1180" w:type="dxa"/>
            <w:vAlign w:val="bottom"/>
            <w:gridSpan w:val="2"/>
          </w:tcPr>
          <w:p>
            <w:pPr>
              <w:jc w:val="center"/>
              <w:ind w:right="222"/>
              <w:spacing w:after="0" w:line="169" w:lineRule="exact"/>
              <w:rPr>
                <w:sz w:val="20"/>
                <w:szCs w:val="20"/>
                <w:color w:val="auto"/>
              </w:rPr>
            </w:pPr>
            <w:r>
              <w:rPr>
                <w:rFonts w:ascii="Times New Roman" w:cs="Times New Roman" w:eastAsia="Times New Roman" w:hAnsi="Times New Roman"/>
                <w:sz w:val="15"/>
                <w:szCs w:val="15"/>
                <w:b w:val="1"/>
                <w:bCs w:val="1"/>
                <w:color w:val="auto"/>
              </w:rPr>
              <w:t>Deficit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00"/>
              <w:spacing w:after="0" w:line="169" w:lineRule="exact"/>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169"/>
        </w:trPr>
        <w:tc>
          <w:tcPr>
            <w:tcW w:w="4560" w:type="dxa"/>
            <w:vAlign w:val="bottom"/>
            <w:tcBorders>
              <w:top w:val="single" w:sz="8" w:color="CFF0FC"/>
            </w:tcBorders>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Balance at January 1, 2021</w:t>
            </w:r>
          </w:p>
        </w:tc>
        <w:tc>
          <w:tcPr>
            <w:tcW w:w="112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61,292,412</w:t>
            </w:r>
          </w:p>
        </w:tc>
        <w:tc>
          <w:tcPr>
            <w:tcW w:w="220" w:type="dxa"/>
            <w:vAlign w:val="bottom"/>
            <w:tcBorders>
              <w:top w:val="single" w:sz="8" w:color="CFF0FC"/>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jc w:val="right"/>
              <w:ind w:right="70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26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614</w:t>
            </w:r>
          </w:p>
        </w:tc>
        <w:tc>
          <w:tcPr>
            <w:tcW w:w="24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344,024,638</w:t>
            </w:r>
          </w:p>
        </w:tc>
        <w:tc>
          <w:tcPr>
            <w:tcW w:w="2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(294,972,746)</w:t>
            </w:r>
          </w:p>
        </w:tc>
        <w:tc>
          <w:tcPr>
            <w:tcW w:w="14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49,052,506</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60" w:type="dxa"/>
            <w:vAlign w:val="bottom"/>
          </w:tcPr>
          <w:p>
            <w:pPr>
              <w:spacing w:after="0"/>
              <w:rPr>
                <w:sz w:val="20"/>
                <w:szCs w:val="20"/>
                <w:color w:val="auto"/>
              </w:rPr>
            </w:pPr>
            <w:r>
              <w:rPr>
                <w:rFonts w:ascii="Times New Roman" w:cs="Times New Roman" w:eastAsia="Times New Roman" w:hAnsi="Times New Roman"/>
                <w:sz w:val="15"/>
                <w:szCs w:val="15"/>
                <w:color w:val="auto"/>
              </w:rPr>
              <w:t>Stock-based compensation - RSUs</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2,088,910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2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2,088,910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Stock-based compensation - ESPP</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57,316</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2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57,316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60" w:type="dxa"/>
            <w:vAlign w:val="bottom"/>
          </w:tcPr>
          <w:p>
            <w:pPr>
              <w:spacing w:after="0"/>
              <w:rPr>
                <w:sz w:val="20"/>
                <w:szCs w:val="20"/>
                <w:color w:val="auto"/>
              </w:rPr>
            </w:pPr>
            <w:r>
              <w:rPr>
                <w:rFonts w:ascii="Times New Roman" w:cs="Times New Roman" w:eastAsia="Times New Roman" w:hAnsi="Times New Roman"/>
                <w:sz w:val="15"/>
                <w:szCs w:val="15"/>
                <w:color w:val="auto"/>
              </w:rPr>
              <w:t>Issuance of shares for RSUs</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627,412</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(6)</w:t>
            </w:r>
          </w:p>
        </w:tc>
        <w:tc>
          <w:tcPr>
            <w:tcW w:w="100" w:type="dxa"/>
            <w:vAlign w:val="bottom"/>
          </w:tcPr>
          <w:p>
            <w:pPr>
              <w:spacing w:after="0"/>
              <w:rPr>
                <w:sz w:val="15"/>
                <w:szCs w:val="15"/>
                <w:color w:val="auto"/>
              </w:rPr>
            </w:pPr>
          </w:p>
        </w:tc>
        <w:tc>
          <w:tcPr>
            <w:tcW w:w="1180" w:type="dxa"/>
            <w:vAlign w:val="bottom"/>
            <w:gridSpan w:val="2"/>
          </w:tcPr>
          <w:p>
            <w:pPr>
              <w:jc w:val="right"/>
              <w:ind w:right="12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5"/>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Proceeds from contributions to the ESPP</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117,013</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2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117,013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60" w:type="dxa"/>
            <w:vAlign w:val="bottom"/>
          </w:tcPr>
          <w:p>
            <w:pPr>
              <w:spacing w:after="0"/>
              <w:rPr>
                <w:sz w:val="20"/>
                <w:szCs w:val="20"/>
                <w:color w:val="auto"/>
              </w:rPr>
            </w:pPr>
            <w:r>
              <w:rPr>
                <w:rFonts w:ascii="Times New Roman" w:cs="Times New Roman" w:eastAsia="Times New Roman" w:hAnsi="Times New Roman"/>
                <w:sz w:val="15"/>
                <w:szCs w:val="15"/>
                <w:color w:val="auto"/>
              </w:rPr>
              <w:t>Net loss</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8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(8,525,763)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(8,525,763)</w:t>
            </w:r>
          </w:p>
        </w:tc>
        <w:tc>
          <w:tcPr>
            <w:tcW w:w="0" w:type="dxa"/>
            <w:vAlign w:val="bottom"/>
          </w:tcPr>
          <w:p>
            <w:pPr>
              <w:spacing w:after="0"/>
              <w:rPr>
                <w:sz w:val="1"/>
                <w:szCs w:val="1"/>
                <w:color w:val="auto"/>
              </w:rPr>
            </w:pPr>
          </w:p>
        </w:tc>
      </w:tr>
      <w:tr>
        <w:trPr>
          <w:trHeight w:val="169"/>
        </w:trPr>
        <w:tc>
          <w:tcPr>
            <w:tcW w:w="4560" w:type="dxa"/>
            <w:vAlign w:val="bottom"/>
            <w:tcBorders>
              <w:top w:val="single" w:sz="8" w:color="CFF0FC"/>
              <w:bottom w:val="single" w:sz="8" w:color="CFF0FC"/>
            </w:tcBorders>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Balance at March 31, 2021</w:t>
            </w:r>
          </w:p>
        </w:tc>
        <w:tc>
          <w:tcPr>
            <w:tcW w:w="11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61,919,824</w:t>
            </w: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860" w:type="dxa"/>
            <w:vAlign w:val="bottom"/>
            <w:tcBorders>
              <w:top w:val="single" w:sz="8" w:color="auto"/>
              <w:bottom w:val="single" w:sz="8" w:color="auto"/>
            </w:tcBorders>
            <w:shd w:val="clear" w:color="auto" w:fill="CFF0FC"/>
          </w:tcPr>
          <w:p>
            <w:pPr>
              <w:jc w:val="right"/>
              <w:ind w:right="70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2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620</w:t>
            </w:r>
          </w:p>
        </w:tc>
        <w:tc>
          <w:tcPr>
            <w:tcW w:w="240" w:type="dxa"/>
            <w:vAlign w:val="bottom"/>
            <w:tcBorders>
              <w:top w:val="single" w:sz="8" w:color="CFF0FC"/>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346,287,871</w:t>
            </w: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(303,498,509</w:t>
            </w:r>
          </w:p>
        </w:tc>
        <w:tc>
          <w:tcPr>
            <w:tcW w:w="140" w:type="dxa"/>
            <w:vAlign w:val="bottom"/>
            <w:tcBorders>
              <w:top w:val="single" w:sz="8" w:color="CFF0FC"/>
              <w:bottom w:val="single" w:sz="8" w:color="CFF0FC"/>
            </w:tcBorders>
            <w:shd w:val="clear" w:color="auto" w:fill="CFF0FC"/>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42,789,982</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Energous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6220" w:type="dxa"/>
            <w:vAlign w:val="bottom"/>
            <w:tcBorders>
              <w:bottom w:val="single" w:sz="8" w:color="CFF0FC"/>
            </w:tcBorders>
          </w:tcPr>
          <w:p>
            <w:pPr>
              <w:spacing w:after="0"/>
              <w:rPr>
                <w:sz w:val="13"/>
                <w:szCs w:val="13"/>
                <w:color w:val="auto"/>
              </w:rPr>
            </w:pPr>
          </w:p>
        </w:tc>
        <w:tc>
          <w:tcPr>
            <w:tcW w:w="156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31"/>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r>
      <w:tr>
        <w:trPr>
          <w:trHeight w:val="223"/>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5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90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(7,152,718)</w:t>
            </w:r>
          </w:p>
        </w:tc>
        <w:tc>
          <w:tcPr>
            <w:tcW w:w="360" w:type="dxa"/>
            <w:vAlign w:val="bottom"/>
            <w:gridSpan w:val="2"/>
          </w:tcPr>
          <w:p>
            <w:pPr>
              <w:jc w:val="right"/>
              <w:ind w:right="224"/>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(8,525,763)</w:t>
            </w:r>
          </w:p>
        </w:tc>
      </w:tr>
      <w:tr>
        <w:trPr>
          <w:trHeight w:val="229"/>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w:t>
            </w:r>
          </w:p>
        </w:tc>
        <w:tc>
          <w:tcPr>
            <w:tcW w:w="15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2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70,119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64,774</w:t>
            </w:r>
          </w:p>
        </w:tc>
        <w:tc>
          <w:tcPr>
            <w:tcW w:w="100" w:type="dxa"/>
            <w:vAlign w:val="bottom"/>
            <w:shd w:val="clear" w:color="auto" w:fill="CFF0FC"/>
          </w:tcPr>
          <w:p>
            <w:pPr>
              <w:spacing w:after="0"/>
              <w:rPr>
                <w:sz w:val="19"/>
                <w:szCs w:val="19"/>
                <w:color w:val="auto"/>
              </w:rPr>
            </w:pPr>
          </w:p>
        </w:tc>
      </w:tr>
      <w:tr>
        <w:trPr>
          <w:trHeight w:val="229"/>
        </w:trPr>
        <w:tc>
          <w:tcPr>
            <w:tcW w:w="6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796,906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2,146,226</w:t>
            </w:r>
          </w:p>
        </w:tc>
        <w:tc>
          <w:tcPr>
            <w:tcW w:w="100" w:type="dxa"/>
            <w:vAlign w:val="bottom"/>
          </w:tcPr>
          <w:p>
            <w:pPr>
              <w:spacing w:after="0"/>
              <w:rPr>
                <w:sz w:val="19"/>
                <w:szCs w:val="19"/>
                <w:color w:val="auto"/>
              </w:rPr>
            </w:pPr>
          </w:p>
        </w:tc>
      </w:tr>
      <w:tr>
        <w:trPr>
          <w:trHeight w:val="230"/>
        </w:trPr>
        <w:tc>
          <w:tcPr>
            <w:tcW w:w="62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Changes in operating lease right-of-use assets</w:t>
            </w:r>
          </w:p>
        </w:tc>
        <w:tc>
          <w:tcPr>
            <w:tcW w:w="15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186,736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195,914</w:t>
            </w:r>
          </w:p>
        </w:tc>
        <w:tc>
          <w:tcPr>
            <w:tcW w:w="100" w:type="dxa"/>
            <w:vAlign w:val="bottom"/>
            <w:shd w:val="clear" w:color="auto" w:fill="CFF0FC"/>
          </w:tcPr>
          <w:p>
            <w:pPr>
              <w:spacing w:after="0"/>
              <w:rPr>
                <w:sz w:val="19"/>
                <w:szCs w:val="19"/>
                <w:color w:val="auto"/>
              </w:rPr>
            </w:pPr>
          </w:p>
        </w:tc>
      </w:tr>
      <w:tr>
        <w:trPr>
          <w:trHeight w:val="229"/>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2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Accounts receivable</w:t>
            </w:r>
          </w:p>
        </w:tc>
        <w:tc>
          <w:tcPr>
            <w:tcW w:w="15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84,678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(80,925)</w:t>
            </w:r>
          </w:p>
        </w:tc>
      </w:tr>
      <w:tr>
        <w:trPr>
          <w:trHeight w:val="230"/>
        </w:trPr>
        <w:tc>
          <w:tcPr>
            <w:tcW w:w="6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Inventory</w:t>
            </w:r>
          </w:p>
        </w:tc>
        <w:tc>
          <w:tcPr>
            <w:tcW w:w="1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(68,480)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5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443,216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(105,491)</w:t>
            </w:r>
          </w:p>
        </w:tc>
      </w:tr>
      <w:tr>
        <w:trPr>
          <w:trHeight w:val="229"/>
        </w:trPr>
        <w:tc>
          <w:tcPr>
            <w:tcW w:w="6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Accounts payable</w:t>
            </w:r>
          </w:p>
        </w:tc>
        <w:tc>
          <w:tcPr>
            <w:tcW w:w="1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(271,044)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353,928</w:t>
            </w:r>
          </w:p>
        </w:tc>
        <w:tc>
          <w:tcPr>
            <w:tcW w:w="100" w:type="dxa"/>
            <w:vAlign w:val="bottom"/>
          </w:tcPr>
          <w:p>
            <w:pPr>
              <w:spacing w:after="0"/>
              <w:rPr>
                <w:sz w:val="19"/>
                <w:szCs w:val="19"/>
                <w:color w:val="auto"/>
              </w:rPr>
            </w:pPr>
          </w:p>
        </w:tc>
      </w:tr>
      <w:tr>
        <w:trPr>
          <w:trHeight w:val="230"/>
        </w:trPr>
        <w:tc>
          <w:tcPr>
            <w:tcW w:w="62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Accrued severance expense</w:t>
            </w:r>
          </w:p>
        </w:tc>
        <w:tc>
          <w:tcPr>
            <w:tcW w:w="15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(65,566)</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Accrued expenses</w:t>
            </w:r>
          </w:p>
        </w:tc>
        <w:tc>
          <w:tcPr>
            <w:tcW w:w="1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(180,535)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179,999</w:t>
            </w:r>
          </w:p>
        </w:tc>
        <w:tc>
          <w:tcPr>
            <w:tcW w:w="100" w:type="dxa"/>
            <w:vAlign w:val="bottom"/>
          </w:tcPr>
          <w:p>
            <w:pPr>
              <w:spacing w:after="0"/>
              <w:rPr>
                <w:sz w:val="19"/>
                <w:szCs w:val="19"/>
                <w:color w:val="auto"/>
              </w:rPr>
            </w:pPr>
          </w:p>
        </w:tc>
      </w:tr>
      <w:tr>
        <w:trPr>
          <w:trHeight w:val="230"/>
        </w:trPr>
        <w:tc>
          <w:tcPr>
            <w:tcW w:w="62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5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(203,010)</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(210,212)</w:t>
            </w:r>
          </w:p>
        </w:tc>
      </w:tr>
      <w:tr>
        <w:trPr>
          <w:trHeight w:val="229"/>
        </w:trPr>
        <w:tc>
          <w:tcPr>
            <w:tcW w:w="622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Deferred revenue</w:t>
            </w:r>
          </w:p>
        </w:tc>
        <w:tc>
          <w:tcPr>
            <w:tcW w:w="15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bottom w:val="single" w:sz="8" w:color="CFF0FC"/>
            </w:tcBorders>
          </w:tcPr>
          <w:p>
            <w:pPr>
              <w:spacing w:after="0"/>
              <w:rPr>
                <w:sz w:val="19"/>
                <w:szCs w:val="19"/>
                <w:color w:val="auto"/>
              </w:rPr>
            </w:pPr>
          </w:p>
        </w:tc>
      </w:tr>
      <w:tr>
        <w:trPr>
          <w:trHeight w:val="223"/>
        </w:trPr>
        <w:tc>
          <w:tcPr>
            <w:tcW w:w="62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5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(6,356,971)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(5,976,550)</w:t>
            </w:r>
          </w:p>
        </w:tc>
        <w:tc>
          <w:tcPr>
            <w:tcW w:w="100" w:type="dxa"/>
            <w:vAlign w:val="bottom"/>
            <w:shd w:val="clear" w:color="auto" w:fill="CFF0FC"/>
          </w:tcPr>
          <w:p>
            <w:pPr>
              <w:spacing w:after="0"/>
              <w:rPr>
                <w:sz w:val="19"/>
                <w:szCs w:val="19"/>
                <w:color w:val="auto"/>
              </w:rPr>
            </w:pPr>
          </w:p>
        </w:tc>
      </w:tr>
      <w:tr>
        <w:trPr>
          <w:trHeight w:val="223"/>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5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(44,489)</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(111,727)</w:t>
            </w:r>
          </w:p>
        </w:tc>
      </w:tr>
      <w:tr>
        <w:trPr>
          <w:trHeight w:val="223"/>
        </w:trPr>
        <w:tc>
          <w:tcPr>
            <w:tcW w:w="62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56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(44,489)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(111,727)</w:t>
            </w:r>
          </w:p>
        </w:tc>
        <w:tc>
          <w:tcPr>
            <w:tcW w:w="100" w:type="dxa"/>
            <w:vAlign w:val="bottom"/>
            <w:tcBorders>
              <w:bottom w:val="single" w:sz="8" w:color="CFF0FC"/>
            </w:tcBorders>
          </w:tcPr>
          <w:p>
            <w:pPr>
              <w:spacing w:after="0"/>
              <w:rPr>
                <w:sz w:val="19"/>
                <w:szCs w:val="19"/>
                <w:color w:val="auto"/>
              </w:rPr>
            </w:pPr>
          </w:p>
        </w:tc>
      </w:tr>
      <w:tr>
        <w:trPr>
          <w:trHeight w:val="223"/>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5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2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Proceeds from contributions to employee stock purchase plan</w:t>
            </w:r>
          </w:p>
        </w:tc>
        <w:tc>
          <w:tcPr>
            <w:tcW w:w="15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104,217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117,013</w:t>
            </w:r>
          </w:p>
        </w:tc>
        <w:tc>
          <w:tcPr>
            <w:tcW w:w="100" w:type="dxa"/>
            <w:vAlign w:val="bottom"/>
            <w:tcBorders>
              <w:bottom w:val="single" w:sz="8" w:color="CFF0FC"/>
            </w:tcBorders>
          </w:tcPr>
          <w:p>
            <w:pPr>
              <w:spacing w:after="0"/>
              <w:rPr>
                <w:sz w:val="19"/>
                <w:szCs w:val="19"/>
                <w:color w:val="auto"/>
              </w:rPr>
            </w:pPr>
          </w:p>
        </w:tc>
      </w:tr>
      <w:tr>
        <w:trPr>
          <w:trHeight w:val="223"/>
        </w:trPr>
        <w:tc>
          <w:tcPr>
            <w:tcW w:w="62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5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104,217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117,013</w:t>
            </w:r>
          </w:p>
        </w:tc>
        <w:tc>
          <w:tcPr>
            <w:tcW w:w="100" w:type="dxa"/>
            <w:vAlign w:val="bottom"/>
            <w:shd w:val="clear" w:color="auto" w:fill="CFF0FC"/>
          </w:tcPr>
          <w:p>
            <w:pPr>
              <w:spacing w:after="0"/>
              <w:rPr>
                <w:sz w:val="19"/>
                <w:szCs w:val="19"/>
                <w:color w:val="auto"/>
              </w:rPr>
            </w:pPr>
          </w:p>
        </w:tc>
      </w:tr>
      <w:tr>
        <w:trPr>
          <w:trHeight w:val="223"/>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(6,297,243)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(5,971,264)</w:t>
            </w:r>
          </w:p>
        </w:tc>
        <w:tc>
          <w:tcPr>
            <w:tcW w:w="100" w:type="dxa"/>
            <w:vAlign w:val="bottom"/>
          </w:tcPr>
          <w:p>
            <w:pPr>
              <w:spacing w:after="0"/>
              <w:rPr>
                <w:sz w:val="19"/>
                <w:szCs w:val="19"/>
                <w:color w:val="auto"/>
              </w:rPr>
            </w:pPr>
          </w:p>
        </w:tc>
      </w:tr>
      <w:tr>
        <w:trPr>
          <w:trHeight w:val="230"/>
        </w:trPr>
        <w:tc>
          <w:tcPr>
            <w:tcW w:w="6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 – beginning</w:t>
            </w:r>
          </w:p>
        </w:tc>
        <w:tc>
          <w:tcPr>
            <w:tcW w:w="15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49,071,414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50,729,661</w:t>
            </w:r>
          </w:p>
        </w:tc>
        <w:tc>
          <w:tcPr>
            <w:tcW w:w="100" w:type="dxa"/>
            <w:vAlign w:val="bottom"/>
            <w:shd w:val="clear" w:color="auto" w:fill="CFF0FC"/>
          </w:tcPr>
          <w:p>
            <w:pPr>
              <w:spacing w:after="0"/>
              <w:rPr>
                <w:sz w:val="19"/>
                <w:szCs w:val="19"/>
                <w:color w:val="auto"/>
              </w:rPr>
            </w:pPr>
          </w:p>
        </w:tc>
      </w:tr>
      <w:tr>
        <w:trPr>
          <w:trHeight w:val="263"/>
        </w:trPr>
        <w:tc>
          <w:tcPr>
            <w:tcW w:w="62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Cash and cash equivalents – ending</w:t>
            </w:r>
          </w:p>
        </w:tc>
        <w:tc>
          <w:tcPr>
            <w:tcW w:w="156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42,774,171</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44,758,397</w:t>
            </w:r>
          </w:p>
        </w:tc>
        <w:tc>
          <w:tcPr>
            <w:tcW w:w="100" w:type="dxa"/>
            <w:vAlign w:val="bottom"/>
            <w:tcBorders>
              <w:bottom w:val="single" w:sz="8" w:color="CFF0FC"/>
            </w:tcBorders>
          </w:tcPr>
          <w:p>
            <w:pPr>
              <w:spacing w:after="0"/>
              <w:rPr>
                <w:sz w:val="22"/>
                <w:szCs w:val="22"/>
                <w:color w:val="auto"/>
              </w:rPr>
            </w:pPr>
          </w:p>
        </w:tc>
      </w:tr>
      <w:tr>
        <w:trPr>
          <w:trHeight w:val="210"/>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disclosure of non-cash financing activities:</w:t>
            </w:r>
          </w:p>
        </w:tc>
        <w:tc>
          <w:tcPr>
            <w:tcW w:w="15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 issued for RSUs</w:t>
            </w:r>
          </w:p>
        </w:tc>
        <w:tc>
          <w:tcPr>
            <w:tcW w:w="190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9"/>
                <w:szCs w:val="19"/>
                <w:color w:val="auto"/>
              </w:rPr>
            </w:pPr>
          </w:p>
        </w:tc>
        <w:tc>
          <w:tcPr>
            <w:tcW w:w="360" w:type="dxa"/>
            <w:vAlign w:val="bottom"/>
            <w:gridSpan w:val="2"/>
          </w:tcPr>
          <w:p>
            <w:pPr>
              <w:jc w:val="right"/>
              <w:ind w:right="224"/>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Note 1 - Business Organization, Nature of Operations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Energous Corporation (the “Company”) was incorporated in Delaware on October 30, 2012. The Company has developed its WattUp® wireless power technology, consisting of proprietary semiconductor chipsets, software controls, hardware designs and antennas, that enables radio frequency (“RF”) based charging for electronic devices. The WattUp technology has a broad spectrum of capabilities, including near field wireless charging and at-a-distance wireless charging at various distances. The Company believes its proprietary WattUp technologies are well suited for many applications, including building and home automation, electronic shelf labels, industrial IoT sensors, surface and implanted medical devices, tracking devices, hearables, wearables, consumer electronics and public safety applications. Potential future applications include smartphones, commercial and industrial robotics, as well as automotive solutions and other devices with charging requirements that would otherwise require battery replacement or a wired power connection.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Liquidity and Management Plans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2022 and 2021, the Company recorded revenue of $215,961 and $145,065, respectively. During the three months ended March 31, 2022 and 2021, the Company recorded net losses of $7,152,718 and $8,525,763, respectively. Net cash used in operating activities was $6,356,971 and $5,976,550 for the three months ended March 31, 2022 and 2021, respectively. The Company is currently meeting its liquidity requirements through the proceeds of securities offerings that raised net proceeds of $53,556,202 during 2020, and $27,043,751 during the fourth quarter of 2021, proceeds from contributions to the Company’s employee stock purchase plan (the “ESPP”), along with payments received from customers.</w:t>
      </w:r>
    </w:p>
    <w:p>
      <w:pPr>
        <w:spacing w:after="0" w:line="7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As of March 31, 2022, the Company had cash on hand of $42,774,171. The Company expects that cash on hand as of March 31, 2022, together with anticipated revenues, will be sufficient to fund the Company’s operations through May 2023.</w:t>
      </w:r>
    </w:p>
    <w:p>
      <w:pPr>
        <w:spacing w:after="0" w:line="5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Research and development of new technologies is by its nature unpredictable. Although the Company intends to continue its research and development activities, there can be no assurance that its available resources and revenue generated from its business operations will be sufficient to sustain its operations. Accordingly, the Company expects to pursue additional financing, which could include offerings of equity or debt securities, bank financings, commercial agreements with customers or strategic partners, and other alternatives, depending upon market conditions. There is no assurance that such financing will be available on terms that the Company would find acceptable, or at all.</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market for products using the Company’s technology is broad and evolving, but remains nascent and unproven, so the Company’s success is dependent upon many factors, including customer acceptance of its existing products, technical feasibility of future products, regulatory approvals, the development of complementary technologies, competition and global market fluctuations.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Summary of Significant Accounting Policies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are presented in U.S. dollars and have been prepared in accordance with accounting principles generally accepted in the United States of America (“US GAAP”), and pursuant to the accounting and disclosure rules and regulations of the U.S. Securities and Exchange Commission (the “SEC”).</w:t>
      </w:r>
    </w:p>
    <w:p>
      <w:pPr>
        <w:spacing w:after="0" w:line="68"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These unaudited condensed interim financial statements should be read in conjunction with the audited financial statements and notes thereto for the fiscal year ended December 31, 2021 included in the Company's Annual Report on Form 10-K for the fiscal year ended December 31, 2021, filed with the SEC on March 23, 2022. The accounting policies used in preparing these unaudited condensed interim financial statements are consistent with those described in the Company’s December 31, 2021 audited financial statements</w:t>
      </w:r>
      <w:r>
        <w:rPr>
          <w:rFonts w:ascii="Times New Roman" w:cs="Times New Roman" w:eastAsia="Times New Roman" w:hAnsi="Times New Roman"/>
          <w:sz w:val="18"/>
          <w:szCs w:val="18"/>
          <w:i w:val="1"/>
          <w:iCs w:val="1"/>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the disclosure of contingent liabilities at the date of the financial statements as well as the reported expenses during the reporting periods.</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Note 3 – Summary of Significant Accounting Policies, continued</w:t>
      </w:r>
    </w:p>
    <w:p>
      <w:pPr>
        <w:spacing w:after="0" w:line="18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The Company’s significant estimates and assumptions include the valuation of stock-based compensation instruments, recognition of revenue, inventory valuation, the useful lives of long-lived assets, and the valuation allowance on deferred tax assets. Some of these judgments can be subjective and complex, and, consequently, actual results may differ from these estimates. Although the Company believes that its estimates and assumptions are reasonable, they are based upon information available at the time the estimates and assumptions were made. Actual results could differ from those estimates.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considers all short-term, highly liquid investments with an original maturity at the date of purchase of three months or less to be cash equivalents. The Company maintains cash balances that may be uninsured or in deposit accounts that exceed Federal Deposit Insurance Corporation limits. The Company maintains its cash deposits with major financial institutions.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follows Accounting Standards Codification (“ASC”) 606, "Revenue from Contracts with Customers" (Topic 606).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Topic 606, the Company recognizes revenue using the following five-step approach:</w:t>
      </w:r>
    </w:p>
    <w:p>
      <w:pPr>
        <w:spacing w:after="0" w:line="131" w:lineRule="exact"/>
        <w:rPr>
          <w:sz w:val="20"/>
          <w:szCs w:val="20"/>
          <w:color w:val="auto"/>
        </w:rPr>
      </w:pPr>
    </w:p>
    <w:p>
      <w:pPr>
        <w:ind w:left="880" w:hanging="440"/>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 of the contract.</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performance obligations are satisfied.</w:t>
      </w:r>
    </w:p>
    <w:p>
      <w:pPr>
        <w:spacing w:after="0" w:line="18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Company’s revenue comes from its single segment of wireless charging system solutions. The wireless charging system revenue consists of revenue from product development projects and production-level systems. During the three months ended March 31, 2022 and 2021, the Company recognized $215,961 and $145,065, respectively, in revenue.</w:t>
      </w:r>
    </w:p>
    <w:p>
      <w:pPr>
        <w:spacing w:after="0" w:line="149"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 Company records revenue associated with product development projects that it enters into with certain customers. In general, these product development projects are complex, and the Company does not have certainty about its ability to achieve the project milestones. The achievement of a milestone is dependent on the Company’s performance obligation and requires acceptance by the customer. The Company recognizes this revenue at the point in time at which the performance obligation is met. The payment associated with achieving the performance obligation is generally commensurate with the Company’s effort or the value of the deliverable and is nonrefundable. The Company records the expenses related to these product development projects in research and development expense, in the periods such expenses were incurred.</w:t>
      </w:r>
    </w:p>
    <w:p>
      <w:pPr>
        <w:spacing w:after="0" w:line="14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Company records revenue associated with the sale of production-level systems at the point in time at which control over the product is transferred to the customer. The Company records the expense related to the sales of these systems as cost of revenue during the period that the product is transferred to the customer.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41"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color w:val="auto"/>
        </w:rPr>
        <w:t xml:space="preserve">The Company follows ASC 330, </w:t>
      </w:r>
      <w:r>
        <w:rPr>
          <w:rFonts w:ascii="Times New Roman" w:cs="Times New Roman" w:eastAsia="Times New Roman" w:hAnsi="Times New Roman"/>
          <w:sz w:val="18"/>
          <w:szCs w:val="18"/>
          <w:i w:val="1"/>
          <w:iCs w:val="1"/>
          <w:color w:val="auto"/>
        </w:rPr>
        <w:t>Inventory</w:t>
      </w:r>
      <w:r>
        <w:rPr>
          <w:rFonts w:ascii="Times New Roman" w:cs="Times New Roman" w:eastAsia="Times New Roman" w:hAnsi="Times New Roman"/>
          <w:sz w:val="18"/>
          <w:szCs w:val="18"/>
          <w:color w:val="auto"/>
        </w:rPr>
        <w:t xml:space="preserve"> (“Topic 330”) to account for its inventory, which includes finished goods ready for sale, work in process and raw materials, at the lower of cost or net realizable value. Net realizable value is calculated at the end of each reporting period and adjustment, if needed, is made.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8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are charged to operations as incurred. For internally developed patents, all patent costs are expensed as incurred as research and development expense. Patent application costs, which are generally legal costs, are expensed as research and development costs until such time as the future economic benefits of such patents become more certain. The Company incurred research and development costs of $3,527,146 and $4,591,244 for the three months ended March 31, 2022 and 2021, respectively.</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Note 3 – Summary of Significant Accounting Policies,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accounts for equity instruments issued to employees, board members and contractors in accordance with accounting guidance that requires awards to be recorded at their fair value on the date of grant and amortized over the vesting period of the award. The Company amortizes compensation costs on a straight-line basis over the requisite service period of the award, which is typically the vesting term of the equity instrument issued.</w:t>
      </w:r>
    </w:p>
    <w:p>
      <w:pPr>
        <w:spacing w:after="0" w:line="14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Under the ESPP, employees may purchase a limited number of shares of the Company’s common stock at a 15% discount from the lower of the closing market prices measured on the first and last days of each half-year period. The Company recognizes stock-based compensation expense for the fair value of the purchase options, as measured on the grant date.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Tax benefits are recognized only for tax positions that are more likely than not to be sustained upon examination by tax authorities. The amount recognized is measured as the largest amount of benefit that is greater than 50 percent likely to be realized upon settlement. A liability for “unrecognized tax benefits” is recorded for any tax benefits claimed in the Company’s tax returns that do not meet these recognition and measurement standards. As of March 31, 2022, no liability for unrecognized tax benefits was required to be reported. The guidance from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also discusses the classification of related interest and penalties on income taxes. The Company’s policy is to record interest and penalties on uncertain tax positions as a component of income tax expense. No interest or penalties were recorded during the three months ended March 31, 2022 or 2021. The Company files income tax returns with the United States and California governments.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Share</w:t>
      </w:r>
    </w:p>
    <w:p>
      <w:pPr>
        <w:spacing w:after="0" w:line="18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Basic net loss per share is computed by dividing net loss available to common stockholders by the weighted average number of shares of common stock outstanding during the period. Diluted earnings per share is computed using the weighted average number of common shares and, if dilutive, potential common shares outstanding during the period. Potential common shares consist of the incremental common shares issuable upon the exercise of stock options and warrants (using the treasury stock method), the vesting of restricted stock units (“RSUs”) and performance stock units (“PSUs”) and the enrollment of employees in the ESPP. The computation of diluted loss per share excludes potentially dilutive securities of 5,682,499 and 7,137,741 for the three months ended March 31, 2022 and 2021, respectively, because their inclusion would be anti-dilutive.</w:t>
      </w:r>
    </w:p>
    <w:p>
      <w:pPr>
        <w:spacing w:after="0" w:line="16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Potentially dilutive securities outlined in the table below have been excluded from the computation of diluted net loss per share because the effect of their inclusion would have been anti-dilutive.</w:t>
      </w:r>
    </w:p>
    <w:p>
      <w:pPr>
        <w:spacing w:after="0" w:line="196"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jc w:val="center"/>
        <w:ind w:left="6000"/>
        <w:spacing w:after="0"/>
        <w:rPr>
          <w:sz w:val="20"/>
          <w:szCs w:val="20"/>
          <w:color w:val="auto"/>
        </w:rPr>
      </w:pPr>
      <w:r>
        <w:rPr>
          <w:rFonts w:ascii="Times New Roman" w:cs="Times New Roman" w:eastAsia="Times New Roman" w:hAnsi="Times New Roman"/>
          <w:sz w:val="14"/>
          <w:szCs w:val="14"/>
          <w:b w:val="1"/>
          <w:bCs w:val="1"/>
          <w:color w:val="auto"/>
        </w:rPr>
        <w:t>Ended March 31,</w:t>
      </w:r>
    </w:p>
    <w:tbl>
      <w:tblPr>
        <w:tblLayout w:type="fixed"/>
        <w:tblInd w:w="0" w:type="dxa"/>
        <w:tblCellMar>
          <w:top w:w="0" w:type="dxa"/>
          <w:left w:w="0" w:type="dxa"/>
          <w:bottom w:w="0" w:type="dxa"/>
          <w:right w:w="0" w:type="dxa"/>
        </w:tblCellMar>
      </w:tblPr>
      <w:tr>
        <w:trPr>
          <w:trHeight w:val="155"/>
        </w:trPr>
        <w:tc>
          <w:tcPr>
            <w:tcW w:w="6160" w:type="dxa"/>
            <w:vAlign w:val="bottom"/>
            <w:tcBorders>
              <w:bottom w:val="single" w:sz="8" w:color="CFF0FC"/>
            </w:tcBorders>
          </w:tcPr>
          <w:p>
            <w:pPr>
              <w:spacing w:after="0"/>
              <w:rPr>
                <w:sz w:val="13"/>
                <w:szCs w:val="13"/>
                <w:color w:val="auto"/>
              </w:rPr>
            </w:pPr>
          </w:p>
        </w:tc>
        <w:tc>
          <w:tcPr>
            <w:tcW w:w="14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88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CFF0FC"/>
            </w:tcBorders>
          </w:tcPr>
          <w:p>
            <w:pPr>
              <w:spacing w:after="0"/>
              <w:rPr>
                <w:sz w:val="13"/>
                <w:szCs w:val="13"/>
                <w:color w:val="auto"/>
              </w:rPr>
            </w:pPr>
          </w:p>
        </w:tc>
        <w:tc>
          <w:tcPr>
            <w:tcW w:w="2320" w:type="dxa"/>
            <w:vAlign w:val="bottom"/>
            <w:tcBorders>
              <w:top w:val="single" w:sz="8" w:color="auto"/>
              <w:bottom w:val="single" w:sz="8" w:color="auto"/>
            </w:tcBorders>
          </w:tcPr>
          <w:p>
            <w:pPr>
              <w:jc w:val="right"/>
              <w:ind w:right="93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r>
      <w:tr>
        <w:trPr>
          <w:trHeight w:val="223"/>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 issued to private investors</w:t>
            </w:r>
          </w:p>
        </w:tc>
        <w:tc>
          <w:tcPr>
            <w:tcW w:w="14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3,284,789</w:t>
            </w:r>
          </w:p>
        </w:tc>
        <w:tc>
          <w:tcPr>
            <w:tcW w:w="340" w:type="dxa"/>
            <w:vAlign w:val="bottom"/>
            <w:shd w:val="clear" w:color="auto" w:fill="CFF0FC"/>
          </w:tcPr>
          <w:p>
            <w:pPr>
              <w:spacing w:after="0"/>
              <w:rPr>
                <w:sz w:val="19"/>
                <w:szCs w:val="19"/>
                <w:color w:val="auto"/>
              </w:rPr>
            </w:pP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3,284,789</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825,006</w:t>
            </w:r>
          </w:p>
        </w:tc>
        <w:tc>
          <w:tcPr>
            <w:tcW w:w="34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550,985</w:t>
            </w:r>
          </w:p>
        </w:tc>
        <w:tc>
          <w:tcPr>
            <w:tcW w:w="120" w:type="dxa"/>
            <w:vAlign w:val="bottom"/>
          </w:tcPr>
          <w:p>
            <w:pPr>
              <w:spacing w:after="0"/>
              <w:rPr>
                <w:sz w:val="19"/>
                <w:szCs w:val="19"/>
                <w:color w:val="auto"/>
              </w:rPr>
            </w:pPr>
          </w:p>
        </w:tc>
      </w:tr>
      <w:tr>
        <w:trPr>
          <w:trHeight w:val="230"/>
        </w:trPr>
        <w:tc>
          <w:tcPr>
            <w:tcW w:w="7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1,572,704</w:t>
            </w:r>
          </w:p>
        </w:tc>
        <w:tc>
          <w:tcPr>
            <w:tcW w:w="340" w:type="dxa"/>
            <w:vAlign w:val="bottom"/>
            <w:shd w:val="clear" w:color="auto" w:fill="CFF0FC"/>
          </w:tcPr>
          <w:p>
            <w:pPr>
              <w:spacing w:after="0"/>
              <w:rPr>
                <w:sz w:val="19"/>
                <w:szCs w:val="19"/>
                <w:color w:val="auto"/>
              </w:rPr>
            </w:pP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1,851,254</w:t>
            </w:r>
          </w:p>
        </w:tc>
        <w:tc>
          <w:tcPr>
            <w:tcW w:w="120" w:type="dxa"/>
            <w:vAlign w:val="bottom"/>
            <w:shd w:val="clear" w:color="auto" w:fill="CFF0FC"/>
          </w:tcPr>
          <w:p>
            <w:pPr>
              <w:spacing w:after="0"/>
              <w:rPr>
                <w:sz w:val="19"/>
                <w:szCs w:val="19"/>
                <w:color w:val="auto"/>
              </w:rPr>
            </w:pPr>
          </w:p>
        </w:tc>
      </w:tr>
      <w:tr>
        <w:trPr>
          <w:trHeight w:val="229"/>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PSUs</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1,450,713</w:t>
            </w:r>
          </w:p>
        </w:tc>
        <w:tc>
          <w:tcPr>
            <w:tcW w:w="120" w:type="dxa"/>
            <w:vAlign w:val="bottom"/>
          </w:tcPr>
          <w:p>
            <w:pPr>
              <w:spacing w:after="0"/>
              <w:rPr>
                <w:sz w:val="19"/>
                <w:szCs w:val="19"/>
                <w:color w:val="auto"/>
              </w:rPr>
            </w:pPr>
          </w:p>
        </w:tc>
      </w:tr>
      <w:tr>
        <w:trPr>
          <w:trHeight w:val="223"/>
        </w:trPr>
        <w:tc>
          <w:tcPr>
            <w:tcW w:w="61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potentially dilutive securities</w:t>
            </w:r>
          </w:p>
        </w:tc>
        <w:tc>
          <w:tcPr>
            <w:tcW w:w="14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5,682,499</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2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7,137,741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table above includes 1,618,123 warrants expiring on October 6, 2022, with an exercise price of $23.00 and 1,666,666 warrants expiring on March 1, 2024, with an exercise price of $10.00.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determines if an arrangement is a lease at the inception of the arrangement. The Company applies the short-term lease recognition exemption and recognizes lease payments in profit or loss at lease commencement for facility or equipment leases that have a lease term of 12 months or less and do not include a purchase option whose exercise is reasonably certain. Operating leases are included in operating lease right-of-use (ROU) assets and operating lease liabilities.</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3 – Summary of Significant Accounting Policies, continued</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ROU assets represent the right to use an underlying asset for the lease term, and lease liabilities represent the obligation to make lease payments arising from the lease. Operating lease ROU assets and liabilities are measured and recorded at the later of the adoption date, January 1, 2019, or the service commencement date based on the present value of lease payments over the lease term. The Company uses the implicit interest rate when readily determinable; however, most leases do not establish an implicit rate, so the Company uses an estimate of the incremental borrowing rate based on the information available at the time of measurement. Lease expense for lease payments is recognized on a straight-line basis over the lease term. See Note 4 – Commitments and Contingencies, </w:t>
      </w:r>
      <w:r>
        <w:rPr>
          <w:rFonts w:ascii="Times New Roman" w:cs="Times New Roman" w:eastAsia="Times New Roman" w:hAnsi="Times New Roman"/>
          <w:sz w:val="18"/>
          <w:szCs w:val="18"/>
          <w:i w:val="1"/>
          <w:iCs w:val="1"/>
          <w:color w:val="auto"/>
        </w:rPr>
        <w:t>Operating Leases</w:t>
      </w:r>
      <w:r>
        <w:rPr>
          <w:rFonts w:ascii="Times New Roman" w:cs="Times New Roman" w:eastAsia="Times New Roman" w:hAnsi="Times New Roman"/>
          <w:sz w:val="18"/>
          <w:szCs w:val="18"/>
          <w:color w:val="auto"/>
        </w:rPr>
        <w:t xml:space="preserve"> for further discussion of the Company’s operating leases.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May 2021, the FASB issued ASU No. 2021-04, “</w:t>
      </w:r>
      <w:r>
        <w:rPr>
          <w:rFonts w:ascii="Times New Roman" w:cs="Times New Roman" w:eastAsia="Times New Roman" w:hAnsi="Times New Roman"/>
          <w:sz w:val="18"/>
          <w:szCs w:val="18"/>
          <w:color w:val="3C3C3D"/>
        </w:rPr>
        <w:t>Earnings Per Share (Topic 260), Debt—Modifications and Own Equity (Subtopic 815-40Subtopic 470-50), Compensation—Stock Compensation (Topic 718), and Derivatives and Hedging—Contracts in Entity’s): Issuer’s Accounting for Certain Modifications or Exchanges of Freestanding Extinguishments (Equity-Classified Written Call Options (a consensus of the FASB Emerging Issues Task Force).” ASU 2021-04 clarifies accounting for modifications or exchanges of equity-classified warrants. This standard is effective for annual reporting periods beginning after December 15, 2021. The Company adopted this standard, and the adoption did not have a material impact on its financial statements</w:t>
      </w:r>
      <w:r>
        <w:rPr>
          <w:rFonts w:ascii="Times New Roman" w:cs="Times New Roman" w:eastAsia="Times New Roman" w:hAnsi="Times New Roman"/>
          <w:sz w:val="18"/>
          <w:szCs w:val="18"/>
          <w:color w:val="000000"/>
        </w:rPr>
        <w:t>.</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3B3B3B"/>
        </w:rPr>
        <w:t>In November 2021, the FASB issued ASU No. 2021-10, “Government Assistance (Topic 832), Disclosures by Business Entities about Government Assistance. ASU 2021-10 requires business entities to disclose certain types of government assistance they receive in the notes to the financial statements. This standard is effective for annual reporting periods beginning after December 15, 2021. The Company adopted this standard, and the adoption did not have a material impact on its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Subsequent Events</w:t>
      </w:r>
    </w:p>
    <w:p>
      <w:pPr>
        <w:spacing w:after="0" w:line="20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 evaluates events that have occurred after the balance sheet date of March 31, 2022, through the date which the financial statements are available to be issued.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Commitments and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San Jose Lease</w:t>
      </w:r>
    </w:p>
    <w:p>
      <w:pPr>
        <w:spacing w:after="0" w:line="18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July 1, 2019, the Company signed a new lease agreement for the lease of its office space at its corporate headquarters in San Jose, California for an additional three years. Upon expiration of the original lease on September 30, 2019, the new monthly lease payment starting October 1, 2019 was $52,970 and is subject to annual escalations up to a maximum monthly lease payment of $64,941.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 continued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Costa Mesa Lease</w:t>
      </w:r>
    </w:p>
    <w:p>
      <w:pPr>
        <w:spacing w:after="0" w:line="252"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On July 15, 2019, the Company signed a new lease agreement for the lease of office space in Costa Mesa, California for an additional two years. Upon expiration of the original lease on September 30, 2019, the new monthly lease payment starting October 1, 2019 was $9,773 and is subject to an annual escalation up to a maximum monthly lease payment of $10,200.</w:t>
      </w:r>
    </w:p>
    <w:p>
      <w:pPr>
        <w:spacing w:after="0" w:line="203"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On September 22, 2021, the Company signed a new Costa Mesa lease to lease a new, distinct office space in a different building with the same landlord. Per the lease, the lease commencement date is October 1, 2021 and the expiry date is September 30, 2023. The Company did not have control of the new office space until October 2021, at which time the Company recorded a new right-of-use lease asset of $104,563 and operating lease liability of $104,563. The new Costa Mesa lease has an initial monthly lease payment of $4,369 starting October 1, 2021 and is subject to an annual escalation up to a maximum monthly lease payment of $4,522.</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Note 4 – Commitments and Contingencies, continued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Lease Commitments</w:t>
      </w:r>
    </w:p>
    <w:p>
      <w:pPr>
        <w:spacing w:after="0" w:line="25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The Company follows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and recognizes the required right-of-use assets and operating lease liabilities on its balance sheet. The Company anticipates having future total lease payments of $470,120 during the period from the second quarter of 2022 to the third quarter of 2023. As of March 31, 2022, the Company has total operating lease right-of-use assets of $432,249, current portion operating lease liabilities of $438,698 and long-term portion of operating lease liabilities of $27,012. The weighted average remaining lease term is 0.7 years as of March 31, 2022.</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undiscounted cash flows to lease liabilities recognized as of March 31, 2022 is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56"/>
        </w:trPr>
        <w:tc>
          <w:tcPr>
            <w:tcW w:w="90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jc w:val="right"/>
              <w:ind w:right="495"/>
              <w:spacing w:after="0" w:line="155"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3"/>
                <w:szCs w:val="13"/>
                <w:color w:val="auto"/>
              </w:rPr>
            </w:pPr>
          </w:p>
        </w:tc>
      </w:tr>
      <w:tr>
        <w:trPr>
          <w:trHeight w:val="229"/>
        </w:trPr>
        <w:tc>
          <w:tcPr>
            <w:tcW w:w="9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429,425</w:t>
            </w:r>
          </w:p>
        </w:tc>
        <w:tc>
          <w:tcPr>
            <w:tcW w:w="120" w:type="dxa"/>
            <w:vAlign w:val="bottom"/>
            <w:shd w:val="clear" w:color="auto" w:fill="CFF0FC"/>
          </w:tcPr>
          <w:p>
            <w:pPr>
              <w:spacing w:after="0"/>
              <w:rPr>
                <w:sz w:val="19"/>
                <w:szCs w:val="19"/>
                <w:color w:val="auto"/>
              </w:rPr>
            </w:pPr>
          </w:p>
        </w:tc>
      </w:tr>
      <w:tr>
        <w:trPr>
          <w:trHeight w:val="229"/>
        </w:trPr>
        <w:tc>
          <w:tcPr>
            <w:tcW w:w="9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40,695</w:t>
            </w:r>
          </w:p>
        </w:tc>
        <w:tc>
          <w:tcPr>
            <w:tcW w:w="120" w:type="dxa"/>
            <w:vAlign w:val="bottom"/>
            <w:tcBorders>
              <w:bottom w:val="single" w:sz="8" w:color="CFF0FC"/>
            </w:tcBorders>
          </w:tcPr>
          <w:p>
            <w:pPr>
              <w:spacing w:after="0"/>
              <w:rPr>
                <w:sz w:val="19"/>
                <w:szCs w:val="19"/>
                <w:color w:val="auto"/>
              </w:rPr>
            </w:pPr>
          </w:p>
        </w:tc>
      </w:tr>
      <w:tr>
        <w:trPr>
          <w:trHeight w:val="223"/>
        </w:trPr>
        <w:tc>
          <w:tcPr>
            <w:tcW w:w="9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3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470,120</w:t>
            </w:r>
          </w:p>
        </w:tc>
        <w:tc>
          <w:tcPr>
            <w:tcW w:w="120" w:type="dxa"/>
            <w:vAlign w:val="bottom"/>
            <w:shd w:val="clear" w:color="auto" w:fill="CFF0FC"/>
          </w:tcPr>
          <w:p>
            <w:pPr>
              <w:spacing w:after="0"/>
              <w:rPr>
                <w:sz w:val="19"/>
                <w:szCs w:val="19"/>
                <w:color w:val="auto"/>
              </w:rPr>
            </w:pPr>
          </w:p>
        </w:tc>
      </w:tr>
      <w:tr>
        <w:trPr>
          <w:trHeight w:val="229"/>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Present value discount (4% weighted average)</w:t>
            </w:r>
          </w:p>
        </w:tc>
        <w:tc>
          <w:tcPr>
            <w:tcW w:w="34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(4,410)</w:t>
            </w:r>
          </w:p>
        </w:tc>
      </w:tr>
      <w:tr>
        <w:trPr>
          <w:trHeight w:val="223"/>
        </w:trPr>
        <w:tc>
          <w:tcPr>
            <w:tcW w:w="92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465,710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9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22222"/>
        </w:rPr>
        <w:t>Hosted Design Software Agreement</w:t>
      </w:r>
    </w:p>
    <w:p>
      <w:pPr>
        <w:spacing w:after="0" w:line="20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222222"/>
        </w:rPr>
        <w:t>On June 25, 2015, the Company entered into a three-year agreement to license electronic design automation software in a hosted environment. Pursuant to the agreement, under which services began July 2015, the Company is required to remit quarterly payments. In June 2021, the Company entered into its latest renewal of the agreement for an additional three years, and the Company is required to remit quarterly payments of approximately $233,000 through the second quarter of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Litigations, Claims, and Assessments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is from time to time involved in various disputes, claims, liens and litigation matters arising in the normal course of business. While the outcome of these disputes, claims, liens and litigation matters cannot be predicted with certainty, after consulting with legal counsel, management does not believe that the outcome of these matters will have a material adverse effect on the Company's combined financial position, results of operations or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MBO Bonus Plan</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March 15, 2018, the Company’s Board of Directors (“Board”), on the recommendation of the Board’s Compensation Committee (“Compensation Committee”), approved the Energous Corporation MBO Bonus Plan (“Bonus Plan”) for executive officers of the Company. To be eligible to receive a bonus under the Bonus Plan, an executive officer must be continuously employed throughout the applicable performance period, and in good standing, and achieve the performance objectives selected by the Compensation Committee.</w:t>
      </w:r>
    </w:p>
    <w:p>
      <w:pPr>
        <w:spacing w:after="0" w:line="13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Under the Bonus Plan, the Compensation Committee is responsible for selecting the amounts of potential bonuses for executive officers, the performance metrics used to determine whether any such bonuses will be paid and determining whether those performance metrics have been achieved.</w:t>
      </w:r>
    </w:p>
    <w:p>
      <w:pPr>
        <w:spacing w:after="0" w:line="13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2022, the Company accrued $225,802 in expense under the Bonus Plan, which will be paid during the second quarter of 2022. During the three months ended March 31, 2021, the Company accrued $391,578 in expense under the Bonus Plan, which was paid during the second quarter of 2021. The expense under the Bonus Plan is recorded under operating expenses on the Company’s Condensed Statement of Operations within each executive’s department.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and Change in Control Agreement</w:t>
      </w:r>
    </w:p>
    <w:p>
      <w:pPr>
        <w:spacing w:after="0" w:line="18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 March 15, 2018, the Compensation Committee approved a form of Severance and Change in Control Agreement (“Severance Agreement”) that the Company may enter into with executive officers (each, an “Executive”).</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Note 4 – Commitments and Contingencies, continued</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Under the Severance Agreement, if an Executive is terminated in a qualifying change in control termination, the Company agrees to pay the Executive six to 12 months of that Executive’s monthly base salary. If Executive elects continued coverage under the Consolidated Omnibus Budget Reconciliation Act of 1985, as amended (“COBRA”) the Company will pay the full amount of Executive’s premiums under the Company’s health, dental and vision plans, including coverage for the Executive’s eligible dependents, for the six to 12 month period following the Executive’s termination.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Employee Agreement – Cesar Johnston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9, 2021, the Company announced that Cesar Johnston had been appointed as the Company’s Chief Executive Officer. In connection with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Johnston’s appointment as Chief Executive Officer, the Company and Mr. Johnston executed an offer letter dated as of December 6, 2021.</w:t>
      </w:r>
    </w:p>
    <w:p>
      <w:pPr>
        <w:spacing w:after="0" w:line="20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Under the terms of his offer letter, Mr. Johnston will receive an annual base salary of $400,000 per year. Beginning in year 2022, he will be eligible to receive a discretionary annual bonus of up to 100% of his base salary, at the recommendation of the Company’s Compensation Committee, with the approval of the Company’s Board. In addition, as an inducement to accept his appointment as Chief Executive Officer, Mr. Johnston will receive, subject to continued employment, (a) a special one-time sign-on bonus in the amount of $120,000, payable in two equal installments of $60,000 each on the first payroll date in 2022 and the first payroll date after December 6, 2022, (b) a grant of 150,000 RSUs to acquire shares of the Company’s common stock, one third of which will vest on December 6, 2022 and the remaining two thirds of which will vest in eight equal installments of 12,500 each on each quarterly anniversary thereafter and (c) a grant of an option to purchase 300,000 shares of the Company’s common stock at an exercise price equal to the fair market value of the Company’s common stock on the grant date, half of which shall vest on December 31, 2023, a quarter of which shall vest on December 31, 2024 and the remainder of which shall vest on December 31, 2025.</w:t>
      </w:r>
    </w:p>
    <w:p>
      <w:pPr>
        <w:spacing w:after="0" w:line="215"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Mr. Johnston will further be eligible for (a) an additional equity award in the amount of 287,000 PSUs to acquire shares of the Company’s common stock, which vest up to one third per year over a three year period commencing January 1, 2022 and ending December 31, 2024, upon the achievement of performance criteria to be mutually established by Mr. Johnston and the Compensation Committee, and (b) an additional equity award of up to 25,000 PSUs per calendar year for 2022, 2023 and 2024, respectively, based on outperformance of agreed upon goals per calendar year, as determined by the Compensation Committee with approval of the Board. As of March 31, 2022, the PSUs have not yet been granted.</w:t>
      </w:r>
    </w:p>
    <w:p>
      <w:pPr>
        <w:spacing w:after="0" w:line="1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connection with Mr. Johnston’s appointment as Chief Executive Officer, the Company and Mr. Johnston additionally entered into an amended and restated severance and change in control agreement, dated as of December 6, 2021. In the event of a termination that is not a change-in-control qualifying termination, Mr. Johnston is entitled to (a) a one-time lump sum payment by the Company in an amount equal to 18 months of his monthly base salary plus an amount equal to 100% of his target bonus plus, if agreed by the Compensation Committee, a discretionary bonus for the year in which the termination occurs, (b) any outstanding unvested equity awards held by Mr. Johnston that would vest in the next 18 months of continuing employment (other than any equity awards that vest upon satisfaction of performance criteria) will accelerate and become vested and (c) if Mr. Johnston timely elects continued coverage under COBRA, the Company or its successor will pay the full amount of Mr. Johnston’s COBRA premiums on his behalf for 18 months.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Johnston’s agreement additionally provides that, in the event of a change-in-control qualifying termination, Mr. Johnston is entitled to</w:t>
      </w:r>
    </w:p>
    <w:p>
      <w:pPr>
        <w:spacing w:after="0" w:line="27" w:lineRule="exact"/>
        <w:rPr>
          <w:sz w:val="20"/>
          <w:szCs w:val="20"/>
          <w:color w:val="auto"/>
        </w:rPr>
      </w:pPr>
    </w:p>
    <w:p>
      <w:pPr>
        <w:ind w:right="480" w:firstLine="8"/>
        <w:spacing w:after="0" w:line="253" w:lineRule="auto"/>
        <w:tabs>
          <w:tab w:leader="none" w:pos="25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one-time lump sum payment by the Company in an amount equal to 18 months of his monthly base salary plus an amount equal to 150% of his target bonus plus a prorated bonus for the year in which the termination occurs, (b) any outstanding unvested equity awards held by Mr. Johnston (including any equity awards that vest upon satisfaction of performance criteria) will accelerate in full and become vested and (c) if Mr. Johnston timely elects continued coverage under COBRA, the Company or its successor will pay the full amount of Mr. Johnston’s COBRA premiums on his behalf for 18 months.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Johnston is also eligible to receive all customary and usual benefits generally available to senior executives of the Company.</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4 – Commitments and Contingencies, continued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Transition Agreement – Stephen Rizzone</w:t>
      </w:r>
    </w:p>
    <w:p>
      <w:pPr>
        <w:spacing w:after="0" w:line="20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On April 3, 2015, the Company entered into an Amended and Restated Executive Employment Agreement with Stephen R. Rizzone, the Company’s former President and Chief Executive Officer (“Employment Agreement”).</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Employment Agreement effective as of January 1, 2015, had an initial term of four years and automatically renewed each year after the initial term. The Employment Agreement provided for an annual base salary of $365,000, and Mr. Rizzone was eligible to receive quarterly cash bonuses from the MBO Bonus Plan with a total target amount equal to 100% of his base salary based upon achievement of performance-based objectives established by the Board.</w:t>
      </w:r>
    </w:p>
    <w:p>
      <w:pPr>
        <w:spacing w:after="0" w:line="20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July 9, 2021, the Company announced that Stephen R. Rizzone had retired from his position as the Company’s President and Chief Executive Officer and as a member of the Board.</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Mr. Rizzone’s retirement, the Company and Mr. Rizzone entered into an Executive Transition Agreement (the “Separation Agreement”), providing for continued employment through August 31, 2021. Upon his termination of employment, the Separation Agreement provides severance payments and benefits to Mr. Rizzone consistent with the terms of his existing employment agreement with the Company, including without limitation: compensation-based payments of $1,460,000 in the aggregate, payable under a certain payment scheme as set forth therein, an additional lump sum cash payment of $2,000,000, a pro-rated bonus payment for the two months of employment during the current quarterly bonus period payable at the same time bonus payments are made to other executives of the Company, settlement of deferred vested RSUs and an extension of the exercise periods of all stock options held by Mr. Rizzone until the one year anniversary of his termination date, and additional benefits related to Mr. Rizzone’s medical insurance. In addition, the Company agreed to pay-off all amounts owed under a lease agreement relating to a Company Car and that Mr. Rizzone would receive the title to the vehicle. All compensation under the Separation Agreement has been or will be subject to applicable withholding.</w:t>
      </w:r>
    </w:p>
    <w:p>
      <w:pPr>
        <w:spacing w:after="0" w:line="215" w:lineRule="exact"/>
        <w:rPr>
          <w:sz w:val="20"/>
          <w:szCs w:val="20"/>
          <w:color w:val="auto"/>
        </w:rPr>
      </w:pPr>
    </w:p>
    <w:p>
      <w:pPr>
        <w:ind w:right="880"/>
        <w:spacing w:after="0" w:line="461" w:lineRule="auto"/>
        <w:rPr>
          <w:sz w:val="20"/>
          <w:szCs w:val="20"/>
          <w:color w:val="auto"/>
        </w:rPr>
      </w:pPr>
      <w:r>
        <w:rPr>
          <w:rFonts w:ascii="Times New Roman" w:cs="Times New Roman" w:eastAsia="Times New Roman" w:hAnsi="Times New Roman"/>
          <w:sz w:val="18"/>
          <w:szCs w:val="18"/>
          <w:color w:val="auto"/>
        </w:rPr>
        <w:t xml:space="preserve">As of March 31, 2022, the Company had unpaid accrued severance expense of $909,873 which is expected to be paid through August 31, 2023. </w:t>
      </w:r>
      <w:r>
        <w:rPr>
          <w:rFonts w:ascii="Times New Roman" w:cs="Times New Roman" w:eastAsia="Times New Roman" w:hAnsi="Times New Roman"/>
          <w:sz w:val="18"/>
          <w:szCs w:val="18"/>
          <w:b w:val="1"/>
          <w:bCs w:val="1"/>
          <w:i w:val="1"/>
          <w:iCs w:val="1"/>
          <w:color w:val="auto"/>
        </w:rPr>
        <w:t>Strategic Alliance Agreement</w:t>
      </w:r>
    </w:p>
    <w:p>
      <w:pPr>
        <w:spacing w:after="0" w:line="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November 2016, the Company and Dialog Semiconductor plc (“Dialog”), a related party (see Note 7—Related Party Transactions), entered into a Strategic Alliance Agreement (“Alliance Agreement”) for the manufacture, distribution and commercialization of products incorporating the Company’s wire-free charging technology (“Licensed Products”). Pursuant to the terms of the Alliance Agreement, the Company agreed to engage Dialog as the exclusive supplier of the Licensed Products for specified fields of use, subject to certain exceptions (the “Company Exclusivity Requirement”). Dialog agreed to not distribute, sell or work with any third party to develop any competing products without the Company’s approval. In addition, both parties agreed on a revenue sharing arrangement and will collaborate on the commercialization of Licensed Products based on a mutually-agreed upon plan. Each party will retain all of its intellectual property.</w:t>
      </w:r>
    </w:p>
    <w:p>
      <w:pPr>
        <w:spacing w:after="0" w:line="20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Alliance Agreement has an initial term of seven years, with automatic renewal annually thereafter unless terminated by either party upon 180 days’ prior written notice. The Company may terminate the Alliance Agreement at any time after the third anniversary of the Alliance Agreement upon 180 days’ prior written notice to Dialog, or if Dialog breaches certain exclusivity obligations. Dialog may terminate the Alliance Agreement if sales of Licensed Products do not meet specified targets. The Company Exclusivity Requirement had a termination date of the earlier of January 1, 2021 or the occurrence of certain events relating to the Company’s pre-existing exclusivity obligations. The Company Exclusivity Requirement renewed automatically on an annual basis unless the Company and Dialog agree to terminate the requirement.</w:t>
      </w:r>
    </w:p>
    <w:p>
      <w:pPr>
        <w:spacing w:after="0" w:line="14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September 20, 2021, the Company was notified by Dialog, recently acquired by Renesas Electronics Corporation, that it was terminating the Alliance Agreement between the Company and Dialog. There is a wind down period included in the Alliance Agreement which will conclude in September 2024. During the wind down period, the Alliance Agreement’s terms will continue to apply to the Company’s products that are covered by certain existing customer relationships, except that the parties’ respective exclusivity rights have terminated.</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5 – Stockholders’ Equity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Capital</w:t>
      </w:r>
    </w:p>
    <w:p>
      <w:pPr>
        <w:spacing w:after="0" w:line="20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holders of the Company’s common stock are entitled to one vote per share. Holders of common stock are entitled to receive ratably such dividends, if any, as may be declared by the Board out of legally available funds. Upon the liquidation, dissolution or winding up of the Company, holders of common stock are entitled to share ratably in all assets of the Company that are legally available for distribution.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August 9, 2018, the Company filed a shelf registration statement on Form S-3 with the SEC, which became effective on August 17, 2018. This shelf registration statement allows the Company to sell, from time to time, any combination of debt or equity securities described in the registration statement up to aggregate proceeds of $75,000,000. Pursuant to this registration statement, in March 2019 the Company raised $23,319,156 (net of $1,680,844 in issuance costs) from an offering of shares of its common stock and warrants to purchase 1,666,666 shares of common stock at an exercise price of $10.00 per share. The Company also raised $4,557,693 (net of $339,081 in issuance costs) during the fourth quarter of 2019, $5,506,880 (net of $141,322 in issuance costs) during the first quarter of 2020 and $9,216,611 (net of $236,528 in issuance costs) during the second quarter of 2020, pursuant to this shelf registration statement. This shelf registration statement has expired and no additional shares will be sold thereunder.</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September 15, 2020, the Company filed a shelf registration statement on Form S-3 with the SEC, which became effective on September 24, 2020, and contains two prospectuses: a base prospectus, which covers the offering, issuance and sale by the Company of up to $75,000,000 of its common stock, preferred stock, debt securities, warrants to purchase our common stock, preferred stock or debt securities, subscription rights to purchase its common stock, preferred stock or debt securities and/or units consisting of some or all of these securities; and an at-the-market sales agreement prospectus supplement covering the offering, issuance and sale by the Company of up to a maximum aggregate offering price of $40,000,000 of its common stock that may be issued and sold under that certain sales agreement (the “ATM Program”). The $40,000,000 of common stock to be offered, issued and sold under the sales agreement prospectus is included in the $75,000,000 of securities that may be offered, issued and sold by the Company under the base prospectus. Pursuant to this shelf registration statement, the Company sold shares which raised net proceeds of $38,832,711 (net of $1,167,289 in issuance costs) during the third and fourth quarters of 2020 under the ATM Program.</w:t>
      </w:r>
    </w:p>
    <w:p>
      <w:pPr>
        <w:spacing w:after="0" w:line="148"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On October 4, 2021, the Company filed a prospectus supplement covering the offering, issuance and sale of up to an additional $35,000,000 of shares of the Company’s common stock pursuant to the ATM Program. The Company raised net proceeds of $27,043,751 (net of $868,122 in issuance costs), during the fourth quarter of 2021 under the ATM Program. As of March 31, 2022, the Company has $7,088,127 remaining on this shelf registration statement.</w:t>
      </w:r>
    </w:p>
    <w:p>
      <w:pPr>
        <w:spacing w:after="0" w:line="11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November 15, 2021, the Company filed a shelf registration statement on Form S-3 with the SEC, which became effective on December 16, 2021. This shelf registration statement allows the Company to sell, from time to time, any combination of debt or equity securities described in the registration statement up to aggregate proceeds of $100,000,000.</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Outstanding</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outstanding shares of common stock typically include shares that are deemed delivered under US GAAP. Shares that are deemed delivered currently include shares that have vested, but have not yet been delivered, under tax-deferred equity awards, as well as shares purchased under the ESPP where actual transfer of shares normally occurs a few days after the completion of the purchase periods. There are no voting rights for shares that are deemed delivered under US GAAP until the actual delivery of shares takes place. There are currently 200,000,000 shares of common stock authorized for issuance.</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 6 – Stock-Based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2013 Equity Incentive Plan</w:t>
      </w:r>
    </w:p>
    <w:p>
      <w:pPr>
        <w:spacing w:after="0" w:line="18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Effective on June 16, 2021, the Company’s stockholders approved the amendment and restatement of the 2013 Equity Incentive Plan to increase the number of shares reserved for issuance thereunder by 1,500,000 shares, bringing to 8,785,967 the total number of shares approved for issuance under that plan.</w:t>
      </w:r>
    </w:p>
    <w:p>
      <w:pPr>
        <w:spacing w:after="0" w:line="13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March 31, 2022, 1,362,773 shares of common stock remain eligible to be issued through equity-based instruments under the 2013 Equity Incentive Plan.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2014 Non-Employee Equity Compensation Plan</w:t>
      </w:r>
    </w:p>
    <w:p>
      <w:pPr>
        <w:spacing w:after="0" w:line="18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Effective on May 26, 2020, the Company’s stockholders approved the amendment and restatement of the 2014 Non-employee Equity Compensation Plan to increase the number of shares reserved for issuance through equity-based instruments thereunder by 800,000 shares, bringing to 1,650,000 the total number of shares approved for issuance under that plan.</w:t>
      </w:r>
    </w:p>
    <w:p>
      <w:pPr>
        <w:spacing w:after="0" w:line="20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As of March 31, 2022, 741,326 shares of common stock remain eligible to be issued through equity-based instruments under the 2014 Non-Employee Equity Compensation Plan.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2015 Performance Share Unit Plan</w:t>
      </w:r>
    </w:p>
    <w:p>
      <w:pPr>
        <w:spacing w:after="0" w:line="19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Effective on June 16, 2021, the Company’s stockholders approved the amendment and restatement of the 2015 Performance Share Unit Plan to increase the number of shares reserved for issuance through equity-based instruments thereunder by 1,700,000 shares, bringing to 5,110,104 the total number of shares approved for issuance under that plan.</w:t>
      </w:r>
    </w:p>
    <w:p>
      <w:pPr>
        <w:spacing w:after="0" w:line="189"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As of March 31, 2022, 2,411,013 shares of common stock remain eligible to be issued through equity-based instruments under the 2015 Performance Share Unit Plan.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2017 Equity Inducement Plan</w:t>
      </w:r>
    </w:p>
    <w:p>
      <w:pPr>
        <w:spacing w:after="0" w:line="25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On December 28, 2017, the Board approved the 2017 Equity Inducement Plan. Under the plan, the Board reserved 600,000 shares for the grant of RSUs. These grants will be administered by the Board or a committee of the Board. These awards will be granted to individuals who (a) are being hired as an employee by the Company or any subsidiary and such award is a material inducement to such person being hired; (b) are being rehired as an employee following a bona fide period of interruption of employment with the Company or any subsidiary; or (c) will become an employee of the Company or any subsidiary in connection with a merger or acquisition.</w:t>
      </w:r>
    </w:p>
    <w:p>
      <w:pPr>
        <w:spacing w:after="0" w:line="21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March 31, 2022, 130,426 shares of common stock remain available to be issued through equity-based instruments under the 2017 Equity Inducement Plan.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Employee Stock Purchase Plan</w:t>
      </w:r>
    </w:p>
    <w:p>
      <w:pPr>
        <w:spacing w:after="0" w:line="18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April 2015, the Company’s Board approved the ESPP, under which 600,000 shares of common stock have been reserved for purchase by the Company’s employees, subject to the approval by the stockholders. On May 21, 2015, the Company’s stockholders approved the ESPP. Effective on June 16, 2021, the Company’s stockholders approved the amendment and restatement of the ESPP to increase the number of shares reserved for issuance through equity-based instruments thereunder by 700,000 shares, bring to 1,550,000 the total number of shares approved for issuance under that plan. Under the ESPP, employees may designate an amount not less than 1% but not more than 10% of their annual compensation for the purchase of Company shares. No more than 7,500 shares may be purchased by an employee under the ESPP during an offering period. An offering period shall be six months in duration commencing on or about January 1 and July 1 of each year. The exercise price of the option will be the lesser of 85% of the fair market of the common stock on the first business day of the offering period and 85% of the fair market value of the common stock on the applicable exercise date.</w:t>
      </w:r>
    </w:p>
    <w:p>
      <w:pPr>
        <w:spacing w:after="0" w:line="16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As of March 31, 2022, 547,548 shares of common stock remain eligible to be issued under the ESPP. Employees contributed $104,217 through payroll withholdings to the ESPP as of March 31, 2022 for the current offering period that will end on June 30, 2022 and shares will be deemed delivered on that date.</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Note 6 – Stock-Based Compensation,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the Board granted our Chief Executive Officer 300,000 stock options under the 2013 Equity Incentive Plan at an exercise price of $1.27 per share with half of the options vesting on the second anniversary of the vesting start date and a quarter of the options vesting on each of the two following anniversaries.</w:t>
      </w:r>
    </w:p>
    <w:p>
      <w:pPr>
        <w:spacing w:after="0" w:line="149"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The Company estimated the fair value of stock options granted during the three months ended March 31, 2022 using the Black-Scholes option pricing model. The fair values of stock options granted were estimated using the following assumptions:</w:t>
      </w:r>
    </w:p>
    <w:tbl>
      <w:tblPr>
        <w:tblLayout w:type="fixed"/>
        <w:tblInd w:w="880" w:type="dxa"/>
        <w:tblCellMar>
          <w:top w:w="0" w:type="dxa"/>
          <w:left w:w="0" w:type="dxa"/>
          <w:bottom w:w="0" w:type="dxa"/>
          <w:right w:w="0" w:type="dxa"/>
        </w:tblCellMar>
      </w:tblPr>
      <w:tr>
        <w:trPr>
          <w:trHeight w:val="137"/>
        </w:trPr>
        <w:tc>
          <w:tcPr>
            <w:tcW w:w="7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gridSpan w:val="2"/>
          </w:tcPr>
          <w:p>
            <w:pPr>
              <w:jc w:val="right"/>
              <w:ind w:right="460"/>
              <w:spacing w:after="0" w:line="137" w:lineRule="exact"/>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7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March 31, 2022</w:t>
            </w:r>
          </w:p>
        </w:tc>
      </w:tr>
      <w:tr>
        <w:trPr>
          <w:trHeight w:val="223"/>
        </w:trPr>
        <w:tc>
          <w:tcPr>
            <w:tcW w:w="7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320" w:type="dxa"/>
            <w:vAlign w:val="bottom"/>
            <w:tcBorders>
              <w:top w:val="single" w:sz="8" w:color="CFF0FC"/>
            </w:tcBorders>
            <w:shd w:val="clear" w:color="auto" w:fill="CFF0FC"/>
          </w:tcPr>
          <w:p>
            <w:pPr>
              <w:spacing w:after="0"/>
              <w:rPr>
                <w:sz w:val="19"/>
                <w:szCs w:val="19"/>
                <w:color w:val="auto"/>
              </w:rPr>
            </w:pPr>
          </w:p>
        </w:tc>
      </w:tr>
      <w:tr>
        <w:trPr>
          <w:trHeight w:val="229"/>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0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r>
      <w:tr>
        <w:trPr>
          <w:trHeight w:val="23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108%</w:t>
            </w:r>
          </w:p>
        </w:tc>
      </w:tr>
      <w:tr>
        <w:trPr>
          <w:trHeight w:val="229"/>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1.92%</w:t>
            </w:r>
          </w:p>
        </w:tc>
      </w:tr>
      <w:tr>
        <w:trPr>
          <w:trHeight w:val="229"/>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10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5.6 years</w:t>
            </w: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stock option activity during the three months ended March 31, 2022:</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14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Life In</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60" w:type="dxa"/>
            <w:vAlign w:val="bottom"/>
          </w:tcPr>
          <w:p>
            <w:pPr>
              <w:spacing w:after="0"/>
              <w:rPr>
                <w:sz w:val="15"/>
                <w:szCs w:val="15"/>
                <w:color w:val="auto"/>
              </w:rPr>
            </w:pPr>
          </w:p>
        </w:tc>
        <w:tc>
          <w:tcPr>
            <w:tcW w:w="114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525,006</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Exercised</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March 31, 2022</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825,006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at January 1, 2022</w:t>
            </w:r>
          </w:p>
        </w:tc>
        <w:tc>
          <w:tcPr>
            <w:tcW w:w="1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vMerge w:val="continue"/>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525,006</w:t>
            </w:r>
          </w:p>
        </w:tc>
        <w:tc>
          <w:tcPr>
            <w:tcW w:w="240" w:type="dxa"/>
            <w:vAlign w:val="bottom"/>
          </w:tcPr>
          <w:p>
            <w:pPr>
              <w:spacing w:after="0"/>
              <w:rPr>
                <w:sz w:val="18"/>
                <w:szCs w:val="18"/>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Exercised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March 31, 2022</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525,006</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March 31, 2022, the unamortized fair value of options was $298,147. The unamortized amount will be expensed over a weighted average period of 3.2 years.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(“RSUs”)</w:t>
      </w:r>
    </w:p>
    <w:p>
      <w:pPr>
        <w:spacing w:after="0" w:line="20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the Board granted various employees RSUs covering 152,500 shares of common stock under the 2013 Equity Incentive Plan. The awards vest over terms ranging from three to four years.</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the Compensation Committee and the Board granted various non-employees RSUs covering 131,096 shares of common stock under the 2014 Non-employee Equity Compensation Plan. The awards vest on the one year anniversary of the grant date.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the Board granted an employee RSUs covering 10,000 shares of common stock under the 2017 Equity Inducement Plan. The award vests over a term of four years.</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6 – Stock-Based Compensation, continued</w:t>
      </w:r>
    </w:p>
    <w:p>
      <w:pPr>
        <w:spacing w:after="0" w:line="25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of March 31, 2022, the unamortized fair value of the RSUs was $3,155,703. The unamortized amount will be expensed over a weighted average period of 1.7 years. A summary of the activity related to RSUs for the three months ended March 31, 2022 is presented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7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7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8"/>
        </w:trPr>
        <w:tc>
          <w:tcPr>
            <w:tcW w:w="7780" w:type="dxa"/>
            <w:vAlign w:val="bottom"/>
          </w:tcPr>
          <w:p>
            <w:pPr>
              <w:spacing w:after="0"/>
              <w:rPr>
                <w:sz w:val="12"/>
                <w:szCs w:val="12"/>
                <w:color w:val="auto"/>
              </w:rPr>
            </w:pPr>
          </w:p>
        </w:tc>
        <w:tc>
          <w:tcPr>
            <w:tcW w:w="170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73"/>
        </w:trPr>
        <w:tc>
          <w:tcPr>
            <w:tcW w:w="778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3"/>
        </w:trPr>
        <w:tc>
          <w:tcPr>
            <w:tcW w:w="7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1,709,273</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293,596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 forfeited</w:t>
            </w:r>
          </w:p>
        </w:tc>
        <w:tc>
          <w:tcPr>
            <w:tcW w:w="1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(42,342)</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RSUs vested</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(387,823)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March 31, 2022</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1,572,704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CFF0FC"/>
              <w:bottom w:val="single" w:sz="8" w:color="CFF0FC"/>
            </w:tcBorders>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 (“ESPP”)</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current offering period under the ESPP started on January 1, 2022 and will conclude on June 30, 2022. During the year ended December 31, 2021, there were two offering periods. The first offering period began on January 1, 2021 and concluded on June 30, 2021. The second offering period began on July 1, 2021 and concluded on December 31, 2021.</w:t>
      </w:r>
    </w:p>
    <w:p>
      <w:pPr>
        <w:spacing w:after="0" w:line="14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weighted-average grant-date fair value of the purchase option for each designated share purchased under this plan was approximately $0.40 and $0.75 for the three months ended March 31, 2022 and 2021, respectively, which represents the fair value of the option, consisting of three main components: (i) the value of the discount on the enrollment date, (ii) the proportionate value of the call option for 85% of the stock and (iii) the proportionate value of the put option for 15% of the stock. The Company recognized compensation expense for the ESPP of $40,973 and $57,316 for the three months ended March 31, 2022 and 2021, respectively.</w:t>
      </w:r>
    </w:p>
    <w:p>
      <w:pPr>
        <w:spacing w:after="0" w:line="14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 of ESPP purchase options granted during the three months ended March 31, 2022 and 2021 using the Black-Scholes option pricing model. The fair values of ESPP purchase options granted were estimated using the following assumptions: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7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00" w:type="dxa"/>
            <w:vAlign w:val="bottom"/>
          </w:tcPr>
          <w:p>
            <w:pPr>
              <w:spacing w:after="0"/>
              <w:rPr>
                <w:sz w:val="15"/>
                <w:szCs w:val="15"/>
                <w:color w:val="auto"/>
              </w:rPr>
            </w:pPr>
          </w:p>
        </w:tc>
        <w:tc>
          <w:tcPr>
            <w:tcW w:w="16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March 31, 2021</w:t>
            </w:r>
          </w:p>
        </w:tc>
      </w:tr>
      <w:tr>
        <w:trPr>
          <w:trHeight w:val="223"/>
        </w:trPr>
        <w:tc>
          <w:tcPr>
            <w:tcW w:w="7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0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3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9"/>
                <w:szCs w:val="19"/>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0.09%</w:t>
            </w:r>
          </w:p>
        </w:tc>
      </w:tr>
      <w:tr>
        <w:trPr>
          <w:trHeight w:val="229"/>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10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6 months</w:t>
            </w:r>
          </w:p>
        </w:tc>
        <w:tc>
          <w:tcPr>
            <w:tcW w:w="1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 months</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total stock-based compensation costs recognized for the three months ended March 31, 2022 and 2021:</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5700" w:type="dxa"/>
            <w:vAlign w:val="bottom"/>
            <w:tcBorders>
              <w:bottom w:val="single" w:sz="8" w:color="CFF0FC"/>
            </w:tcBorders>
          </w:tcPr>
          <w:p>
            <w:pPr>
              <w:spacing w:after="0"/>
              <w:rPr>
                <w:sz w:val="13"/>
                <w:szCs w:val="13"/>
                <w:color w:val="auto"/>
              </w:rPr>
            </w:pPr>
          </w:p>
        </w:tc>
        <w:tc>
          <w:tcPr>
            <w:tcW w:w="1560" w:type="dxa"/>
            <w:vAlign w:val="bottom"/>
            <w:tcBorders>
              <w:bottom w:val="single" w:sz="8" w:color="auto"/>
            </w:tcBorders>
          </w:tcPr>
          <w:p>
            <w:pPr>
              <w:jc w:val="right"/>
              <w:ind w:right="76"/>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960" w:type="dxa"/>
            <w:vAlign w:val="bottom"/>
            <w:tcBorders>
              <w:bottom w:val="single" w:sz="8" w:color="auto"/>
            </w:tcBorders>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105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r>
      <w:tr>
        <w:trPr>
          <w:trHeight w:val="223"/>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560" w:type="dxa"/>
            <w:vAlign w:val="bottom"/>
            <w:shd w:val="clear" w:color="auto" w:fill="CFF0FC"/>
          </w:tcPr>
          <w:p>
            <w:pPr>
              <w:jc w:val="right"/>
              <w:ind w:right="137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10,313</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RSUs</w:t>
            </w:r>
          </w:p>
        </w:tc>
        <w:tc>
          <w:tcPr>
            <w:tcW w:w="1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745,620</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2,088,910</w:t>
            </w:r>
          </w:p>
        </w:tc>
        <w:tc>
          <w:tcPr>
            <w:tcW w:w="100" w:type="dxa"/>
            <w:vAlign w:val="bottom"/>
          </w:tcPr>
          <w:p>
            <w:pPr>
              <w:spacing w:after="0"/>
              <w:rPr>
                <w:sz w:val="19"/>
                <w:szCs w:val="19"/>
                <w:color w:val="auto"/>
              </w:rPr>
            </w:pPr>
          </w:p>
        </w:tc>
      </w:tr>
      <w:tr>
        <w:trPr>
          <w:trHeight w:val="23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ESPP</w:t>
            </w:r>
          </w:p>
        </w:tc>
        <w:tc>
          <w:tcPr>
            <w:tcW w:w="15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40,973</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57,316</w:t>
            </w:r>
          </w:p>
        </w:tc>
        <w:tc>
          <w:tcPr>
            <w:tcW w:w="100" w:type="dxa"/>
            <w:vAlign w:val="bottom"/>
            <w:shd w:val="clear" w:color="auto" w:fill="CFF0FC"/>
          </w:tcPr>
          <w:p>
            <w:pPr>
              <w:spacing w:after="0"/>
              <w:rPr>
                <w:sz w:val="19"/>
                <w:szCs w:val="19"/>
                <w:color w:val="auto"/>
              </w:rPr>
            </w:pPr>
          </w:p>
        </w:tc>
      </w:tr>
      <w:tr>
        <w:trPr>
          <w:trHeight w:val="223"/>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tcPr>
          <w:p>
            <w:pPr>
              <w:jc w:val="right"/>
              <w:ind w:right="137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796,906</w:t>
            </w:r>
          </w:p>
        </w:tc>
        <w:tc>
          <w:tcPr>
            <w:tcW w:w="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2,146,226</w:t>
            </w:r>
          </w:p>
        </w:tc>
        <w:tc>
          <w:tcPr>
            <w:tcW w:w="10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6 – Stock-Based Compensation, continued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amount of stock-based compensation was reflected within the statements of operations as: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52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r>
      <w:tr>
        <w:trPr>
          <w:trHeight w:val="155"/>
        </w:trPr>
        <w:tc>
          <w:tcPr>
            <w:tcW w:w="3760" w:type="dxa"/>
            <w:vAlign w:val="bottom"/>
            <w:tcBorders>
              <w:bottom w:val="single" w:sz="8" w:color="CFF0FC"/>
            </w:tcBorders>
          </w:tcPr>
          <w:p>
            <w:pPr>
              <w:spacing w:after="0"/>
              <w:rPr>
                <w:sz w:val="13"/>
                <w:szCs w:val="13"/>
                <w:color w:val="auto"/>
              </w:rPr>
            </w:pPr>
          </w:p>
        </w:tc>
        <w:tc>
          <w:tcPr>
            <w:tcW w:w="1800" w:type="dxa"/>
            <w:vAlign w:val="bottom"/>
            <w:tcBorders>
              <w:bottom w:val="single" w:sz="8" w:color="CFF0FC"/>
            </w:tcBorders>
          </w:tcPr>
          <w:p>
            <w:pPr>
              <w:spacing w:after="0"/>
              <w:rPr>
                <w:sz w:val="13"/>
                <w:szCs w:val="13"/>
                <w:color w:val="auto"/>
              </w:rPr>
            </w:pPr>
          </w:p>
        </w:tc>
        <w:tc>
          <w:tcPr>
            <w:tcW w:w="1520" w:type="dxa"/>
            <w:vAlign w:val="bottom"/>
            <w:tcBorders>
              <w:bottom w:val="single" w:sz="8" w:color="auto"/>
            </w:tcBorders>
          </w:tcPr>
          <w:p>
            <w:pPr>
              <w:jc w:val="right"/>
              <w:ind w:right="80"/>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940" w:type="dxa"/>
            <w:vAlign w:val="bottom"/>
            <w:tcBorders>
              <w:bottom w:val="single" w:sz="8" w:color="auto"/>
            </w:tcBorders>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101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CFF0FC"/>
            </w:tcBorders>
          </w:tcPr>
          <w:p>
            <w:pPr>
              <w:spacing w:after="0"/>
              <w:rPr>
                <w:sz w:val="13"/>
                <w:szCs w:val="13"/>
                <w:color w:val="auto"/>
              </w:rPr>
            </w:pPr>
          </w:p>
        </w:tc>
      </w:tr>
      <w:tr>
        <w:trPr>
          <w:trHeight w:val="223"/>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136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353,043</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804"/>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1,149,277</w:t>
            </w:r>
          </w:p>
        </w:tc>
        <w:tc>
          <w:tcPr>
            <w:tcW w:w="380" w:type="dxa"/>
            <w:vAlign w:val="bottom"/>
            <w:shd w:val="clear" w:color="auto" w:fill="CFF0FC"/>
          </w:tcPr>
          <w:p>
            <w:pPr>
              <w:spacing w:after="0"/>
              <w:rPr>
                <w:sz w:val="19"/>
                <w:szCs w:val="19"/>
                <w:color w:val="auto"/>
              </w:rPr>
            </w:pPr>
          </w:p>
        </w:tc>
      </w:tr>
      <w:tr>
        <w:trPr>
          <w:trHeight w:val="22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8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180,377</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448,947</w:t>
            </w:r>
          </w:p>
        </w:tc>
        <w:tc>
          <w:tcPr>
            <w:tcW w:w="380" w:type="dxa"/>
            <w:vAlign w:val="bottom"/>
          </w:tcPr>
          <w:p>
            <w:pPr>
              <w:spacing w:after="0"/>
              <w:rPr>
                <w:sz w:val="19"/>
                <w:szCs w:val="19"/>
                <w:color w:val="auto"/>
              </w:rPr>
            </w:pPr>
          </w:p>
        </w:tc>
      </w:tr>
      <w:tr>
        <w:trPr>
          <w:trHeight w:val="23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0" w:type="dxa"/>
            <w:vAlign w:val="bottom"/>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263,486</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548,002</w:t>
            </w:r>
          </w:p>
        </w:tc>
        <w:tc>
          <w:tcPr>
            <w:tcW w:w="380" w:type="dxa"/>
            <w:vAlign w:val="bottom"/>
            <w:shd w:val="clear" w:color="auto" w:fill="CFF0FC"/>
          </w:tcPr>
          <w:p>
            <w:pPr>
              <w:spacing w:after="0"/>
              <w:rPr>
                <w:sz w:val="19"/>
                <w:szCs w:val="19"/>
                <w:color w:val="auto"/>
              </w:rPr>
            </w:pPr>
          </w:p>
        </w:tc>
      </w:tr>
      <w:tr>
        <w:trPr>
          <w:trHeight w:val="223"/>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tcPr>
          <w:p>
            <w:pPr>
              <w:spacing w:after="0"/>
              <w:rPr>
                <w:sz w:val="19"/>
                <w:szCs w:val="19"/>
                <w:color w:val="auto"/>
              </w:rPr>
            </w:pPr>
          </w:p>
        </w:tc>
        <w:tc>
          <w:tcPr>
            <w:tcW w:w="1520" w:type="dxa"/>
            <w:vAlign w:val="bottom"/>
            <w:tcBorders>
              <w:bottom w:val="single" w:sz="8" w:color="auto"/>
            </w:tcBorders>
          </w:tcPr>
          <w:p>
            <w:pPr>
              <w:jc w:val="right"/>
              <w:ind w:right="136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796,906</w:t>
            </w:r>
          </w:p>
        </w:tc>
        <w:tc>
          <w:tcPr>
            <w:tcW w:w="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804"/>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2,146,226</w:t>
            </w:r>
          </w:p>
        </w:tc>
        <w:tc>
          <w:tcPr>
            <w:tcW w:w="380" w:type="dxa"/>
            <w:vAlign w:val="bottom"/>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Related Party Transactions</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In November 2016, the Company and Dialog entered into the Alliance Agreement for the manufacture, distribution and commercialization of products incorporating the Company’s wire-free charging technology (See Note 4 – Commitments and Contingencies, </w:t>
      </w:r>
      <w:r>
        <w:rPr>
          <w:rFonts w:ascii="Times New Roman" w:cs="Times New Roman" w:eastAsia="Times New Roman" w:hAnsi="Times New Roman"/>
          <w:sz w:val="18"/>
          <w:szCs w:val="18"/>
          <w:i w:val="1"/>
          <w:iCs w:val="1"/>
          <w:color w:val="auto"/>
        </w:rPr>
        <w:t>Strategic Alliance Agreement</w:t>
      </w:r>
      <w:r>
        <w:rPr>
          <w:rFonts w:ascii="Times New Roman" w:cs="Times New Roman" w:eastAsia="Times New Roman" w:hAnsi="Times New Roman"/>
          <w:sz w:val="18"/>
          <w:szCs w:val="18"/>
          <w:color w:val="auto"/>
        </w:rPr>
        <w:t>). On November 7, 2016 and June 28, 2017, the Company and Dialog entered into securities purchase agreements under which Dialog acquired a total of 1,739,691 shares and received warrants to purchase up to 1,417,565 shares. As of March 31, 2022, none of the warrants remain outstanding. As of March 31, 2022, Dialog owns approximately 2.3% of the Company’s outstanding common shares. The Company did not record any revenue or expense related to Dialog during the three months ended March 31, 2022 and 2021.</w:t>
      </w:r>
    </w:p>
    <w:p>
      <w:pPr>
        <w:spacing w:after="0" w:line="16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September 20, 2021, the Company was notified by Dialog, recently acquired by Renesas Electronics Corporation, that it was terminating the Alliance Agreement between the Company and Dialog.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Customer Concentrations</w:t>
      </w:r>
    </w:p>
    <w:p>
      <w:pPr>
        <w:spacing w:after="0" w:line="25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Two customers accounted for approximately 53% of the Company’s revenue for the three months ended March 31, 2022, and one customer accounted for approximately 69% of the Company’s revenue for the three months ended March 31, 2021. Two customers accounted for approximately 63% of the accounts receivable balance as of March 31, 2022. Four customers accounted for approximately 68% of the accounts receivable balance as of December 31, 2021.</w:t>
      </w:r>
    </w:p>
    <w:p>
      <w:pPr>
        <w:spacing w:after="0" w:line="3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8" w:name="page19"/>
    <w:bookmarkEnd w:id="18"/>
    <w:p>
      <w:pPr>
        <w:ind w:right="3780"/>
        <w:spacing w:after="0" w:line="464"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ind w:right="20"/>
        <w:spacing w:after="0" w:line="251" w:lineRule="auto"/>
        <w:rPr>
          <w:sz w:val="20"/>
          <w:szCs w:val="20"/>
          <w:color w:val="auto"/>
        </w:rPr>
      </w:pPr>
      <w:r>
        <w:rPr>
          <w:rFonts w:ascii="Times New Roman" w:cs="Times New Roman" w:eastAsia="Times New Roman" w:hAnsi="Times New Roman"/>
          <w:sz w:val="18"/>
          <w:szCs w:val="18"/>
          <w:color w:val="auto"/>
        </w:rPr>
        <w:t>As used in this Quarterly Report on Form 10-Q, unless the context otherwise requires the terms “we,” “us,” “our,” and “Energous” refer to Energous Corporation, a Delaware corporation. This report contains forward-looking statements within the meaning of Section 27A of the Securities Act of 1933, as amended (the “Securities Act”), and Section 21E of the Securities Exchange Act of 1934, as amended (the “Exchange Act”), that are intended to be covered by the “safe harbor” created by those sections. Forward-looking statements, which are based on certain assumptions and describe our future plans, strategies and expectations, can generally be identified by the use of forward-looking terms such as “believe,” “expect,” “may,” “will,” “would,” “should,” “could,” “seek,” “intend,” “plan,” “continue,” “estimate,” “anticipate” or other comparable terms. All statements other than statements of historical facts included in this report regarding our strategies, prospects, financial condition, operations, costs, plans and objectives are forward-looking statements. Examples of forward-looking statements include, among others, statements we make regarding proposed business strategy; market opportunities; regulatory approval; expectations for current and potential business relationships; the impact of COVID-19 and our response thereto on our business; and expectations for revenues, liquidity cash flows and financial performance, the anticipated results of our research and development efforts, the timing for receipt of required regulatory approvals and product launches. 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Forward-looking statements relate to the future and are subject to inherent uncertainties, risks and changes in circumstances that are difficult to predict and generally outside of our control, so actual results and financial condition may differ materially from those indicated in the forward-looking statements. Important factors that could cause our actual results and financial condition to differ materially from those indicated in the forward-looking statements include, among others: our ability to develop commercially feasible technology; timing of customer implementations of our technology in consumer products; timing and receipt of regulatory approvals in the United States and internationally; our ability to find and maintain development partners; market acceptance of our technology; competition in our industry; our ability to protect our intellectual property; competition; and other risks and uncertainties described in the Risk Factors and in Management's Discussion and Analysis sections of our most recently filed Annual Report on Form 10-K and subsequently filed Quarterly Reports on Form 10-Q, including this Quarterly Report on Form 10-Q. We undertake no obligation to publicly update any of our forward-looking statements, whether as a result of new information, future developments or otherwise.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developed our WattUp® wireless power technology, consisting of semiconductor chipsets, software controls, hardware designs and antennas, that enables RF based charging for electronic devices. The WattUp technology has a broad spectrum of capabilities to enable the next generation of wireless power networks, delivering power and data in a seamless device portfolio. This includes near field and at-a-distance wireless charging with multiple power levels at various distances. We believe our WattUp technologies will help facilitate the deployment of the growing IoT applications. According to the recent report of the International Data Corporation, or the IDC, titled “Worldwide Global DataSphere IoT Device and Data Forecast, 2021–2025,” the IoT market is forecasted to grow to 39.3 billion devices by 2025. The initial IoT applications that we are targeting are in the area of RF tags and electronic shelf labeling (“ESL”) for the retail, industrial and healthcare markets.</w:t>
      </w:r>
    </w:p>
    <w:p>
      <w:pPr>
        <w:spacing w:after="0" w:line="21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believe our technology is innovative in its approach, in that we are developing solutions that charge electronic devices using RF. To-date, we have developed multiple transmitters and receivers, including prototypes as well as partner production designs. The transmitters vary based on form factor, power specifications and frequencies, while the receivers support a myriad of wireless charging applications including Bluetooth tracking tags, IoT sensors, ESLs, beacons, stock management devices, security cameras, handheld devices, smart automation, wearables and hearables.</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9" w:name="page20"/>
    <w:bookmarkEnd w:id="19"/>
    <w:p>
      <w:pPr>
        <w:ind w:right="40"/>
        <w:spacing w:after="0" w:line="266" w:lineRule="auto"/>
        <w:rPr>
          <w:sz w:val="20"/>
          <w:szCs w:val="20"/>
          <w:color w:val="auto"/>
        </w:rPr>
      </w:pPr>
      <w:r>
        <w:rPr>
          <w:rFonts w:ascii="Times New Roman" w:cs="Times New Roman" w:eastAsia="Times New Roman" w:hAnsi="Times New Roman"/>
          <w:sz w:val="18"/>
          <w:szCs w:val="18"/>
          <w:color w:val="auto"/>
        </w:rPr>
        <w:t>The first end product featuring our technology entered the market in 2019. We started shipping our first at-a-distance WattUp PowerBridge enabled transmitters for commercial IoT applications in the fourth quarter of 2021, and we expect additional WattUp-enabled products to be announced as we move our business forward.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 on Our Business</w:t>
      </w:r>
    </w:p>
    <w:p>
      <w:pPr>
        <w:spacing w:after="0" w:line="18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continue to monitor the ongoing effects of COVID-19 (including continued outbreaks) and the related business and travel restrictions and changes to behavior intended to reduce its spread, and its impact on our operations, financial position, cash flows, inventory, supply chains, global regulatory approvals, purchasing trends, customer payments, and the industry in general, in addition to the impact on our employees.</w:t>
      </w:r>
    </w:p>
    <w:p>
      <w:pPr>
        <w:spacing w:after="0" w:line="20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COVID-19 pandemic has delayed adoption of our technology by potential customers who have experienced workforce and supply chain disruptions, and who continue to evaluate their future prospects and business models, including partnerships with us. Further delays in the adoption of our current or future products could result from the ongoing pandemic. At times, certain of our outsourcing partners, component suppliers and logistical service providers have experienced disruptions, resulting in supply shortages that have affected and may continue to affect our sales. Similar disruptions could occur in the future.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follow Accounting Standards Codification (“ASC”) 606, "Revenue from Contracts with Customers" (Topic 606).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Topic 606, we recognize revenue using the following five-step approach:</w:t>
      </w:r>
    </w:p>
    <w:p>
      <w:pPr>
        <w:spacing w:after="0" w:line="131" w:lineRule="exact"/>
        <w:rPr>
          <w:sz w:val="20"/>
          <w:szCs w:val="20"/>
          <w:color w:val="auto"/>
        </w:rPr>
      </w:pPr>
    </w:p>
    <w:p>
      <w:pPr>
        <w:ind w:left="880" w:hanging="440"/>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 of the contract.</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performance obligations are satisfied.</w:t>
      </w:r>
    </w:p>
    <w:p>
      <w:pPr>
        <w:spacing w:after="0" w:line="19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record revenue associated with product development projects that we enter into with certain customers. In general, these product development projects are complex, and we do not have certainty about our ability to achieve the project milestones. The achievement of a milestone is dependent on our performance obligation and requires acceptance by the customer. We recognize this revenue at a point in time based on when the performance obligation is met. The payment associated with achieving the performance obligation is generally commensurate with our effort or the value of the deliverable and is nonrefundable. We record the expenses related to these product development projects in research and development expense, in the periods such expenses were incurred.</w:t>
      </w:r>
    </w:p>
    <w:p>
      <w:pPr>
        <w:spacing w:after="0" w:line="14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record revenue associated with the sale of production-level systems once control over the product is transferred to the customer. We record the expense related to the sales of these systems as cost of revenue during the period delivered.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8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Cost of revenue consists of direct materials, direct labor and overhead for our production-level wireless charging systems. Research and development expenses include costs associated with our efforts to develop our technology, including personnel compensation, consulting, engineering supplies and components, intellectual property costs, regulatory expense and general office expenses specifically related to the research and development department. Sales and marketing expenses include costs associated with selling and marketing our technology to our customers, including personnel compensation, public relations, graphic design, tradeshow, engineering supplies utilized by the sales team and general office expenses specifically related to the sale and marketing department. General and administrative expenses include costs for general and corporate functions, including personnel compensation, facility fees, travel, telecommunications, insurance, professional fees, consulting fees, general office expenses, and other overhead.</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2022 and 2021</w:t>
      </w:r>
    </w:p>
    <w:p>
      <w:pPr>
        <w:spacing w:after="0" w:line="200"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During the three months ended March 31, 2022 and 2021, we recorded revenue of $215,961 and $145,065, respectively. The increase of $70,896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primarily due to an increase in production-level systems revenue.</w:t>
      </w:r>
    </w:p>
    <w:p>
      <w:pPr>
        <w:spacing w:after="0" w:line="118"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Costs and Expenses and Loss from Operations. </w:t>
      </w:r>
      <w:r>
        <w:rPr>
          <w:rFonts w:ascii="Times New Roman" w:cs="Times New Roman" w:eastAsia="Times New Roman" w:hAnsi="Times New Roman"/>
          <w:sz w:val="18"/>
          <w:szCs w:val="18"/>
          <w:color w:val="auto"/>
        </w:rPr>
        <w:t>Costs and expenses are made up of cost of revenue, research and development, sales and marketing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and administrative expenses. Losses from operations for the three months ended March 31, 2022 and 2021 were $7,155,544 and $8,527,787, respectively.</w:t>
      </w:r>
    </w:p>
    <w:p>
      <w:pPr>
        <w:spacing w:after="0" w:line="133"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was $203,249 and $0, respectively, for the three months ended March 31, 2022 and 2021.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2022, cost of revenue is for our production-level systems that are sold to customers. We did not incur any cost of revenue during the three months ended March 31, 2021.</w:t>
      </w:r>
    </w:p>
    <w:p>
      <w:pPr>
        <w:spacing w:after="0" w:line="14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Costs. </w:t>
      </w:r>
      <w:r>
        <w:rPr>
          <w:rFonts w:ascii="Times New Roman" w:cs="Times New Roman" w:eastAsia="Times New Roman" w:hAnsi="Times New Roman"/>
          <w:sz w:val="18"/>
          <w:szCs w:val="18"/>
          <w:color w:val="auto"/>
        </w:rPr>
        <w:t>Research and development costs were $3,527,146 and $4,591,244, respectively, for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and 2021. The decrease of $1,064,098 is primarily due to a $1,110,774 decrease in compensation, consisting of a $796,234 decrease in stock-based compensation, primarily due to equity awards becoming fully vested during the previous year and a lower headcount within the department, a $314,540 decrease in payroll costs due to a lower headcount within the department and a $66,880 decrease in legal fees associated with patents and intellectual property, partially offset by a $77,120 increase in chip design and engineering supplies and components.</w:t>
      </w:r>
    </w:p>
    <w:p>
      <w:pPr>
        <w:spacing w:after="0" w:line="14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Sales and Marketing Costs. </w:t>
      </w:r>
      <w:r>
        <w:rPr>
          <w:rFonts w:ascii="Times New Roman" w:cs="Times New Roman" w:eastAsia="Times New Roman" w:hAnsi="Times New Roman"/>
          <w:sz w:val="18"/>
          <w:szCs w:val="18"/>
          <w:color w:val="auto"/>
        </w:rPr>
        <w:t>Sales and marketing costs for the three months ended March 31, 2022 and 2021 were $1,613,590 and $1,794,212,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decrease of $180,622 is primarily due to a $331,133 decrease in compensation, consisting of a $268,570 decrease in stock-based compensation, primarily due to equity awards becoming fully vested during the previous year and a lower headcount within the department, a $62,563 decrease in payroll costs due to a lower headcount within the department and an $84,544 decrease in public relations, consulting and third party services expenses, partially offset by a $213,873 increase in tradeshow costs and a $30,126 increase in engineering components used by the sales and marketing staff.</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costs for the three months ended March 31, 2022 and 2021 were $2,027,520 and</w:t>
      </w:r>
    </w:p>
    <w:p>
      <w:pPr>
        <w:spacing w:after="0" w:line="29"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$2,287,396, respectively. The decrease of $259,876 is primarily due to a $441,302 decrease in compensation, consisting of a $284,516 decrease in stock-based compensation from forfeited equity awards and a lower headcount within the department, a $156,786 decrease in payroll costs due to a lower headcount within the department and an $87,781 decrease in legal and accounting fees, partially offset by a $109,994 increase in recruiting expense, a $61,717 increase in investor relations, consulting and third party services expenses, a $57,169 increase in insurance premiums and a $47,698 increase in annual stockholder meeting costs and stockholder transfer fees.</w:t>
      </w:r>
    </w:p>
    <w:p>
      <w:pPr>
        <w:spacing w:after="0" w:line="158" w:lineRule="exact"/>
        <w:rPr>
          <w:sz w:val="20"/>
          <w:szCs w:val="20"/>
          <w:color w:val="auto"/>
        </w:rPr>
      </w:pPr>
    </w:p>
    <w:p>
      <w:pPr>
        <w:jc w:val="both"/>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for the three months ended March 31, 2022 was $2,826 as compared to interest income of $2,024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2021. The increase of $802 is primarily due to higher savings interest rates.</w:t>
      </w:r>
    </w:p>
    <w:p>
      <w:pPr>
        <w:spacing w:after="0" w:line="118" w:lineRule="exact"/>
        <w:rPr>
          <w:sz w:val="20"/>
          <w:szCs w:val="20"/>
          <w:color w:val="auto"/>
        </w:rPr>
      </w:pPr>
    </w:p>
    <w:p>
      <w:pPr>
        <w:jc w:val="both"/>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Loss. </w:t>
      </w:r>
      <w:r>
        <w:rPr>
          <w:rFonts w:ascii="Times New Roman" w:cs="Times New Roman" w:eastAsia="Times New Roman" w:hAnsi="Times New Roman"/>
          <w:sz w:val="18"/>
          <w:szCs w:val="18"/>
          <w:color w:val="auto"/>
        </w:rPr>
        <w:t>As a result of the above, net loss for the three months ended March 31, 2022 was $7,152,718 as compared to $8,525,763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2022 and 2021, we recorded revenue of $215,961 and $145,065, respectively. We incurred net losses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$7,152,718 and $8,525,763 for the three months ended March 31, 2022 and 2021, respectively. Net cash used in operating activities was $6,356,971 and</w:t>
      </w:r>
    </w:p>
    <w:p>
      <w:pPr>
        <w:spacing w:after="0" w:line="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$5,976,550 for the three months ended March 31, 2022 and 2021, respectively. We are currently meeting our liquidity requirements through the proceeds of securities offerings that raised net proceeds of $53,556,202 during 2020 and $27,043,751 during the fourth quarter of 2021, proceeds from contributions to the ESPP and payments received from customers.</w:t>
      </w:r>
    </w:p>
    <w:p>
      <w:pPr>
        <w:spacing w:after="0" w:line="15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believe our cash on hand as of March 31, 2022, together with anticipated revenues, will be sufficient to fund our operations through May 2023. Although we intend to continue our research and development activities, there can be no assurance that our available resources will be sufficient to enable us to generate revenues sufficient to sustain operations. Accordingly, we will likely pursue additional financing, which could include offerings of equity or debt securities, bank financings, commercial agreements with customers or strategic partners, and other alternatives, depending upon market conditions. There is no assurance that such financing will be available on terms that we would find acceptable, or at all.</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1" w:name="page22"/>
    <w:bookmarkEnd w:id="21"/>
    <w:p>
      <w:pPr>
        <w:ind w:right="10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2022, cash flows used in operating activities were $6,356,971, consisting of a net loss of $7,152,718, less non-cash expenses aggregating $1,053,761 (principally stock-based compensation of $796,906, decrease in amortization of operating lease right-of-use assets of $186,736 and depreciation and amortization expense of $70,119), a $271,044 decrease in accounts payable, a $203,010 decrease in operating lease liabilities and a $180,535 decrease in accrued expenses, partially offset by a $443,216 decrease in prepaid expenses and other current assets.</w:t>
      </w:r>
    </w:p>
    <w:p>
      <w:pPr>
        <w:spacing w:after="0" w:line="153"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During the three months ended March 31, 2021, cash flows used in operating activities were $5,976,550, consisting of a net loss of $8,525,763, less non-cash expenses aggregating $2,406,914 (principally stock-based compensation of $2,146,226, decrease in amortization of operating lease right-of-use assets of $195,914 and depreciation and amortization expense of $64,774), a $210,212 decrease in operating lease liabilities, a $105,491 increase in prepaid expenses and other current assets and an $80,925 increase in accounts receivable, partially offset by a $353,928 increase in accounts payable and a $179,999 increase in accrued expenses.</w:t>
      </w:r>
    </w:p>
    <w:p>
      <w:pPr>
        <w:spacing w:after="0" w:line="12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and 2021, cash flows used in investing activities were $44,489 and $111,727, respectively. The cash used in investing activities for the three months ended March 31, 2022 consisted of the purchase of new engineering software licenses. The cash used in investing activities for the three months ended March 31, 2021 consisted of the purchase of new testing equipment and engineering software.</w:t>
      </w:r>
    </w:p>
    <w:p>
      <w:pPr>
        <w:spacing w:after="0" w:line="13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cash flows provided by financing activities were $104,217, which consisted of entirely of proceeds from contributions to the ESPP. During the three months ended March 31, 2021, cash flows provided by financing activities were $117,013, which consisted entirely of proceeds from contributions to the ESPP.</w:t>
      </w:r>
    </w:p>
    <w:p>
      <w:pPr>
        <w:spacing w:after="0" w:line="149"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Research and development of new technologies is, by its nature, unpredictable. Although we intend to continue our research and undertake development activities, there can be no assurance that our available resources will be sufficient to enable us to generate revenues sufficient to sustain operations.</w:t>
      </w:r>
    </w:p>
    <w:p>
      <w:pPr>
        <w:spacing w:after="0" w:line="9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Furthermore, since we have no committed source of financing, there can be no assurance that we will be able to raise capital as and when we need it to continue our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18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There has been no material change in our exposure to market risk during the three months ended March 31, 2022. See "Quantitative and Qualitative Disclosures about Market Risk" in Part II, Item 7A of our Form 10-K for the year ended December 31, 2021 for a discussion of our exposure to market risk.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8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have established disclosure controls and procedures to ensure that material information relating to us is made known to the officers who certify our financial reports and the Board.</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Based on their evaluation as of March 31, 2022, our principal executive and principal financial officers have concluded that these disclosure controls and procedures (as defined in Rules 13a-15(e) and 15d-15(e) under the Exchange Act) were effective as of March 31, 2022 to provide reasonable assurance that information required to be disclosed by us in reports that we file under the Exchange Act is recorded, processed, summarized, and reported, within the time periods specified in the SEC’s rules and forms and that information required to be disclosed by us in our reports filed or submitted under the Exchange Act is accumulated and communicated to management, including our principal executive officer and our principal financial officer, as appropriate to allow timely decisions regarding required disclosures.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quarter ended March 31, 2022, there were no changes in our internal control over financial reporting that have materially affected, or are reasonably likely to materially affect, our internal control over financial reporting.</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right="520" w:firstLine="589"/>
        <w:spacing w:after="0" w:line="282" w:lineRule="auto"/>
        <w:rPr>
          <w:sz w:val="20"/>
          <w:szCs w:val="20"/>
          <w:color w:val="auto"/>
        </w:rPr>
      </w:pPr>
      <w:r>
        <w:rPr>
          <w:rFonts w:ascii="Times New Roman" w:cs="Times New Roman" w:eastAsia="Times New Roman" w:hAnsi="Times New Roman"/>
          <w:sz w:val="18"/>
          <w:szCs w:val="18"/>
          <w:color w:val="auto"/>
        </w:rPr>
        <w:t>We are not currently a party to any pending legal proceedings that we believe will have a material adverse effect on our business or financial condition. We may, however, be subject to various claims and legal actions arising in the ordinary course of business from time to time.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right="40" w:firstLine="589"/>
        <w:spacing w:after="0" w:line="255" w:lineRule="auto"/>
        <w:rPr>
          <w:sz w:val="20"/>
          <w:szCs w:val="20"/>
          <w:color w:val="auto"/>
        </w:rPr>
      </w:pPr>
      <w:r>
        <w:rPr>
          <w:rFonts w:ascii="Times New Roman" w:cs="Times New Roman" w:eastAsia="Times New Roman" w:hAnsi="Times New Roman"/>
          <w:sz w:val="18"/>
          <w:szCs w:val="18"/>
          <w:color w:val="auto"/>
        </w:rPr>
        <w:t>We are subject to many risks that may harm our business, prospects, results of operations and financial condition. This discussion highlights some of the risks that might adversely affect our future operating results in material ways. We believe these are the risks and uncertainties that are the most important ones we face. We cannot be certain that we will successfully address these risks, and if we are unable to address them, our business may not grow, our stock price may suffer and you could lose the value of your investment in the Company. Other risks and uncertainties that we do not currently recognize as material risks, or that are similar to risks faced by other companies in our industry, may also impair our business, prospects, results of operations and financial condition. The risks discussed below include forward-looking statements, and our actual results may differ substantially from what is in these forward-looking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history of generating meaningful product revenue, and we may never achieve or maintain profitability.</w:t>
      </w:r>
    </w:p>
    <w:p>
      <w:pPr>
        <w:spacing w:after="0" w:line="189" w:lineRule="exact"/>
        <w:rPr>
          <w:sz w:val="20"/>
          <w:szCs w:val="20"/>
          <w:color w:val="auto"/>
        </w:rPr>
      </w:pPr>
    </w:p>
    <w:p>
      <w:pPr>
        <w:ind w:right="20" w:firstLine="589"/>
        <w:spacing w:after="0" w:line="253" w:lineRule="auto"/>
        <w:rPr>
          <w:sz w:val="20"/>
          <w:szCs w:val="20"/>
          <w:color w:val="auto"/>
        </w:rPr>
      </w:pPr>
      <w:r>
        <w:rPr>
          <w:rFonts w:ascii="Times New Roman" w:cs="Times New Roman" w:eastAsia="Times New Roman" w:hAnsi="Times New Roman"/>
          <w:sz w:val="18"/>
          <w:szCs w:val="18"/>
          <w:color w:val="auto"/>
        </w:rPr>
        <w:t>We have a limited operating history upon which investors may rely in evaluating our business and prospects. We have generated limited revenues to date, and as of March 31, 2022, we had an accumulated deficit of approximately $344 million. Our ability to generate revenues and achieve profitability will depend on our ability to execute our business plan, complete the development and approval of our technology, incorporate the technology into products that customers wish to buy, and, if necessary, secure additional financing. There can be no assurance that our technology will be adopted widely, that we will ever earn revenues sufficient to support our operations, or that we will ever be profitable. Furthermore, there can be no assurance that we will be able to raise capital as and when we need it to continue our operations. If we are unable to raise sufficient additional capital, we may be required to delay, reduce or severely curtail our research and development or other operations, which could have a material adverse effect on our business, operating results, financial condition, long-term prospects and ability to continue as a viable business. If we are unable to generate revenues of sufficient scale to cover our costs of doing business, our losses will continue and we may not achieve profitability, which could negatively impact the value of your investment in our securities.</w:t>
      </w:r>
    </w:p>
    <w:p>
      <w:pPr>
        <w:spacing w:after="0" w:line="163"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likely need additional financings to achieve our long-term business plans, and there is no guarantee that it will be available on acceptable terms, or at all.</w:t>
      </w:r>
    </w:p>
    <w:p>
      <w:pPr>
        <w:spacing w:after="0" w:line="118" w:lineRule="exact"/>
        <w:rPr>
          <w:sz w:val="20"/>
          <w:szCs w:val="20"/>
          <w:color w:val="auto"/>
        </w:rPr>
      </w:pPr>
    </w:p>
    <w:p>
      <w:pPr>
        <w:ind w:firstLine="589"/>
        <w:spacing w:after="0" w:line="253" w:lineRule="auto"/>
        <w:rPr>
          <w:sz w:val="20"/>
          <w:szCs w:val="20"/>
          <w:color w:val="auto"/>
        </w:rPr>
      </w:pPr>
      <w:r>
        <w:rPr>
          <w:rFonts w:ascii="Times New Roman" w:cs="Times New Roman" w:eastAsia="Times New Roman" w:hAnsi="Times New Roman"/>
          <w:sz w:val="18"/>
          <w:szCs w:val="18"/>
          <w:color w:val="auto"/>
        </w:rPr>
        <w:t>We may not have sufficient funds to fully implement our long-term business plans. It is likely that we will need to raise additional capital through new financings, even if we begin to generate meaningful commercial revenue. For example, new product development for business partners may require considerable expense in advance of any substantial revenue being earned for such products. Such financings could include equity financing, which may be dilutive to our current stockholders, and debt financing, which could restrict our ability to borrow from other sources. In addition, such securities may contain rights, preferences or privileges senior to those of current stockholders. As a result of potential worsening global economic conditions and general global economic uncertainty (including as a result of actual or perceived disruption caused by COVID-19, including the “delta”, “omicron” or any other variants, or other infectious diseases, the ongoing conflict between Russia and the Ukraine and the global sanctions imposed in response thereto, increases in inflation, fluctuating interest rates and disruptions to global supply chains), political change, and other factors, we do not know whether additional capital will be available when needed, or that, if available, we will be able to obtain additional capital on reasonable terms. If we are unable to raise additional capital due to the volatile global financial markets, general economic uncertainty or other factors, we may be required to curtail development of our technology or reduce operations as a result, or to sell or dispose of assets. Any inability to raise adequate funds on commercially reasonable terms could have a material adverse effect on our business, results of operations and financial condition, including the possibility that a lack of funds could cause our business to fail and liquidate with little or no return to investors.</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the effects of inflation.</w:t>
      </w:r>
    </w:p>
    <w:p>
      <w:pPr>
        <w:spacing w:after="0" w:line="189" w:lineRule="exact"/>
        <w:rPr>
          <w:sz w:val="20"/>
          <w:szCs w:val="20"/>
          <w:color w:val="auto"/>
        </w:rPr>
      </w:pPr>
    </w:p>
    <w:p>
      <w:pPr>
        <w:ind w:right="40" w:firstLine="589"/>
        <w:spacing w:after="0" w:line="254" w:lineRule="auto"/>
        <w:rPr>
          <w:sz w:val="20"/>
          <w:szCs w:val="20"/>
          <w:color w:val="auto"/>
        </w:rPr>
      </w:pPr>
      <w:r>
        <w:rPr>
          <w:rFonts w:ascii="Times New Roman" w:cs="Times New Roman" w:eastAsia="Times New Roman" w:hAnsi="Times New Roman"/>
          <w:sz w:val="18"/>
          <w:szCs w:val="18"/>
          <w:color w:val="auto"/>
        </w:rPr>
        <w:t>Inflation has the potential to adversely affect our liquidity, business, financial condition and results of operations by increasing our overall cost structure. The existence of inflation in the economy has resulted in, and may continue to result in, higher interest rates and capital costs, shipping costs, supply shortages, increased costs of labor, weakening exchange rates and other similar effects. As a result of inflation, we have and may continue to experience cost increases, including increases in our supply chain costs. Additionally, because we purchase component parts from our suppliers, we may be adversely impacted by their inability to adequately mitigate inflationary, industry, or economic pressures. Although we may take measures to mitigate the impact of this inflation, if these measures are not effective, our business, financial condition, results of operations and liquidity could be materially adversely affected. Even if such measures are effective, there could be a difference between the timing of when these beneficial actions impact our results of operations and when the cost of inflation is incurred.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Technology and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develop all the features we seek to include in our technology.</w:t>
      </w:r>
    </w:p>
    <w:p>
      <w:pPr>
        <w:spacing w:after="0" w:line="189" w:lineRule="exact"/>
        <w:rPr>
          <w:sz w:val="20"/>
          <w:szCs w:val="20"/>
          <w:color w:val="auto"/>
        </w:rPr>
      </w:pPr>
    </w:p>
    <w:p>
      <w:pPr>
        <w:ind w:right="500" w:firstLine="589"/>
        <w:spacing w:after="0" w:line="258" w:lineRule="auto"/>
        <w:rPr>
          <w:sz w:val="20"/>
          <w:szCs w:val="20"/>
          <w:color w:val="auto"/>
        </w:rPr>
      </w:pPr>
      <w:r>
        <w:rPr>
          <w:rFonts w:ascii="Times New Roman" w:cs="Times New Roman" w:eastAsia="Times New Roman" w:hAnsi="Times New Roman"/>
          <w:sz w:val="18"/>
          <w:szCs w:val="18"/>
          <w:color w:val="auto"/>
        </w:rPr>
        <w:t>We have developed commercial products, as well as working prototypes, that utilize our technology. Additional features and performance specifications we seek to include in our technology have not yet been developed. For example, some customer applications may require specific combinations of cost, footprint, efficiencies and capabilities at various frequencies, charging power levels and distances. We believe our research and development efforts will yield additional functionality and capabilities over time. However, there can be no assurance that we will be successful in achieving all the features we are targeting, and our inability to do so may limit the appeal of our technology to consumers.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demonstrate the commercial feasibility of the full capability of our technology.</w:t>
      </w:r>
    </w:p>
    <w:p>
      <w:pPr>
        <w:spacing w:after="0" w:line="189" w:lineRule="exact"/>
        <w:rPr>
          <w:sz w:val="20"/>
          <w:szCs w:val="20"/>
          <w:color w:val="auto"/>
        </w:rPr>
      </w:pPr>
    </w:p>
    <w:p>
      <w:pPr>
        <w:ind w:right="20" w:firstLine="589"/>
        <w:spacing w:after="0" w:line="255" w:lineRule="auto"/>
        <w:rPr>
          <w:sz w:val="20"/>
          <w:szCs w:val="20"/>
          <w:color w:val="auto"/>
        </w:rPr>
      </w:pPr>
      <w:r>
        <w:rPr>
          <w:rFonts w:ascii="Times New Roman" w:cs="Times New Roman" w:eastAsia="Times New Roman" w:hAnsi="Times New Roman"/>
          <w:sz w:val="18"/>
          <w:szCs w:val="18"/>
          <w:color w:val="auto"/>
        </w:rPr>
        <w:t>We have developed both commercial products and working prototypes that use our technology at differing power levels and charging distances, but additional research and development is required to realize the potential of our technology for applications at increasing power levels and distances that can be successfully integrated into commercial products. Research and development of new technologies is, by its nature, unpredictable. We could encounter unanticipated technical problems, the inability to identify products utilizing our technology that will be in demand with customers, getting our technology designed into those products, designing new products for manufacturability, regulatory hurdles and achieving acceptable price points for final products. Although we intend to undertake development efforts with commercially reasonable diligence, there can be no assurance that our available resources will be sufficient to enable us to develop our technology to the extent needed to create future revenues to sustain our operations.</w:t>
      </w:r>
    </w:p>
    <w:p>
      <w:pPr>
        <w:spacing w:after="0" w:line="148" w:lineRule="exact"/>
        <w:rPr>
          <w:sz w:val="20"/>
          <w:szCs w:val="20"/>
          <w:color w:val="auto"/>
        </w:rPr>
      </w:pPr>
    </w:p>
    <w:p>
      <w:pPr>
        <w:ind w:right="60" w:firstLine="589"/>
        <w:spacing w:after="0" w:line="255" w:lineRule="auto"/>
        <w:rPr>
          <w:sz w:val="20"/>
          <w:szCs w:val="20"/>
          <w:color w:val="auto"/>
        </w:rPr>
      </w:pPr>
      <w:r>
        <w:rPr>
          <w:rFonts w:ascii="Times New Roman" w:cs="Times New Roman" w:eastAsia="Times New Roman" w:hAnsi="Times New Roman"/>
          <w:sz w:val="18"/>
          <w:szCs w:val="18"/>
          <w:color w:val="auto"/>
        </w:rPr>
        <w:t>Our technology must satisfy customer expectations and be suitable for use in consumer applications. Any delays in developing our technology that arise from factors of this sort would aggravate our exposure to the risk of having inadequate capital to fund the research and development needed to complete development of these products. Technical problems leading to delays would cause us to incur additional expenses that would increase our operating losses. If we experience significant delays in developing our technology and products based on it for use in potential commercial applications, particularly after incurring significant expenditures, our business may fail, and you could lose all or part of the value of your investment in the Company. If we fail to develop practical and economical commercial products based on our technology, our business may fail and you could lose all or part of the value of your investment in our stock.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outbreak of health epidemics, such as COVID-19, has and may further adversely affect our business, results of operations and financial condition.</w:t>
      </w:r>
    </w:p>
    <w:p>
      <w:pPr>
        <w:spacing w:after="0" w:line="256" w:lineRule="exact"/>
        <w:rPr>
          <w:sz w:val="20"/>
          <w:szCs w:val="20"/>
          <w:color w:val="auto"/>
        </w:rPr>
      </w:pPr>
    </w:p>
    <w:p>
      <w:pPr>
        <w:ind w:right="120" w:firstLine="589"/>
        <w:spacing w:after="0" w:line="254" w:lineRule="auto"/>
        <w:rPr>
          <w:sz w:val="20"/>
          <w:szCs w:val="20"/>
          <w:color w:val="auto"/>
        </w:rPr>
      </w:pPr>
      <w:r>
        <w:rPr>
          <w:rFonts w:ascii="Times New Roman" w:cs="Times New Roman" w:eastAsia="Times New Roman" w:hAnsi="Times New Roman"/>
          <w:sz w:val="18"/>
          <w:szCs w:val="18"/>
          <w:color w:val="auto"/>
        </w:rPr>
        <w:t>Any outbreaks of contagious diseases and other adverse public health developments in countries where we, our customers and suppliers operate could have a material and adverse effect on our business, results of operations and financial condition. For example, the COVID-19 pandemic has resulted in significant governmental measures being implemented to control the spread of the virus, including quarantines, travel restrictions, manufacturing restrictions, declarations of states of emergency, business shutdown and restrictions on the movement of employees in China, the United States and many other countries. A majority of our potential customers have a significant dependence on the Chinese manufacturing and supply chain infrastructure. We believe the COVID-19 pandemic has delayed adoption of our technology by potential customers who temporarily shut down their workforces and supply chains based in China and elsewhere around the world. At times, certain of our outsourcing partners, component suppliers and logistical service providers have experienced disruptions, resulting in supply shortages that have affected and may continue to affect our sales. Similar disruptions could occur in the future.</w:t>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4" w:name="page25"/>
    <w:bookmarkEnd w:id="24"/>
    <w:p>
      <w:pPr>
        <w:ind w:right="60" w:firstLine="589"/>
        <w:spacing w:after="0" w:line="253" w:lineRule="auto"/>
        <w:rPr>
          <w:sz w:val="20"/>
          <w:szCs w:val="20"/>
          <w:color w:val="auto"/>
        </w:rPr>
      </w:pPr>
      <w:r>
        <w:rPr>
          <w:rFonts w:ascii="Times New Roman" w:cs="Times New Roman" w:eastAsia="Times New Roman" w:hAnsi="Times New Roman"/>
          <w:sz w:val="18"/>
          <w:szCs w:val="18"/>
          <w:color w:val="auto"/>
        </w:rPr>
        <w:t>In the United States, COVID-19 has resulted in travel and other restrictions in order to reduce the spread of the disease, including executive orders in California and several other state and local orders across the country, which, among other things, direct individuals to shelter at their places of residence, direct businesses and governmental agencies to cease non-essential operations at physical locations, prohibit certain non-essential gatherings, and order cessation of non-essential travel. As a result of these developments, we have implemented work-from-home policies for our employees that will likely remain in effect in some form through the end of 2022 and possibly longer. The effects of state executive orders, local shelter-in-place orders, government-imposed quarantines and our work-from-home policies could negatively impact productivity, disrupt our research and development or other operations and delay the planned launch of our customers’ new products that incorporate our technology, the magnitude of which will depend, in part, on the length and severity of the continuing restrictions and other limitations on our ability to conduct our business in the ordinary course. Several vaccines have been approved for use since the fourth quarter of 2020, with vaccination rates increasing through the first quarter of 2022. Several new variants of COVID-19 have emerged and may be more transmissible than other variants. Vaccines approved to date have lower efficacy in combating the transmission of some of these new variants, though vaccines appear to protect against severe illness. Due to the continuing developments and fluidity of this situation, the magnitude and duration of the pandemic and its impact on our operations and liquidity are still uncertain as of the date of this report.</w:t>
      </w:r>
    </w:p>
    <w:p>
      <w:pPr>
        <w:spacing w:after="0" w:line="217" w:lineRule="exact"/>
        <w:rPr>
          <w:sz w:val="20"/>
          <w:szCs w:val="20"/>
          <w:color w:val="auto"/>
        </w:rPr>
      </w:pPr>
    </w:p>
    <w:p>
      <w:pPr>
        <w:ind w:firstLine="589"/>
        <w:spacing w:after="0" w:line="261" w:lineRule="auto"/>
        <w:rPr>
          <w:sz w:val="20"/>
          <w:szCs w:val="20"/>
          <w:color w:val="auto"/>
        </w:rPr>
      </w:pPr>
      <w:r>
        <w:rPr>
          <w:rFonts w:ascii="Times New Roman" w:cs="Times New Roman" w:eastAsia="Times New Roman" w:hAnsi="Times New Roman"/>
          <w:sz w:val="18"/>
          <w:szCs w:val="18"/>
          <w:color w:val="auto"/>
        </w:rPr>
        <w:t>In addition, COVID-19 has resulted and may continue to result in a widespread health crisis that could contribute to increased market volatility and adversely affect the economies and financial markets of many countries, resulting in a global economic downturn that could affect interest in our products or demand by potential customers. Any of these events could materially and adversely affect our business, results of operations and financial condition. The extent of the impact will depend on future developments, which are highly uncertain and cannot be predicted.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our business operations as we intend will impose new demands on our financial, technical, operational and management resources.</w:t>
      </w:r>
    </w:p>
    <w:p>
      <w:pPr>
        <w:spacing w:after="0" w:line="189" w:lineRule="exact"/>
        <w:rPr>
          <w:sz w:val="20"/>
          <w:szCs w:val="20"/>
          <w:color w:val="auto"/>
        </w:rPr>
      </w:pPr>
    </w:p>
    <w:p>
      <w:pPr>
        <w:ind w:right="40" w:firstLine="589"/>
        <w:spacing w:after="0" w:line="258" w:lineRule="auto"/>
        <w:rPr>
          <w:sz w:val="20"/>
          <w:szCs w:val="20"/>
          <w:color w:val="auto"/>
        </w:rPr>
      </w:pPr>
      <w:r>
        <w:rPr>
          <w:rFonts w:ascii="Times New Roman" w:cs="Times New Roman" w:eastAsia="Times New Roman" w:hAnsi="Times New Roman"/>
          <w:sz w:val="18"/>
          <w:szCs w:val="18"/>
          <w:color w:val="auto"/>
        </w:rPr>
        <w:t>To date we have operated primarily in the research and development phase of our business. If we are successful, we will need to expand our business operations, which will impose new demands on our financial, technical, operational and management resources. If we do not upgrade our technical, administrative, operating and financial control systems, or if unexpected expansion difficulties arise, including issues relating to our research and development activities, then retention of experienced scientists, managers and engineers could become more challenging and have a material adverse effect on our business, results of operations and financial condition.</w:t>
      </w:r>
    </w:p>
    <w:p>
      <w:pPr>
        <w:spacing w:after="0" w:line="15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products incorporating our technology are launched commercially but do not achieve widespread market acceptance, we will not be able to generate the revenue necessary to support our business.</w:t>
      </w:r>
    </w:p>
    <w:p>
      <w:pPr>
        <w:spacing w:after="0" w:line="118" w:lineRule="exact"/>
        <w:rPr>
          <w:sz w:val="20"/>
          <w:szCs w:val="20"/>
          <w:color w:val="auto"/>
        </w:rPr>
      </w:pPr>
    </w:p>
    <w:p>
      <w:pPr>
        <w:ind w:right="640" w:firstLine="589"/>
        <w:spacing w:after="0" w:line="282" w:lineRule="auto"/>
        <w:rPr>
          <w:sz w:val="20"/>
          <w:szCs w:val="20"/>
          <w:color w:val="auto"/>
        </w:rPr>
      </w:pPr>
      <w:r>
        <w:rPr>
          <w:rFonts w:ascii="Times New Roman" w:cs="Times New Roman" w:eastAsia="Times New Roman" w:hAnsi="Times New Roman"/>
          <w:sz w:val="18"/>
          <w:szCs w:val="18"/>
          <w:color w:val="auto"/>
        </w:rPr>
        <w:t>Market acceptance of a RF-based charging system as a preferred method for charging electronic devices will be crucial to our success. The following factors, among others, may affect the level of market acceptance of products in our industry:</w:t>
      </w:r>
    </w:p>
    <w:p>
      <w:pPr>
        <w:spacing w:after="0" w:line="54" w:lineRule="exact"/>
        <w:rPr>
          <w:sz w:val="20"/>
          <w:szCs w:val="20"/>
          <w:color w:val="auto"/>
        </w:rPr>
      </w:pPr>
    </w:p>
    <w:p>
      <w:pPr>
        <w:ind w:left="880" w:hanging="440"/>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products incorporating our technology relative to other products or competing technologies;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 perceptions of the convenience, safety, efficiency and benefits of our technology;</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 of our commercialization partners;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support and rate of acceptance of our technology and solutions with our development partners;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 and blog coverage, social media coverage, and other publicity factors that are not within our control; and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w:t>
      </w:r>
    </w:p>
    <w:p>
      <w:pPr>
        <w:spacing w:after="0" w:line="185" w:lineRule="exact"/>
        <w:rPr>
          <w:sz w:val="20"/>
          <w:szCs w:val="20"/>
          <w:color w:val="auto"/>
        </w:rPr>
      </w:pPr>
    </w:p>
    <w:p>
      <w:pPr>
        <w:ind w:right="40" w:firstLine="589"/>
        <w:spacing w:after="0" w:line="282" w:lineRule="auto"/>
        <w:rPr>
          <w:sz w:val="20"/>
          <w:szCs w:val="20"/>
          <w:color w:val="auto"/>
        </w:rPr>
      </w:pPr>
      <w:r>
        <w:rPr>
          <w:rFonts w:ascii="Times New Roman" w:cs="Times New Roman" w:eastAsia="Times New Roman" w:hAnsi="Times New Roman"/>
          <w:sz w:val="18"/>
          <w:szCs w:val="18"/>
          <w:color w:val="auto"/>
        </w:rPr>
        <w:t>If we are unable to achieve or maintain market acceptance of our technology, and if related products do not win widespread market acceptance, our business will be significantly harmed.</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5" w:name="page26"/>
    <w:bookmarkEnd w:id="25"/>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products incorporating our technology are launched commercially, we may experience seasonality or other unevenness in our financial results in consumer markets or a long and variable sales cycle in enterprise markets.</w:t>
      </w:r>
    </w:p>
    <w:p>
      <w:pPr>
        <w:spacing w:after="0" w:line="132" w:lineRule="exact"/>
        <w:rPr>
          <w:sz w:val="20"/>
          <w:szCs w:val="20"/>
          <w:color w:val="auto"/>
        </w:rPr>
      </w:pPr>
    </w:p>
    <w:p>
      <w:pPr>
        <w:ind w:right="20" w:firstLine="589"/>
        <w:spacing w:after="0" w:line="256" w:lineRule="auto"/>
        <w:rPr>
          <w:sz w:val="20"/>
          <w:szCs w:val="20"/>
          <w:color w:val="auto"/>
        </w:rPr>
      </w:pPr>
      <w:r>
        <w:rPr>
          <w:rFonts w:ascii="Times New Roman" w:cs="Times New Roman" w:eastAsia="Times New Roman" w:hAnsi="Times New Roman"/>
          <w:sz w:val="18"/>
          <w:szCs w:val="18"/>
          <w:color w:val="auto"/>
        </w:rPr>
        <w:t>Our strategy depends on our customers developing successful commercial products using our technology and selling them into the consumer, enterprise and commercial markets. We need to understand procurement and buying cycles to be successful in licensing our technology. We anticipate it is possible that demand for our technology may vary in different segments of the consumer electronics market, such as hearing aids, wearables, toys, watches, accessories, laptops, tablet, mobile phones and gaming systems. Such consumer markets are often seasonal, with peaks in and around the December holiday season and the August-September back-to-school season. Enterprises and commercial customers may have annual or other budgeting and buying cycles that could affect us, and, particularly if we are designated as a capital improvement project, we may have a long or unpredictable sales cycle.</w:t>
      </w:r>
    </w:p>
    <w:p>
      <w:pPr>
        <w:spacing w:after="0" w:line="14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products based on our technology may require the user to purchase additional products to use with existing devices. To the extent these additional purchases are inconvenient, the adoption of our technology under development or other future products could be slowed, which would harm our business.</w:t>
      </w:r>
    </w:p>
    <w:p>
      <w:pPr>
        <w:spacing w:after="0" w:line="134" w:lineRule="exact"/>
        <w:rPr>
          <w:sz w:val="20"/>
          <w:szCs w:val="20"/>
          <w:color w:val="auto"/>
        </w:rPr>
      </w:pPr>
    </w:p>
    <w:p>
      <w:pPr>
        <w:ind w:right="20" w:firstLine="589"/>
        <w:spacing w:after="0" w:line="254" w:lineRule="auto"/>
        <w:rPr>
          <w:sz w:val="20"/>
          <w:szCs w:val="20"/>
          <w:color w:val="auto"/>
        </w:rPr>
      </w:pPr>
      <w:r>
        <w:rPr>
          <w:rFonts w:ascii="Times New Roman" w:cs="Times New Roman" w:eastAsia="Times New Roman" w:hAnsi="Times New Roman"/>
          <w:sz w:val="18"/>
          <w:szCs w:val="18"/>
          <w:color w:val="auto"/>
        </w:rPr>
        <w:t>For rechargeable devices that utilize our receiver technology, the technology may be embedded in a sleeve, case or other enclosure. For example, products such as remote controls or toys equipped with replaceable AA size or other batteries would need to be outfitted with enhanced batteries and other hardware enabling the devices to be rechargeable by our system. In each case, an end user would be required to retrofit the device with a receiver and may be required to upgrade the battery technology used with the device (unless, for example, compatible battery technology and a receiver are built into the device). These additional steps and expenses may offset the convenience of our products for users and discourage customers from licensing our technology. Such factors may inhibit adoption of our technology, which could harm our business. We have not developed an enhanced battery for use in devices with our technology, and our ability to enable use of our technology with devices that require an enhanced battery will depend on our ability to develop a commercial version of such a battery that could be manufactured at a reasonable cost. If a commercially practicable enhanced battery of this nature is not developed, our business could be harmed, and we may need to change our strategy and target markets.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Laboratory conditions differ from field conditions, which could reduce the effectiveness of our technology under development or other future products.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Failures to move from laboratory to the field effectively would harm our business.</w:t>
      </w:r>
    </w:p>
    <w:p>
      <w:pPr>
        <w:spacing w:after="0" w:line="166" w:lineRule="exact"/>
        <w:rPr>
          <w:sz w:val="20"/>
          <w:szCs w:val="20"/>
          <w:color w:val="auto"/>
        </w:rPr>
      </w:pPr>
    </w:p>
    <w:p>
      <w:pPr>
        <w:ind w:right="40" w:firstLine="589"/>
        <w:spacing w:after="0" w:line="261" w:lineRule="auto"/>
        <w:rPr>
          <w:sz w:val="20"/>
          <w:szCs w:val="20"/>
          <w:color w:val="auto"/>
        </w:rPr>
      </w:pPr>
      <w:r>
        <w:rPr>
          <w:rFonts w:ascii="Times New Roman" w:cs="Times New Roman" w:eastAsia="Times New Roman" w:hAnsi="Times New Roman"/>
          <w:sz w:val="18"/>
          <w:szCs w:val="18"/>
          <w:color w:val="auto"/>
        </w:rPr>
        <w:t>When used in the field, our technology may not perform as expected based on performance under controlled laboratory conditions. For example, in the case of distance charging, a laboratory configuration of transmission obstructions will be arranged for testing, but in consumer use receivers may be obstructed in many different and unpredictable ways. These conditions may significantly diminish the power received at the receiver or the effective range of the transmitter. The failure of products using our technology to meet the expectations of users in the field could harm our business.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Safety concerns and legal action by private parties may affect our business.</w:t>
      </w:r>
    </w:p>
    <w:p>
      <w:pPr>
        <w:spacing w:after="0" w:line="256" w:lineRule="exact"/>
        <w:rPr>
          <w:sz w:val="20"/>
          <w:szCs w:val="20"/>
          <w:color w:val="auto"/>
        </w:rPr>
      </w:pPr>
    </w:p>
    <w:p>
      <w:pPr>
        <w:ind w:right="140" w:firstLine="589"/>
        <w:spacing w:after="0" w:line="254" w:lineRule="auto"/>
        <w:rPr>
          <w:sz w:val="20"/>
          <w:szCs w:val="20"/>
          <w:color w:val="auto"/>
        </w:rPr>
      </w:pPr>
      <w:r>
        <w:rPr>
          <w:rFonts w:ascii="Times New Roman" w:cs="Times New Roman" w:eastAsia="Times New Roman" w:hAnsi="Times New Roman"/>
          <w:sz w:val="18"/>
          <w:szCs w:val="18"/>
          <w:color w:val="auto"/>
        </w:rPr>
        <w:t>We believe that our technology is safe. However, it is possible that we could discover safety issues with our technology or that third-parties may raise concerns relating to RF-based charging in a similar manner as has occurred with some other wireless technologies as they were put into residential and commercial use, such as the safety concerns that were raised by some regarding the use of cellular telephones and other devices to transmit data wirelessly in close proximity to the human body. In addition, while we believe our technology is safe, users of our technology under development or other future products who suffer from medical ailments may blame the use of products incorporating our technology for the triggering or worsening of those ailments, as occurred with a small number of users of cellular telephones. A discovery of safety issues relating to our technology could have a material adverse effect on our business and any legal action against us claiming that our technology caused harm could be expensive, divert management attention and adversely affect us or cause our business to fail, whether or not such legal actions were ultimately successful.</w:t>
      </w:r>
    </w:p>
    <w:p>
      <w:pPr>
        <w:spacing w:after="0" w:line="215" w:lineRule="exact"/>
        <w:rPr>
          <w:sz w:val="20"/>
          <w:szCs w:val="20"/>
          <w:color w:val="auto"/>
        </w:rPr>
      </w:pPr>
    </w:p>
    <w:p>
      <w:pPr>
        <w:jc w:val="both"/>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industry is subject to intense competition and rapid technological change, which may result in technology that is superior to ours. If we do not keep pace with changes in the marketplace and the direction of technological innovation and customer demands, our technology and products may become less useful or obsolete and our operating results will suffer.</w:t>
      </w:r>
    </w:p>
    <w:p>
      <w:pPr>
        <w:spacing w:after="0" w:line="148" w:lineRule="exact"/>
        <w:rPr>
          <w:sz w:val="20"/>
          <w:szCs w:val="20"/>
          <w:color w:val="auto"/>
        </w:rPr>
      </w:pPr>
    </w:p>
    <w:p>
      <w:pPr>
        <w:ind w:right="440" w:firstLine="589"/>
        <w:spacing w:after="0" w:line="282" w:lineRule="auto"/>
        <w:rPr>
          <w:sz w:val="20"/>
          <w:szCs w:val="20"/>
          <w:color w:val="auto"/>
        </w:rPr>
      </w:pPr>
      <w:r>
        <w:rPr>
          <w:rFonts w:ascii="Times New Roman" w:cs="Times New Roman" w:eastAsia="Times New Roman" w:hAnsi="Times New Roman"/>
          <w:sz w:val="18"/>
          <w:szCs w:val="18"/>
          <w:color w:val="auto"/>
        </w:rPr>
        <w:t>The consumer electronics industry in general, and the charging segments in particular, are subject to intense competition and rapidly evolving technologies. Because products incorporating our technology are expected to have</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6" w:name="page27"/>
    <w:bookmarkEnd w:id="26"/>
    <w:p>
      <w:pPr>
        <w:ind w:right="20"/>
        <w:spacing w:after="0" w:line="254" w:lineRule="auto"/>
        <w:rPr>
          <w:sz w:val="20"/>
          <w:szCs w:val="20"/>
          <w:color w:val="auto"/>
        </w:rPr>
      </w:pPr>
      <w:r>
        <w:rPr>
          <w:rFonts w:ascii="Times New Roman" w:cs="Times New Roman" w:eastAsia="Times New Roman" w:hAnsi="Times New Roman"/>
          <w:sz w:val="18"/>
          <w:szCs w:val="18"/>
          <w:color w:val="auto"/>
        </w:rPr>
        <w:t>long development cycles, we must anticipate changes in the marketplace and the direction of technological innovation and customer demands. To compete successfully, we will need to demonstrate the advantages of our products and technologies over established alternatives and other emerging methods of power delivery. Traditional wall plug-in recharging remains an inexpensive alternative to our technology. Directly competing technologies such as inductive charging, magnetic resonance charging, conductive charging, ultrasound and other yet unidentified solutions may have greater consumer acceptance than the technology we have developed. Furthermore, some competitors may have greater resources than we have and may be better established in the market than we are. We cannot be certain which other companies may have already decided to or may in the future choose to enter our markets. For example, consumer electronics products companies may invest substantial resources in wireless power or other recharging technologies and may decide to enter our target markets. Successful developments of competitors that result in new approaches for recharging could reduce the attractiveness of our products and technologies or render them obsolete.</w:t>
      </w:r>
    </w:p>
    <w:p>
      <w:pPr>
        <w:spacing w:after="0" w:line="161" w:lineRule="exact"/>
        <w:rPr>
          <w:sz w:val="20"/>
          <w:szCs w:val="20"/>
          <w:color w:val="auto"/>
        </w:rPr>
      </w:pPr>
    </w:p>
    <w:p>
      <w:pPr>
        <w:ind w:right="20" w:firstLine="589"/>
        <w:spacing w:after="0" w:line="256" w:lineRule="auto"/>
        <w:rPr>
          <w:sz w:val="20"/>
          <w:szCs w:val="20"/>
          <w:color w:val="auto"/>
        </w:rPr>
      </w:pPr>
      <w:r>
        <w:rPr>
          <w:rFonts w:ascii="Times New Roman" w:cs="Times New Roman" w:eastAsia="Times New Roman" w:hAnsi="Times New Roman"/>
          <w:sz w:val="18"/>
          <w:szCs w:val="18"/>
          <w:color w:val="auto"/>
        </w:rPr>
        <w:t>Our future success will depend in large part on our ability to establish and maintain a competitive position in current and future technologies. Rapid technological development may render our technology or future products based on our technology obsolete. Many of our competitors have more corporate, financial, operational, sales and marketing resources than we have, as well as more experience in research and development. We cannot assure you that our competitors will not develop or market technologies that are more effective or commercially attractive than our products or that would render our technologies and products obsolete. We may not have the financial resources, technical expertise, marketing, distribution or support capabilities to compete successfully in the future. Our success will depend in large part on our ability to maintain a competitive position with our technologies.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competitive position also depends on our ability to:</w:t>
      </w:r>
    </w:p>
    <w:p>
      <w:pPr>
        <w:spacing w:after="0" w:line="117" w:lineRule="exact"/>
        <w:rPr>
          <w:sz w:val="20"/>
          <w:szCs w:val="20"/>
          <w:color w:val="auto"/>
        </w:rPr>
      </w:pPr>
    </w:p>
    <w:p>
      <w:pPr>
        <w:ind w:left="880" w:right="280" w:hanging="440"/>
        <w:spacing w:after="0" w:line="282"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widespread awareness, acceptance and adoption by the consumer and enterprise markets of our technology under development and future products;</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 product that may be sold at an acceptable price point;</w:t>
      </w:r>
    </w:p>
    <w:p>
      <w:pPr>
        <w:spacing w:after="0" w:line="117" w:lineRule="exact"/>
        <w:rPr>
          <w:rFonts w:ascii="Times New Roman" w:cs="Times New Roman" w:eastAsia="Times New Roman" w:hAnsi="Times New Roman"/>
          <w:sz w:val="18"/>
          <w:szCs w:val="18"/>
          <w:color w:val="auto"/>
        </w:rPr>
      </w:pPr>
    </w:p>
    <w:p>
      <w:pPr>
        <w:ind w:left="880" w:right="140" w:hanging="440"/>
        <w:spacing w:after="0" w:line="282"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new or enhanced technologies or features that improve the convenience, efficiency, safety or perceived safety, and productivity of our technology under development and future products;</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identify customer needs and deliver new products or product enhancements to address those needs;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time required from proof of feasibility to routine production;</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timing and cost of regulatory approvals;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qualified personnel;</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our inventions with patents or otherwise develop proprietary products and processes; and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sufficient capital resources to expand both our continued research and development, and sales and marketing efforts.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our technology does not compete well based on these or other factors, our business could be harmed.</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data security risks, including security breaches.</w:t>
      </w:r>
    </w:p>
    <w:p>
      <w:pPr>
        <w:spacing w:after="0" w:line="189" w:lineRule="exact"/>
        <w:rPr>
          <w:sz w:val="20"/>
          <w:szCs w:val="20"/>
          <w:color w:val="auto"/>
        </w:rPr>
      </w:pPr>
    </w:p>
    <w:p>
      <w:pPr>
        <w:ind w:right="60" w:firstLine="589"/>
        <w:spacing w:after="0" w:line="253" w:lineRule="auto"/>
        <w:rPr>
          <w:sz w:val="20"/>
          <w:szCs w:val="20"/>
          <w:color w:val="auto"/>
        </w:rPr>
      </w:pPr>
      <w:r>
        <w:rPr>
          <w:rFonts w:ascii="Times New Roman" w:cs="Times New Roman" w:eastAsia="Times New Roman" w:hAnsi="Times New Roman"/>
          <w:sz w:val="18"/>
          <w:szCs w:val="18"/>
          <w:color w:val="auto"/>
        </w:rPr>
        <w:t>We collect, process, store and transmit substantial amounts of information, including information about our customers. We take steps to protect the security and integrity of the information we collect, process, store and transmit, but there is no guarantee that inadvertent or unauthorized use or disclosure will not occur or that third parties will not gain unauthorized access to this information despite such efforts. Security breaches, computer malware, computer hacking attacks and other compromises of information security measures have become more prevalent in the business world and may occur on our systems or those of our vendors in the future. Large Internet companies and websites have from time to time disclosed sophisticated and targeted attacks on portions of their websites, and an increasing number have reported such attacks resulting in breaches of their information security. We and our third-party vendors are at risk of suffering from similar attacks and breaches. Although we take steps to maintain confidential and proprietary information on our information systems, these measures and technology may not adequately prevent security breaches and we rely on our third-party vendors to take appropriate measures to protect the security and integrity of the information on those information systems. Because techniques used to obtain unauthorized access to or to sabotage information systems change frequently and may not be known until launched against us, we may be unable to anticipate or prevent these attacks. In addition, a party that is able to illicitly obtain a customer’s identification and password credentials may be able to access our customer’s accounts and certain account data.</w:t>
      </w:r>
    </w:p>
    <w:p>
      <w:pPr>
        <w:spacing w:after="0" w:line="163" w:lineRule="exact"/>
        <w:rPr>
          <w:sz w:val="20"/>
          <w:szCs w:val="20"/>
          <w:color w:val="auto"/>
        </w:rPr>
      </w:pPr>
    </w:p>
    <w:p>
      <w:pPr>
        <w:ind w:right="60" w:firstLine="589"/>
        <w:spacing w:after="0" w:line="258" w:lineRule="auto"/>
        <w:rPr>
          <w:sz w:val="20"/>
          <w:szCs w:val="20"/>
          <w:color w:val="auto"/>
        </w:rPr>
      </w:pPr>
      <w:r>
        <w:rPr>
          <w:rFonts w:ascii="Times New Roman" w:cs="Times New Roman" w:eastAsia="Times New Roman" w:hAnsi="Times New Roman"/>
          <w:sz w:val="18"/>
          <w:szCs w:val="18"/>
          <w:color w:val="auto"/>
        </w:rPr>
        <w:t>Any actual or suspected security breach or other compromise of our security measures or those of our third-party vendors, whether as a result of hacking efforts, denial-of-service attacks, viruses, malicious software, break-ins, phishing attacks, social engineering or otherwise, could harm our reputation and business, damage our brand and make it harder to retain existing customers or acquire new ones, require us to expend significant capital and other resources to address the breach, and result in a violation of applicable laws, regulations or other legal obligations. Our insurance policies may not be adequate to reimburse us for direct losses caused by any such security breach or indirect losses due to resulting customer attrition.</w:t>
      </w:r>
    </w:p>
    <w:p>
      <w:pPr>
        <w:spacing w:after="0" w:line="143" w:lineRule="exact"/>
        <w:rPr>
          <w:sz w:val="20"/>
          <w:szCs w:val="20"/>
          <w:color w:val="auto"/>
        </w:rPr>
      </w:pPr>
    </w:p>
    <w:p>
      <w:pPr>
        <w:ind w:right="40" w:firstLine="589"/>
        <w:spacing w:after="0" w:line="258" w:lineRule="auto"/>
        <w:rPr>
          <w:sz w:val="20"/>
          <w:szCs w:val="20"/>
          <w:color w:val="auto"/>
        </w:rPr>
      </w:pPr>
      <w:r>
        <w:rPr>
          <w:rFonts w:ascii="Times New Roman" w:cs="Times New Roman" w:eastAsia="Times New Roman" w:hAnsi="Times New Roman"/>
          <w:sz w:val="18"/>
          <w:szCs w:val="18"/>
          <w:color w:val="auto"/>
        </w:rPr>
        <w:t>We rely on email and other electronic means of communication to connect with our existing and potential customers. Our customers may be targeted by parties using fraudulent spoofing and phishing emails to misappropriate passwords, payment information or other personal information or to introduce viruses through Trojan horse programs or otherwise through our customers’ computers, smartphones, tablets or other devices. Despite our efforts to mitigate the effectiveness of such malicious email campaigns through product improvements, spoofing and phishing may damage our brand and increase our costs. Any of these events or circumstances could materially adversely affect our business, financial condition and operating results.</w:t>
      </w:r>
    </w:p>
    <w:p>
      <w:pPr>
        <w:spacing w:after="0" w:line="206" w:lineRule="exact"/>
        <w:rPr>
          <w:sz w:val="20"/>
          <w:szCs w:val="20"/>
          <w:color w:val="auto"/>
        </w:rPr>
      </w:pPr>
    </w:p>
    <w:p>
      <w:pPr>
        <w:ind w:right="80" w:firstLine="58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strategic relationship with Dialog, a provider of electronics products, has been terminated, and there can be no assurance that we will find a suitable replacement or be able to conduct the same activities internally.</w:t>
      </w:r>
    </w:p>
    <w:p>
      <w:pPr>
        <w:spacing w:after="0" w:line="118" w:lineRule="exact"/>
        <w:rPr>
          <w:sz w:val="20"/>
          <w:szCs w:val="20"/>
          <w:color w:val="auto"/>
        </w:rPr>
      </w:pPr>
    </w:p>
    <w:p>
      <w:pPr>
        <w:ind w:right="40" w:firstLine="589"/>
        <w:spacing w:after="0" w:line="255" w:lineRule="auto"/>
        <w:rPr>
          <w:sz w:val="20"/>
          <w:szCs w:val="20"/>
          <w:color w:val="auto"/>
        </w:rPr>
      </w:pPr>
      <w:r>
        <w:rPr>
          <w:rFonts w:ascii="Times New Roman" w:cs="Times New Roman" w:eastAsia="Times New Roman" w:hAnsi="Times New Roman"/>
          <w:sz w:val="18"/>
          <w:szCs w:val="18"/>
          <w:color w:val="auto"/>
        </w:rPr>
        <w:t>We were historically party to a Alliance Agreement with Dialog, a provider of electronics products, pursuant to which we licensed our WattUp technology to Dialog and it became the exclusive provider of our technology. In November 2021, we were informed that Dialog was acquired by the Japanese chipmaker, Renesas Electronics, and that Dialog, under the control of Renesas Electronics would not be continuing our relationship. As we transfer our supply chains away from Dialog, we have been developing our own internal capabilities and are partnering once again with the foundry partner that supported our manufacturing process before we entered into the Alliance Agreement. While have seen no major impact to-date as a result of the termination of our relationship with Dialog, the process of transferring our supply chains away from Dialog may result in manufacturing delays, increases in manufacturing or sales costs or reduced revenues.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and Other Legal Risks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is difficult and costly to protect our intellectual property and our proprietary technologies, and we may not be able to ensure their protection.</w:t>
      </w:r>
    </w:p>
    <w:p>
      <w:pPr>
        <w:spacing w:after="0" w:line="189" w:lineRule="exact"/>
        <w:rPr>
          <w:sz w:val="20"/>
          <w:szCs w:val="20"/>
          <w:color w:val="auto"/>
        </w:rPr>
      </w:pPr>
    </w:p>
    <w:p>
      <w:pPr>
        <w:ind w:right="120" w:firstLine="589"/>
        <w:spacing w:after="0" w:line="256" w:lineRule="auto"/>
        <w:rPr>
          <w:sz w:val="20"/>
          <w:szCs w:val="20"/>
          <w:color w:val="auto"/>
        </w:rPr>
      </w:pPr>
      <w:r>
        <w:rPr>
          <w:rFonts w:ascii="Times New Roman" w:cs="Times New Roman" w:eastAsia="Times New Roman" w:hAnsi="Times New Roman"/>
          <w:sz w:val="18"/>
          <w:szCs w:val="18"/>
          <w:color w:val="auto"/>
        </w:rPr>
        <w:t>Our success depends significantly on our ability to obtain, maintain and protect our proprietary rights to the technologies used in products incorporating our technologies. Patents and other proprietary rights provide uncertain protections, and we may be unable to protect our intellectual property. For example, we may be unsuccessful in defending our patents and other proprietary rights against third party challenges. If we do not have the resources to defend our intellectual property, the value of our intellectual property and our licensed technology will decline. In addition, some companies that integrate our technology into their products may acquire rights in the technology that limit our business or increase our costs. If we are not successful in protecting our intellectual property effectively, our financial results may be adversely affected and the price of our common stock could decline.</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upon a combination of patent, trade secrets, copyright and trademark laws to protect our intellectual property and technology.</w:t>
      </w:r>
    </w:p>
    <w:p>
      <w:pPr>
        <w:spacing w:after="0" w:line="189" w:lineRule="exact"/>
        <w:rPr>
          <w:sz w:val="20"/>
          <w:szCs w:val="20"/>
          <w:color w:val="auto"/>
        </w:rPr>
      </w:pPr>
    </w:p>
    <w:p>
      <w:pPr>
        <w:ind w:right="200" w:firstLine="589"/>
        <w:spacing w:after="0" w:line="254" w:lineRule="auto"/>
        <w:rPr>
          <w:sz w:val="20"/>
          <w:szCs w:val="20"/>
          <w:color w:val="auto"/>
        </w:rPr>
      </w:pPr>
      <w:r>
        <w:rPr>
          <w:rFonts w:ascii="Times New Roman" w:cs="Times New Roman" w:eastAsia="Times New Roman" w:hAnsi="Times New Roman"/>
          <w:sz w:val="18"/>
          <w:szCs w:val="18"/>
          <w:color w:val="auto"/>
        </w:rPr>
        <w:t>We rely on a combination of patents, trade secrets, copyright and trademark laws, nondisclosure agreements and other contractual provisions and technical security measures to protect our intellectual property rights. These measures may not be adequate to safeguard our technology. If they do not protect our rights adequately, third parties could use our technology, and our ability to compete in the market would be reduced. Although we are attempting to obtain patent coverage for our technology where available and where we believe appropriate, there are aspects of the technology for which patent coverage may never be sought or received. We may not possess the resources to or may not choose to pursue patent protection outside the United States or any or every country other than the United States where we may eventually decide to sell our future products. Our ability to prevent others from making or selling duplicate or similar technologies will be impaired in those countries in which we would have no patent protection. Although we have patent applications on file in the United States and elsewhere, the patents might not issue, might issue only with limited coverage, or might issue and be subsequently successfully challenged by others and held invalid or unenforceable.</w:t>
      </w:r>
    </w:p>
    <w:p>
      <w:pPr>
        <w:spacing w:after="0" w:line="161" w:lineRule="exact"/>
        <w:rPr>
          <w:sz w:val="20"/>
          <w:szCs w:val="20"/>
          <w:color w:val="auto"/>
        </w:rPr>
      </w:pPr>
    </w:p>
    <w:p>
      <w:pPr>
        <w:ind w:right="140" w:firstLine="589"/>
        <w:spacing w:after="0" w:line="254" w:lineRule="auto"/>
        <w:rPr>
          <w:sz w:val="20"/>
          <w:szCs w:val="20"/>
          <w:color w:val="auto"/>
        </w:rPr>
      </w:pPr>
      <w:r>
        <w:rPr>
          <w:rFonts w:ascii="Times New Roman" w:cs="Times New Roman" w:eastAsia="Times New Roman" w:hAnsi="Times New Roman"/>
          <w:sz w:val="18"/>
          <w:szCs w:val="18"/>
          <w:color w:val="auto"/>
        </w:rPr>
        <w:t>Similarly, even if patents are issued based on our applications or future applications, any issued patents may not provide us with any competitive advantages. Competitors may be able to design around our patents or develop products that provide outcomes comparable or superior to ours. Our patents may be held invalid or unenforceable as a result of legal challenges or claims of prior art by third parties, and others may challenge the inventorship or ownership of our patents and pending patent applications. In addition, if we secure protection in countries outside the United States, the laws of some foreign countries may not protect our intellectual property rights to the same extent as do the laws of the United States. In the event a competitor infringes upon our patent or other intellectual property rights, enforcing those rights may be difficult and time consuming. Even if successful, litigation to enforce our intellectual property rights or to defend our patents against challenge could be expensive and time consuming and could divert our management’s attention. We may not have sufficient resources to enforce our intellectual property rights or to defend our patents against a challenge.</w:t>
      </w:r>
    </w:p>
    <w:p>
      <w:pPr>
        <w:spacing w:after="0" w:line="151" w:lineRule="exact"/>
        <w:rPr>
          <w:sz w:val="20"/>
          <w:szCs w:val="20"/>
          <w:color w:val="auto"/>
        </w:rPr>
      </w:pPr>
    </w:p>
    <w:p>
      <w:pPr>
        <w:jc w:val="both"/>
        <w:ind w:right="280" w:firstLine="589"/>
        <w:spacing w:after="0" w:line="266" w:lineRule="auto"/>
        <w:rPr>
          <w:sz w:val="20"/>
          <w:szCs w:val="20"/>
          <w:color w:val="auto"/>
        </w:rPr>
      </w:pPr>
      <w:r>
        <w:rPr>
          <w:rFonts w:ascii="Times New Roman" w:cs="Times New Roman" w:eastAsia="Times New Roman" w:hAnsi="Times New Roman"/>
          <w:sz w:val="18"/>
          <w:szCs w:val="18"/>
          <w:color w:val="auto"/>
        </w:rPr>
        <w:t>Our strategy is to deploy our technology into the market by licensing patent and other proprietary rights to third parties and customers. Disputes with our licensees may arise regarding the scope and content of these licenses. Further, our ability to expand into additional fields with our technologies may be restricted by existing licenses or licenses we may grant to third parties in the future.</w:t>
      </w:r>
    </w:p>
    <w:p>
      <w:pPr>
        <w:spacing w:after="0" w:line="135" w:lineRule="exact"/>
        <w:rPr>
          <w:sz w:val="20"/>
          <w:szCs w:val="20"/>
          <w:color w:val="auto"/>
        </w:rPr>
      </w:pPr>
    </w:p>
    <w:p>
      <w:pPr>
        <w:ind w:right="160" w:firstLine="589"/>
        <w:spacing w:after="0" w:line="256" w:lineRule="auto"/>
        <w:rPr>
          <w:sz w:val="20"/>
          <w:szCs w:val="20"/>
          <w:color w:val="auto"/>
        </w:rPr>
      </w:pPr>
      <w:r>
        <w:rPr>
          <w:rFonts w:ascii="Times New Roman" w:cs="Times New Roman" w:eastAsia="Times New Roman" w:hAnsi="Times New Roman"/>
          <w:sz w:val="18"/>
          <w:szCs w:val="18"/>
          <w:color w:val="auto"/>
        </w:rPr>
        <w:t>The policies we use to protect our trade secrets might not be effective in preventing misappropriation of our trade secrets by others. In addition, confidentiality agreements executed by our customers, employees, consultants and advisors might not be enforceable or might not provide meaningful protection for our trade secrets or other proprietary information in the event of unauthorized use or disclosure. Litigating a trade secret claim is expensive and time consuming, and the outcome is unpredictable. Moreover, our competitors may independently develop equivalent knowledge methods and know-how. If we are unable to protect our intellectual property rights, we may be unable to prevent competitors from using our own inventions and intellectual property to compete against us, and our business may be harmed.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patent infringement or other intellectual property lawsuits that could be costly to defend.</w:t>
      </w:r>
    </w:p>
    <w:p>
      <w:pPr>
        <w:spacing w:after="0" w:line="202" w:lineRule="exact"/>
        <w:rPr>
          <w:sz w:val="20"/>
          <w:szCs w:val="20"/>
          <w:color w:val="auto"/>
        </w:rPr>
      </w:pPr>
    </w:p>
    <w:p>
      <w:pPr>
        <w:ind w:right="40" w:firstLine="589"/>
        <w:spacing w:after="0" w:line="252" w:lineRule="auto"/>
        <w:rPr>
          <w:sz w:val="20"/>
          <w:szCs w:val="20"/>
          <w:color w:val="auto"/>
        </w:rPr>
      </w:pPr>
      <w:r>
        <w:rPr>
          <w:rFonts w:ascii="Times New Roman" w:cs="Times New Roman" w:eastAsia="Times New Roman" w:hAnsi="Times New Roman"/>
          <w:sz w:val="18"/>
          <w:szCs w:val="18"/>
          <w:color w:val="auto"/>
        </w:rPr>
        <w:t>Because our industry is characterized by competing intellectual property, we may become involved in litigation based on claims that we have violated the intellectual property rights of others. Determining whether a product infringes a patent involves complex legal and factual issues, and the outcome of patent litigation actions is often uncertain. No assurance can be given that third party patents containing claims covering our products, parts of our products, technology or methods do not exist, have not been filed, or could not be filed or issued. Because of the number of patents issued and patent applications filed in our technical areas or fields (including some pertaining specifically to wireless charging technologies), our competitors or other third parties may assert that our products and technology and the methods we employ in the use of our products and technology are covered by United States or foreign patents held by them. In addition, because patent applications can take many years to issue and because publication schedules for pending applications vary by jurisdiction, there may be applications now pending which may result in issued patents that our technology under development or other future products would infringe. Also, because the claims of published patent applications can change between publication and patent grant, there may be published patent applications that may ultimately issue with claims that we infringe. There could also be existing patents that one or more of our technologies, products or parts may infringe and of which we are unaware. As the number of competitors in the market for wire-free power and alternative recharging solutions increases, and as the number of patents issued in this area grows, the possibility of patent infringement claims against us increases. Some of our competitors may be able to sustain the costs of complex patent litigation more effectively than we can because they have substantially greater resources. In addition, any uncertainties resulting from the initiation and</w:t>
      </w:r>
    </w:p>
    <w:p>
      <w:pPr>
        <w:spacing w:after="0" w:line="1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continuation of any litigation could have a material adverse effect on our ability to raise the funds necessary to continue our operations.</w:t>
      </w:r>
    </w:p>
    <w:p>
      <w:pPr>
        <w:spacing w:after="0" w:line="198" w:lineRule="exact"/>
        <w:rPr>
          <w:sz w:val="20"/>
          <w:szCs w:val="20"/>
          <w:color w:val="auto"/>
        </w:rPr>
      </w:pPr>
    </w:p>
    <w:p>
      <w:pPr>
        <w:ind w:right="40" w:firstLine="589"/>
        <w:spacing w:after="0" w:line="255" w:lineRule="auto"/>
        <w:rPr>
          <w:sz w:val="20"/>
          <w:szCs w:val="20"/>
          <w:color w:val="auto"/>
        </w:rPr>
      </w:pPr>
      <w:r>
        <w:rPr>
          <w:rFonts w:ascii="Times New Roman" w:cs="Times New Roman" w:eastAsia="Times New Roman" w:hAnsi="Times New Roman"/>
          <w:sz w:val="18"/>
          <w:szCs w:val="18"/>
          <w:color w:val="auto"/>
        </w:rPr>
        <w:t>If we become subject to a patent infringement or other intellectual property lawsuit and if the relevant patents or other intellectual property are upheld as valid and enforceable and we are found to have infringed or violated the terms of a license to which we are a party, we could be prevented from selling any infringing products of ours unless we could obtain a license or were able to redesign the product to avoid infringement. If we are unable to obtain a license or successfully redesign, we might be prevented from selling our technology under development or other future products. If there is a determination that we have infringed the intellectual property rights of a competitor or other person, we may be required to pay damages, pay a settlement, or pay ongoing royalties, or be enjoined. In these circumstances, we may be unable to sell our products or license our technology at competitive prices or at all, and our business and operating results could be harmed.</w:t>
      </w:r>
    </w:p>
    <w:p>
      <w:pPr>
        <w:spacing w:after="0" w:line="21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become subject to product liability claims, product recalls, and warranty claims that could be expensive, divert management’s attention and harm our business.</w:t>
      </w:r>
    </w:p>
    <w:p>
      <w:pPr>
        <w:spacing w:after="0" w:line="186" w:lineRule="exact"/>
        <w:rPr>
          <w:sz w:val="20"/>
          <w:szCs w:val="20"/>
          <w:color w:val="auto"/>
        </w:rPr>
      </w:pPr>
    </w:p>
    <w:p>
      <w:pPr>
        <w:ind w:firstLine="589"/>
        <w:spacing w:after="0" w:line="254" w:lineRule="auto"/>
        <w:rPr>
          <w:sz w:val="20"/>
          <w:szCs w:val="20"/>
          <w:color w:val="auto"/>
        </w:rPr>
      </w:pPr>
      <w:r>
        <w:rPr>
          <w:rFonts w:ascii="Times New Roman" w:cs="Times New Roman" w:eastAsia="Times New Roman" w:hAnsi="Times New Roman"/>
          <w:sz w:val="18"/>
          <w:szCs w:val="18"/>
          <w:color w:val="auto"/>
        </w:rPr>
        <w:t>Our business exposes us to potential liability risks that are inherent in the marketing and sale of products used by consumers. We may be held liable if our technology causes injury or death or is found otherwise unsuitable. While we believe our technology is safe, users could allege and possibly prove defects (some of which could be alleged or proved to cause harm to users or others) because we design our technology to perform complex functions involving RF energy in close proximity to users. A product liability claim, regardless of its merit or eventual outcome, could result in significant legal defense costs. The coverage limits of the insurance policies we may choose to purchase to cover related risks may not be adequate to cover future claims. If sales of products incorporating our technology increase or we suffer future product liability claims, we may be unable to maintain product liability insurance in the future at satisfactory rates or with adequate amounts. A product liability claim, any product recalls or excessive warranty claims, whether arising from defects in design or manufacture or otherwise, could negatively affect our sales or require a change in the design or manufacturing process, any of which could harm our reputation, harm our relationship with licensors of our products, result in a decline in revenue and harm our business.</w:t>
      </w:r>
    </w:p>
    <w:p>
      <w:pPr>
        <w:spacing w:after="0" w:line="215" w:lineRule="exact"/>
        <w:rPr>
          <w:sz w:val="20"/>
          <w:szCs w:val="20"/>
          <w:color w:val="auto"/>
        </w:rPr>
      </w:pPr>
    </w:p>
    <w:p>
      <w:pPr>
        <w:ind w:right="80" w:firstLine="589"/>
        <w:spacing w:after="0" w:line="256" w:lineRule="auto"/>
        <w:rPr>
          <w:sz w:val="20"/>
          <w:szCs w:val="20"/>
          <w:color w:val="auto"/>
        </w:rPr>
      </w:pPr>
      <w:r>
        <w:rPr>
          <w:rFonts w:ascii="Times New Roman" w:cs="Times New Roman" w:eastAsia="Times New Roman" w:hAnsi="Times New Roman"/>
          <w:sz w:val="18"/>
          <w:szCs w:val="18"/>
          <w:color w:val="auto"/>
        </w:rPr>
        <w:t>In addition, if a product that we or a strategic partner design is defective, whether due to design or manufacturing defects, improper use of the product or other reasons, we or our strategic partner may be required to notify regulatory authorities and/or to recall the product. A required notification to a regulatory authority or recall could result in an investigation by regulatory authorities into the products incorporating our technology, which could in turn result in required recalls, restrictions on the sale of such products or other penalties. The adverse publicity resulting from any of these actions could adversely affect the perceptions of our customers and potential customers. These investigations or recalls, especially if accompanied by unfavorable publicity, could result in our incurring substantial costs, losing revenues and damaging our reputation, each of which would harm our business.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secure advantageous license agreements for our technology, our business and results of operations will be adversely affected.</w:t>
      </w:r>
    </w:p>
    <w:p>
      <w:pPr>
        <w:spacing w:after="0" w:line="189" w:lineRule="exact"/>
        <w:rPr>
          <w:sz w:val="20"/>
          <w:szCs w:val="20"/>
          <w:color w:val="auto"/>
        </w:rPr>
      </w:pPr>
    </w:p>
    <w:p>
      <w:pPr>
        <w:ind w:right="60" w:firstLine="589"/>
        <w:spacing w:after="0" w:line="256" w:lineRule="auto"/>
        <w:rPr>
          <w:sz w:val="20"/>
          <w:szCs w:val="20"/>
          <w:color w:val="auto"/>
        </w:rPr>
      </w:pPr>
      <w:r>
        <w:rPr>
          <w:rFonts w:ascii="Times New Roman" w:cs="Times New Roman" w:eastAsia="Times New Roman" w:hAnsi="Times New Roman"/>
          <w:sz w:val="18"/>
          <w:szCs w:val="18"/>
          <w:color w:val="auto"/>
        </w:rPr>
        <w:t>We pursue the licensing of our technology as a primary means of revenue generation. Creating a licensing business relationship often takes substantial effort, as we expect to have to convince the counterparty of the efficacy of our technology, meet design and manufacturing requirements, satisfy marketing and product needs, and comply with selection, review, and contracting requirements. There can be no assurance that we will be able to gain access to potential licensing partners, or that they will ultimately decide to integrate our technology with their products. We may not be able to secure license agreements with customers on advantageous terms, and the timing and volume of revenue earned from license agreements will be outside of our control. If the license agreements we enter into do not prove to be advantageous to us, our business and results of operations will be adversely affected.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Regulation of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Domestic and international regulators may deny approval for our technology, and future legislative or regulatory changes may impair our business.</w:t>
      </w:r>
    </w:p>
    <w:p>
      <w:pPr>
        <w:spacing w:after="0" w:line="202" w:lineRule="exact"/>
        <w:rPr>
          <w:sz w:val="20"/>
          <w:szCs w:val="20"/>
          <w:color w:val="auto"/>
        </w:rPr>
      </w:pPr>
    </w:p>
    <w:p>
      <w:pPr>
        <w:ind w:right="20" w:firstLine="589"/>
        <w:spacing w:after="0" w:line="256" w:lineRule="auto"/>
        <w:rPr>
          <w:sz w:val="20"/>
          <w:szCs w:val="20"/>
          <w:color w:val="auto"/>
        </w:rPr>
      </w:pPr>
      <w:r>
        <w:rPr>
          <w:rFonts w:ascii="Times New Roman" w:cs="Times New Roman" w:eastAsia="Times New Roman" w:hAnsi="Times New Roman"/>
          <w:sz w:val="18"/>
          <w:szCs w:val="18"/>
          <w:color w:val="auto"/>
        </w:rPr>
        <w:t>Our charging technology involves power transmission using RF energy, which is subject to regulation by the Federal Communications Commission in the United States and by comparable regulatory agencies worldwide. It may also be subject to regulation by other agencies. Regulatory concerns include whether human exposure to RF emissions falls below specified thresholds. Higher levels of exposure require separate approval. For example, transmitting more power over a certain distance or transmitting power over a greater distance may require separate regulatory approvals. In addition, we design our technology to operate in a RF band that is also used for Wi-Fi routers and other wireless consumer electronics, and we also design it to operate at different frequencies as demanded for some customer applications. Applications at different frequencies may require separate regulatory</w:t>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0" w:name="page31"/>
    <w:bookmarkEnd w:id="30"/>
    <w:p>
      <w:pPr>
        <w:ind w:right="80"/>
        <w:spacing w:after="0" w:line="258" w:lineRule="auto"/>
        <w:rPr>
          <w:sz w:val="20"/>
          <w:szCs w:val="20"/>
          <w:color w:val="auto"/>
        </w:rPr>
      </w:pPr>
      <w:r>
        <w:rPr>
          <w:rFonts w:ascii="Times New Roman" w:cs="Times New Roman" w:eastAsia="Times New Roman" w:hAnsi="Times New Roman"/>
          <w:sz w:val="18"/>
          <w:szCs w:val="18"/>
          <w:color w:val="auto"/>
        </w:rPr>
        <w:t>approvals. Efforts to obtain regulatory approval for devices using our technology are costly and time consuming, and there can be no assurance that requisite regulatory approvals will be forthcoming. If approvals are not obtained in a timely and cost-efficient manner, our business and operating results could be materially adversely affected. In addition, legal or regulatory developments could impose additional restrictions or costs on us that could require us to redesign our technology or future products, or that are difficult or impracticable to comply with, all of which would adversely affect our revenues and financial results.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Personnel</w:t>
      </w:r>
    </w:p>
    <w:p>
      <w:pPr>
        <w:spacing w:after="0" w:line="25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key members of our executive management team. Our inability to retain these individuals could impede our business plan and growth strategies, which could have a negative impact on our business and the value of your investment.</w:t>
      </w:r>
    </w:p>
    <w:p>
      <w:pPr>
        <w:spacing w:after="0" w:line="186" w:lineRule="exact"/>
        <w:rPr>
          <w:sz w:val="20"/>
          <w:szCs w:val="20"/>
          <w:color w:val="auto"/>
        </w:rPr>
      </w:pPr>
    </w:p>
    <w:p>
      <w:pPr>
        <w:ind w:right="80" w:firstLine="589"/>
        <w:spacing w:after="0" w:line="256" w:lineRule="auto"/>
        <w:rPr>
          <w:sz w:val="20"/>
          <w:szCs w:val="20"/>
          <w:color w:val="auto"/>
        </w:rPr>
      </w:pPr>
      <w:r>
        <w:rPr>
          <w:rFonts w:ascii="Times New Roman" w:cs="Times New Roman" w:eastAsia="Times New Roman" w:hAnsi="Times New Roman"/>
          <w:sz w:val="18"/>
          <w:szCs w:val="18"/>
          <w:color w:val="auto"/>
        </w:rPr>
        <w:t>Our ability to implement our business plan depends, to a critical extent, on the continued efforts and services of a very small number of key executives. If we lose the services of any of the key members of our executive management team, we could be required to expend significant time and money in the pursuit of replacements, which may result in a delay in the implementation of our business plan and plan of operations. If necessary, we can give no assurance that we could find satisfactory permanent replacements for these individuals at all or on terms that would not be unduly expensive or burdensome to us. We do not currently carry any key-person life insurance that would help us recoup our costs in the event of the death or disability of any of these executives.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and growth depend on our ability to attract, integrate and retain high-level engineering talent.</w:t>
      </w:r>
    </w:p>
    <w:p>
      <w:pPr>
        <w:spacing w:after="0" w:line="202" w:lineRule="exact"/>
        <w:rPr>
          <w:sz w:val="20"/>
          <w:szCs w:val="20"/>
          <w:color w:val="auto"/>
        </w:rPr>
      </w:pPr>
    </w:p>
    <w:p>
      <w:pPr>
        <w:ind w:right="60" w:firstLine="589"/>
        <w:spacing w:after="0" w:line="255" w:lineRule="auto"/>
        <w:rPr>
          <w:sz w:val="20"/>
          <w:szCs w:val="20"/>
          <w:color w:val="auto"/>
        </w:rPr>
      </w:pPr>
      <w:r>
        <w:rPr>
          <w:rFonts w:ascii="Times New Roman" w:cs="Times New Roman" w:eastAsia="Times New Roman" w:hAnsi="Times New Roman"/>
          <w:sz w:val="18"/>
          <w:szCs w:val="18"/>
          <w:color w:val="auto"/>
        </w:rPr>
        <w:t>Because of the highly specialized and complex nature of our business, our success depends on our ability to attract, hire, train, integrate and retain high-level engineering talent. Competition for such personnel is intense because we compete for talent against many large profitable companies and our inability to adequately staff our operations with highly qualified and well-trained engineers could render us less efficient and impede our ability to develop and deliver a commercial product. Such a competitive market could put upward pressure on labor costs for engineering talent. We may incur significant costs to attract and retain highly qualified talent, and we may lose new employees to our competitors or other technology companies before we realize the benefit of our investment in recruiting and training them. Volatility or lack of performance in our stock price may also affect our ability to attract and retain qualified personnel.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our utilization of engineering consultants.</w:t>
      </w:r>
    </w:p>
    <w:p>
      <w:pPr>
        <w:spacing w:after="0" w:line="189" w:lineRule="exact"/>
        <w:rPr>
          <w:sz w:val="20"/>
          <w:szCs w:val="20"/>
          <w:color w:val="auto"/>
        </w:rPr>
      </w:pPr>
    </w:p>
    <w:p>
      <w:pPr>
        <w:ind w:right="20" w:firstLine="589"/>
        <w:spacing w:after="0" w:line="254" w:lineRule="auto"/>
        <w:rPr>
          <w:sz w:val="20"/>
          <w:szCs w:val="20"/>
          <w:color w:val="auto"/>
        </w:rPr>
      </w:pPr>
      <w:r>
        <w:rPr>
          <w:rFonts w:ascii="Times New Roman" w:cs="Times New Roman" w:eastAsia="Times New Roman" w:hAnsi="Times New Roman"/>
          <w:sz w:val="18"/>
          <w:szCs w:val="18"/>
          <w:color w:val="auto"/>
        </w:rPr>
        <w:t>To improve productivity and accelerate our development efforts while we build out our own engineering team, we may use experienced consultants to assist in selected development projects. We take steps to monitor and regulate the performance of these independent third parties. However, arrangements with third party service providers may make our operations vulnerable if these consultants fail to satisfy their obligations to us as a result of their performance, changes in their own operations, financial condition, or other matters outside of our control. Effective management of our consultants is important to our business and strategy. The failure of our consultants to perform as anticipated could result in substantial costs, divert management’s attention from other strategic activities, or create other operational or financial problems for us. Terminating or transitioning arrangements with key consultants could result in additional costs and a risk of operational delays, potential errors and possible control issues as a result of the termination or during the transition.</w:t>
      </w:r>
    </w:p>
    <w:p>
      <w:pPr>
        <w:spacing w:after="0" w:line="1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8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reduced disclosure requirements applicable to smaller reporting companies could make our common stock less attractive to investors.</w:t>
      </w:r>
    </w:p>
    <w:p>
      <w:pPr>
        <w:spacing w:after="0" w:line="132" w:lineRule="exact"/>
        <w:rPr>
          <w:sz w:val="20"/>
          <w:szCs w:val="20"/>
          <w:color w:val="auto"/>
        </w:rPr>
      </w:pPr>
    </w:p>
    <w:p>
      <w:pPr>
        <w:ind w:right="100" w:firstLine="589"/>
        <w:spacing w:after="0" w:line="256" w:lineRule="auto"/>
        <w:rPr>
          <w:sz w:val="20"/>
          <w:szCs w:val="20"/>
          <w:color w:val="auto"/>
        </w:rPr>
      </w:pPr>
      <w:r>
        <w:rPr>
          <w:rFonts w:ascii="Times New Roman" w:cs="Times New Roman" w:eastAsia="Times New Roman" w:hAnsi="Times New Roman"/>
          <w:sz w:val="18"/>
          <w:szCs w:val="18"/>
          <w:color w:val="auto"/>
        </w:rPr>
        <w:t>We are a “smaller reporting company,” meaning that we are not an investment company, an asset-backed issuer, or a majority-owned subsidiary of a parent company that is not a “smaller reporting company,” and have either: (i) a public float of less than $250 million or (ii) annual revenues of less than $100 million during the most recently completed fiscal year and a public float of less than $700 million. As a “smaller reporting company,” we are subject to reduced disclosure obligations in our SEC filings compared to other issuers, including with respect to disclosure obligations regarding executive compensation in our periodic reports and proxy statements. Until such time as we cease to be a “smaller reporting company,” such reduced disclosure in our SEC filings may make it harder for investors to analyze our operating results and financial prospects.</w:t>
      </w:r>
    </w:p>
    <w:p>
      <w:pPr>
        <w:spacing w:after="0" w:line="147" w:lineRule="exact"/>
        <w:rPr>
          <w:sz w:val="20"/>
          <w:szCs w:val="20"/>
          <w:color w:val="auto"/>
        </w:rPr>
      </w:pPr>
    </w:p>
    <w:p>
      <w:pPr>
        <w:ind w:right="340" w:firstLine="589"/>
        <w:spacing w:after="0" w:line="282" w:lineRule="auto"/>
        <w:rPr>
          <w:sz w:val="20"/>
          <w:szCs w:val="20"/>
          <w:color w:val="auto"/>
        </w:rPr>
      </w:pPr>
      <w:r>
        <w:rPr>
          <w:rFonts w:ascii="Times New Roman" w:cs="Times New Roman" w:eastAsia="Times New Roman" w:hAnsi="Times New Roman"/>
          <w:sz w:val="18"/>
          <w:szCs w:val="18"/>
          <w:color w:val="auto"/>
        </w:rPr>
        <w:t>If some investors find our common stock less attractive as a result of any choices to reduce future disclosure we may make, there may be a less active trading market for our common stock and our stock price may be more volatile.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maintain effective internal control over financial reporting, investors may lose confidence in the accuracy of our financial reports.</w:t>
      </w:r>
    </w:p>
    <w:p>
      <w:pPr>
        <w:spacing w:after="0" w:line="202" w:lineRule="exact"/>
        <w:rPr>
          <w:sz w:val="20"/>
          <w:szCs w:val="20"/>
          <w:color w:val="auto"/>
        </w:rPr>
      </w:pPr>
    </w:p>
    <w:p>
      <w:pPr>
        <w:ind w:right="220" w:firstLine="589"/>
        <w:spacing w:after="0" w:line="266"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 over financial reporting and to report any material weaknesses in such internal controls. Although our management has determined that our internal control over financial reporting was effective as of December 31, 2021, we cannot assure you that we will not identify any material weakness in our internal control in the future.</w:t>
      </w:r>
    </w:p>
    <w:p>
      <w:pPr>
        <w:spacing w:after="0" w:line="135" w:lineRule="exact"/>
        <w:rPr>
          <w:sz w:val="20"/>
          <w:szCs w:val="20"/>
          <w:color w:val="auto"/>
        </w:rPr>
      </w:pPr>
    </w:p>
    <w:p>
      <w:pPr>
        <w:ind w:firstLine="589"/>
        <w:spacing w:after="0" w:line="254" w:lineRule="auto"/>
        <w:rPr>
          <w:sz w:val="20"/>
          <w:szCs w:val="20"/>
          <w:color w:val="auto"/>
        </w:rPr>
      </w:pPr>
      <w:r>
        <w:rPr>
          <w:rFonts w:ascii="Times New Roman" w:cs="Times New Roman" w:eastAsia="Times New Roman" w:hAnsi="Times New Roman"/>
          <w:sz w:val="18"/>
          <w:szCs w:val="18"/>
          <w:color w:val="auto"/>
        </w:rPr>
        <w:t>We qualify as a “smaller reporting company” and are therefore not required to file an auditor attestation report. If we experience a material weakness in our internal controls, we may fail to detect errors in our financial accounting, which may require a financial statement restatement or otherwise harm our operating results, cause us to fail to meet our SEC reporting obligations or listing requirements of The Nasdaq Stock Market, or Nasdaq, adversely affect our reputation, cause our stock price to decline or result in inaccurate financial reporting or material misstatements in our annual or interim financial statements. Further, if there are material weaknesses or failures in our ability to meet any of the requirements related to the maintenance and reporting of our internal controls over financial reporting, investors may lose confidence in the accuracy and completeness of our financial reports and that could cause the price of our common stock to decline. We could become subject to investigations by Nasdaq, the SEC or other regulatory authorities, which could require additional management attention and which could adversely affect our business.</w:t>
      </w:r>
    </w:p>
    <w:p>
      <w:pPr>
        <w:spacing w:after="0" w:line="151" w:lineRule="exact"/>
        <w:rPr>
          <w:sz w:val="20"/>
          <w:szCs w:val="20"/>
          <w:color w:val="auto"/>
        </w:rPr>
      </w:pPr>
    </w:p>
    <w:p>
      <w:pPr>
        <w:ind w:right="260" w:firstLine="589"/>
        <w:spacing w:after="0" w:line="266" w:lineRule="auto"/>
        <w:rPr>
          <w:sz w:val="20"/>
          <w:szCs w:val="20"/>
          <w:color w:val="auto"/>
        </w:rPr>
      </w:pPr>
      <w:r>
        <w:rPr>
          <w:rFonts w:ascii="Times New Roman" w:cs="Times New Roman" w:eastAsia="Times New Roman" w:hAnsi="Times New Roman"/>
          <w:sz w:val="18"/>
          <w:szCs w:val="18"/>
          <w:color w:val="auto"/>
        </w:rPr>
        <w:t>In addition, our internal control over financial reporting will not prevent or detect all errors and fraud. Because of the inherent limitations in all control systems, no evaluation of controls can provide absolute assurance that misstatements due to error or fraud will not occur or that all control issues and instances of fraud will be detected.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might lose all or part of your investment.</w:t>
      </w:r>
    </w:p>
    <w:p>
      <w:pPr>
        <w:spacing w:after="0" w:line="202" w:lineRule="exact"/>
        <w:rPr>
          <w:sz w:val="20"/>
          <w:szCs w:val="20"/>
          <w:color w:val="auto"/>
        </w:rPr>
      </w:pPr>
    </w:p>
    <w:p>
      <w:pPr>
        <w:ind w:right="60" w:firstLine="589"/>
        <w:spacing w:after="0" w:line="282"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As an investor, you might never recoup all, or even part of, your investment and you may never realize any return on your investment. You must be prepared to lose all your investment.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likely to continue to be volatile.</w:t>
      </w:r>
    </w:p>
    <w:p>
      <w:pPr>
        <w:spacing w:after="0" w:line="189" w:lineRule="exact"/>
        <w:rPr>
          <w:sz w:val="20"/>
          <w:szCs w:val="20"/>
          <w:color w:val="auto"/>
        </w:rPr>
      </w:pPr>
    </w:p>
    <w:p>
      <w:pPr>
        <w:ind w:right="460" w:firstLine="589"/>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fluctuated significantly since our initial public offering in 2014. The price of our common stock is likely to continue to fluctuate significantly in response to many factors that are beyond our control, including:</w:t>
      </w:r>
    </w:p>
    <w:p>
      <w:pPr>
        <w:spacing w:after="0" w:line="54" w:lineRule="exact"/>
        <w:rPr>
          <w:sz w:val="20"/>
          <w:szCs w:val="20"/>
          <w:color w:val="auto"/>
        </w:rPr>
      </w:pP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announcements;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operating results;</w:t>
      </w:r>
    </w:p>
    <w:p>
      <w:pPr>
        <w:spacing w:after="0" w:line="117" w:lineRule="exact"/>
        <w:rPr>
          <w:rFonts w:ascii="Times New Roman" w:cs="Times New Roman" w:eastAsia="Times New Roman" w:hAnsi="Times New Roman"/>
          <w:sz w:val="18"/>
          <w:szCs w:val="18"/>
          <w:color w:val="auto"/>
        </w:rPr>
      </w:pPr>
    </w:p>
    <w:p>
      <w:pPr>
        <w:ind w:left="860" w:right="140" w:hanging="420"/>
        <w:spacing w:after="0" w:line="282" w:lineRule="auto"/>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increases in inflation or fluctuating interest rates and disruptions to global supply chains, and perceptions of future economic growth prospects in the economy at large;</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2" w:name="page33"/>
    <w:bookmarkEnd w:id="32"/>
    <w:p>
      <w:pPr>
        <w:ind w:left="860" w:right="400" w:hanging="420"/>
        <w:spacing w:after="0" w:line="282" w:lineRule="auto"/>
        <w:tabs>
          <w:tab w:leader="none" w:pos="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acts of war or periods of widespread civil unrest, such as the ongoing conflict between Russia and the Ukraine and the global sanctions imposed in response thereto;</w:t>
      </w:r>
    </w:p>
    <w:p>
      <w:pPr>
        <w:spacing w:after="0" w:line="53" w:lineRule="exact"/>
        <w:rPr>
          <w:rFonts w:ascii="Times New Roman" w:cs="Times New Roman" w:eastAsia="Times New Roman" w:hAnsi="Times New Roman"/>
          <w:sz w:val="18"/>
          <w:szCs w:val="18"/>
          <w:color w:val="auto"/>
        </w:rPr>
      </w:pPr>
    </w:p>
    <w:p>
      <w:pPr>
        <w:ind w:left="860" w:right="400" w:hanging="420"/>
        <w:spacing w:after="0" w:line="282" w:lineRule="auto"/>
        <w:tabs>
          <w:tab w:leader="none" w:pos="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calamities, including global pandemics such as the COVID-19 pandemic, including in particular the “delta” and “omicron” variants;</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number of holders of our common stock;</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and/or market valuations of other technology companies;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announcements of significant strategic partnerships, regulatory developments and other events;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other companies in our industry;</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articles published or rumors circulated by third parties regarding our business, technology or development partners;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 and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other transactions involving our capital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not paid dividends in the past and have no immediate plans to pay dividends.</w:t>
      </w:r>
    </w:p>
    <w:p>
      <w:pPr>
        <w:spacing w:after="0" w:line="202" w:lineRule="exact"/>
        <w:rPr>
          <w:sz w:val="20"/>
          <w:szCs w:val="20"/>
          <w:color w:val="auto"/>
        </w:rPr>
      </w:pPr>
    </w:p>
    <w:p>
      <w:pPr>
        <w:ind w:right="80" w:firstLine="589"/>
        <w:spacing w:after="0" w:line="261" w:lineRule="auto"/>
        <w:rPr>
          <w:sz w:val="20"/>
          <w:szCs w:val="20"/>
          <w:color w:val="auto"/>
        </w:rPr>
      </w:pPr>
      <w:r>
        <w:rPr>
          <w:rFonts w:ascii="Times New Roman" w:cs="Times New Roman" w:eastAsia="Times New Roman" w:hAnsi="Times New Roman"/>
          <w:sz w:val="18"/>
          <w:szCs w:val="18"/>
          <w:color w:val="auto"/>
        </w:rPr>
        <w:t>We plan to reinvest all of our earnings, to the extent we have earnings, in order to market our products and technology and to cover operating costs and to otherwise become and remain competitive. We do not plan to pay any cash dividends with respect to our securities in the foreseeable future. We cannot assure you that we would, at any time, generate sufficient surplus cash that would be available for distribution to the holders of our common stock as a dividend.</w:t>
      </w:r>
    </w:p>
    <w:p>
      <w:pPr>
        <w:spacing w:after="0" w:line="203"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continue to incur significant costs as a result of being a public reporting company and our management will be required to devote substantial time to meet our compliance obligations.</w:t>
      </w:r>
    </w:p>
    <w:p>
      <w:pPr>
        <w:spacing w:after="0" w:line="118" w:lineRule="exact"/>
        <w:rPr>
          <w:sz w:val="20"/>
          <w:szCs w:val="20"/>
          <w:color w:val="auto"/>
        </w:rPr>
      </w:pPr>
    </w:p>
    <w:p>
      <w:pPr>
        <w:ind w:right="40" w:firstLine="589"/>
        <w:spacing w:after="0" w:line="258" w:lineRule="auto"/>
        <w:rPr>
          <w:sz w:val="20"/>
          <w:szCs w:val="20"/>
          <w:color w:val="auto"/>
        </w:rPr>
      </w:pPr>
      <w:r>
        <w:rPr>
          <w:rFonts w:ascii="Times New Roman" w:cs="Times New Roman" w:eastAsia="Times New Roman" w:hAnsi="Times New Roman"/>
          <w:sz w:val="18"/>
          <w:szCs w:val="18"/>
          <w:color w:val="auto"/>
        </w:rPr>
        <w:t>As a public reporting company, we incur significant legal, accounting and other expenses. We are subject to reporting requirements of the Exchange Act and rules subsequently implemented by the SEC that require us to establish and maintain effective disclosure controls and internal controls over financial reporting, as well as some specific corporate governance practices. Our management and other personnel are expected to devote a substantial amount of time to compliance initiatives associated with our public reporting company status. Those costs can be expected to increase as we emerged from emerging growth company status and will increase significantly if we no longer qualify as a smaller reporting company.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89" w:lineRule="exact"/>
        <w:rPr>
          <w:sz w:val="20"/>
          <w:szCs w:val="20"/>
          <w:color w:val="auto"/>
        </w:rPr>
      </w:pPr>
    </w:p>
    <w:p>
      <w:pPr>
        <w:ind w:right="180" w:firstLine="589"/>
        <w:spacing w:after="0" w:line="261" w:lineRule="auto"/>
        <w:rPr>
          <w:sz w:val="20"/>
          <w:szCs w:val="20"/>
          <w:color w:val="auto"/>
        </w:rPr>
      </w:pPr>
      <w:r>
        <w:rPr>
          <w:rFonts w:ascii="Times New Roman" w:cs="Times New Roman" w:eastAsia="Times New Roman" w:hAnsi="Times New Roman"/>
          <w:sz w:val="18"/>
          <w:szCs w:val="18"/>
          <w:color w:val="auto"/>
        </w:rPr>
        <w:t>Our stock price has fluctuated in the past, reacting to news such as our past announcements of FCC approvals and it may be volatile in the future. In the past, companies that have experienced volatility in the market price of their securities have been subject to securities class action litigation, and we may be the target of litigation of this sort in the future. Securities litigation is costly and can divert management attention from other business concerns, which could seriously harm our business and the value of your investment in our company.</w:t>
      </w:r>
    </w:p>
    <w:p>
      <w:pPr>
        <w:spacing w:after="0" w:line="203"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Federal net operating loss carry forwards to reduce future tax payments may be limited if our taxable income does not reach sufficient levels.</w:t>
      </w:r>
    </w:p>
    <w:p>
      <w:pPr>
        <w:spacing w:after="0" w:line="132" w:lineRule="exact"/>
        <w:rPr>
          <w:sz w:val="20"/>
          <w:szCs w:val="20"/>
          <w:color w:val="auto"/>
        </w:rPr>
      </w:pPr>
    </w:p>
    <w:p>
      <w:pPr>
        <w:ind w:right="180" w:firstLine="589"/>
        <w:spacing w:after="0" w:line="256" w:lineRule="auto"/>
        <w:rPr>
          <w:sz w:val="20"/>
          <w:szCs w:val="20"/>
          <w:color w:val="auto"/>
        </w:rPr>
      </w:pPr>
      <w:r>
        <w:rPr>
          <w:rFonts w:ascii="Times New Roman" w:cs="Times New Roman" w:eastAsia="Times New Roman" w:hAnsi="Times New Roman"/>
          <w:sz w:val="18"/>
          <w:szCs w:val="18"/>
          <w:color w:val="auto"/>
        </w:rPr>
        <w:t>As of December 31, 2021, we had a Federal net operating loss (“NOL”) carry forwards of approximately $241,988,000. Under the Internal Revenue Code of 1986, as amended, NOLs arising in tax years ending on or before December 31, 2017 can generally be carried forward to offset future taxable income for a period of 20 years, and NOLs arising in tax years ending after December 31, 2017 can generally be carried forward indefinitely. Our ability to use our NOLs will be dependent on our ability to generate taxable income, and the NOLs that arose in tax years ending on or before December 31, 2017 could expire before we generate sufficient taxable income to take advantage of the NOLs. As of December 31, 2021, based on our history of operating losses it is possible that a portion of our NOLs will not be fully realizable.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charter documents and Delaware law may inhibit a takeover that stockholders consider favorable.</w:t>
      </w:r>
    </w:p>
    <w:p>
      <w:pPr>
        <w:spacing w:after="0" w:line="189" w:lineRule="exact"/>
        <w:rPr>
          <w:sz w:val="20"/>
          <w:szCs w:val="20"/>
          <w:color w:val="auto"/>
        </w:rPr>
      </w:pPr>
    </w:p>
    <w:p>
      <w:pPr>
        <w:ind w:right="40" w:firstLine="589"/>
        <w:spacing w:after="0" w:line="282" w:lineRule="auto"/>
        <w:rPr>
          <w:sz w:val="20"/>
          <w:szCs w:val="20"/>
          <w:color w:val="auto"/>
        </w:rPr>
      </w:pPr>
      <w:r>
        <w:rPr>
          <w:rFonts w:ascii="Times New Roman" w:cs="Times New Roman" w:eastAsia="Times New Roman" w:hAnsi="Times New Roman"/>
          <w:sz w:val="18"/>
          <w:szCs w:val="18"/>
          <w:color w:val="auto"/>
        </w:rPr>
        <w:t>Provisions of our certificate of incorporation and bylaws, and applicable Delaware law, may delay or discourage transactions involving an actual or potential change in control or change in our management, including</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ind w:right="100"/>
        <w:spacing w:after="0" w:line="282" w:lineRule="auto"/>
        <w:rPr>
          <w:sz w:val="20"/>
          <w:szCs w:val="20"/>
          <w:color w:val="auto"/>
        </w:rPr>
      </w:pPr>
      <w:r>
        <w:rPr>
          <w:rFonts w:ascii="Times New Roman" w:cs="Times New Roman" w:eastAsia="Times New Roman" w:hAnsi="Times New Roman"/>
          <w:sz w:val="18"/>
          <w:szCs w:val="18"/>
          <w:color w:val="auto"/>
        </w:rPr>
        <w:t>transactions in which stockholders might otherwise receive a premium for their shares, or transactions that our stockholders might otherwise deem to be in their best interests. The provisions in our certificate of incorporation and bylaws:</w:t>
      </w:r>
    </w:p>
    <w:p>
      <w:pPr>
        <w:spacing w:after="0" w:line="54" w:lineRule="exact"/>
        <w:rPr>
          <w:sz w:val="20"/>
          <w:szCs w:val="20"/>
          <w:color w:val="auto"/>
        </w:rPr>
      </w:pPr>
    </w:p>
    <w:p>
      <w:pPr>
        <w:ind w:left="880" w:right="240" w:hanging="440"/>
        <w:spacing w:after="0" w:line="266"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to issue preferred stock without stockholder approval and to designate the rights, preferences and privileges of each class; if issued, such preferred stock would increase the number of outstanding shares of our capital stock and could include terms that may deter an acquisition of us;</w:t>
      </w:r>
    </w:p>
    <w:p>
      <w:pPr>
        <w:spacing w:after="0" w:line="6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permit stockholders to act by written consent;</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provide for cumulative voting rights; and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may be filled by the affirmative vote of a majority of directors then in office, even if less than a quorum.</w:t>
      </w:r>
    </w:p>
    <w:p>
      <w:pPr>
        <w:spacing w:after="0" w:line="25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may limit our ability to engage in any business combination with a person who beneficially owns 15% or more of our outstanding voting stock unless certain conditions are satisfied. This restriction lasts for a period of three years following the share acquisition. These provisions may have the effect of entrenching our management team and may deprive you of the opportunity to sell your shares to potential acquirers at a premium over prevailing prices. This potential inability to obtain a control premium could reduce the price of our common stock.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maintained.</w:t>
      </w:r>
    </w:p>
    <w:p>
      <w:pPr>
        <w:spacing w:after="0" w:line="189" w:lineRule="exact"/>
        <w:rPr>
          <w:sz w:val="20"/>
          <w:szCs w:val="20"/>
          <w:color w:val="auto"/>
        </w:rPr>
      </w:pPr>
    </w:p>
    <w:p>
      <w:pPr>
        <w:ind w:right="40" w:firstLine="589"/>
        <w:spacing w:after="0" w:line="258" w:lineRule="auto"/>
        <w:rPr>
          <w:sz w:val="20"/>
          <w:szCs w:val="20"/>
          <w:color w:val="auto"/>
        </w:rPr>
      </w:pPr>
      <w:r>
        <w:rPr>
          <w:rFonts w:ascii="Times New Roman" w:cs="Times New Roman" w:eastAsia="Times New Roman" w:hAnsi="Times New Roman"/>
          <w:sz w:val="18"/>
          <w:szCs w:val="18"/>
          <w:color w:val="auto"/>
        </w:rPr>
        <w:t>Our stock is currently traded on Nasdaq, but we can provide no assurance that we will be able to maintain an active trading market on Nasdaq or any other exchange in the future, including if we no longer meet the applicable listing standards of Nasdaq. If an active market for our common stock is not maintained, or if we no longer qualify to be listed on Nasdaq, it may be difficult for our stockholders to sell or purchase shares on such a national securities exchange, or otherwise. An inactive market may also impair our ability to raise capital to continue to fund operations by selling shares and impair our ability to acquire other companies or technologies by using our shares as consideration.</w:t>
      </w:r>
    </w:p>
    <w:p>
      <w:pPr>
        <w:spacing w:after="0" w:line="13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publish negative reports about our business, our stock price and trading volume could decline.</w:t>
      </w:r>
    </w:p>
    <w:p>
      <w:pPr>
        <w:spacing w:after="0" w:line="132" w:lineRule="exact"/>
        <w:rPr>
          <w:sz w:val="20"/>
          <w:szCs w:val="20"/>
          <w:color w:val="auto"/>
        </w:rPr>
      </w:pPr>
    </w:p>
    <w:p>
      <w:pPr>
        <w:ind w:right="140" w:firstLine="589"/>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or our business. We do not have any control over these analysts. There can be no assurance that analysts will continue to cover us or provide favorable coverage. If one or more of the analysts who cover us downgrade our stock or change their opinion of our stock, our stock price would likely decline. If one or more of these analysts cease coverage of our company or fail to regularly publish reports on us, we could lose visibility in the financial markets, which could cause our stock price or trading volume to decline.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Sales of Unregistered Securities; Use of Proceeds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required to be filed as a part of this report are listed in the Exhibit Index.</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660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580" w:type="dxa"/>
            <w:vAlign w:val="bottom"/>
          </w:tcPr>
          <w:p>
            <w:pPr>
              <w:spacing w:after="0"/>
              <w:rPr>
                <w:sz w:val="24"/>
                <w:szCs w:val="24"/>
                <w:color w:val="auto"/>
              </w:rPr>
            </w:pPr>
          </w:p>
        </w:tc>
        <w:tc>
          <w:tcPr>
            <w:tcW w:w="6600" w:type="dxa"/>
            <w:vAlign w:val="bottom"/>
            <w:gridSpan w:val="4"/>
            <w:vMerge w:val="restart"/>
          </w:tcPr>
          <w:p>
            <w:pPr>
              <w:ind w:left="11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580" w:type="dxa"/>
            <w:vAlign w:val="bottom"/>
          </w:tcPr>
          <w:p>
            <w:pPr>
              <w:spacing w:after="0"/>
              <w:rPr>
                <w:sz w:val="15"/>
                <w:szCs w:val="15"/>
                <w:color w:val="auto"/>
              </w:rPr>
            </w:pPr>
          </w:p>
        </w:tc>
        <w:tc>
          <w:tcPr>
            <w:tcW w:w="66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9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8960" w:type="dxa"/>
            <w:vAlign w:val="bottom"/>
            <w:tcBorders>
              <w:top w:val="single" w:sz="8" w:color="auto"/>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Certification of Periodic Report by Chief Executive Officer (principal executive officer) pursuant to Rule 13a-14(a)/15d-14a</w:t>
            </w:r>
          </w:p>
        </w:tc>
        <w:tc>
          <w:tcPr>
            <w:tcW w:w="1220" w:type="dxa"/>
            <w:vAlign w:val="bottom"/>
            <w:tcBorders>
              <w:top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Certification of Periodic Report by the Acting Chief Financial Officer (principal financial officer) pursuant to Rule 13a-14(a)/15d-14a</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80" w:type="dxa"/>
            <w:vAlign w:val="bottom"/>
            <w:shd w:val="clear" w:color="auto" w:fill="0000EE"/>
          </w:tcPr>
          <w:p>
            <w:pPr>
              <w:spacing w:after="0" w:line="20" w:lineRule="exact"/>
              <w:rPr>
                <w:sz w:val="1"/>
                <w:szCs w:val="1"/>
                <w:color w:val="auto"/>
              </w:rPr>
            </w:pPr>
          </w:p>
        </w:tc>
        <w:tc>
          <w:tcPr>
            <w:tcW w:w="60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Certification of Periodic Report by Chief Executive Officer (principal executive officer) and the Acting Chief Financial Officer (principal</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financial officer) pursuant to U.S.C. Section 1350</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35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Inline XBRL Instance Document (filed herewith)</w:t>
            </w:r>
          </w:p>
        </w:tc>
        <w:tc>
          <w:tcPr>
            <w:tcW w:w="66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 (filed herewith)</w:t>
            </w:r>
          </w:p>
        </w:tc>
        <w:tc>
          <w:tcPr>
            <w:tcW w:w="0" w:type="dxa"/>
            <w:vAlign w:val="bottom"/>
          </w:tcPr>
          <w:p>
            <w:pPr>
              <w:spacing w:after="0"/>
              <w:rPr>
                <w:sz w:val="1"/>
                <w:szCs w:val="1"/>
                <w:color w:val="auto"/>
              </w:rPr>
            </w:pPr>
          </w:p>
        </w:tc>
      </w:tr>
      <w:tr>
        <w:trPr>
          <w:trHeight w:val="351"/>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 (filed herewith)</w:t>
            </w:r>
          </w:p>
        </w:tc>
        <w:tc>
          <w:tcPr>
            <w:tcW w:w="0" w:type="dxa"/>
            <w:vAlign w:val="bottom"/>
          </w:tcPr>
          <w:p>
            <w:pPr>
              <w:spacing w:after="0"/>
              <w:rPr>
                <w:sz w:val="1"/>
                <w:szCs w:val="1"/>
                <w:color w:val="auto"/>
              </w:rPr>
            </w:pPr>
          </w:p>
        </w:tc>
      </w:tr>
      <w:tr>
        <w:trPr>
          <w:trHeight w:val="351"/>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 (filed herewith)</w:t>
            </w:r>
          </w:p>
        </w:tc>
        <w:tc>
          <w:tcPr>
            <w:tcW w:w="0" w:type="dxa"/>
            <w:vAlign w:val="bottom"/>
          </w:tcPr>
          <w:p>
            <w:pPr>
              <w:spacing w:after="0"/>
              <w:rPr>
                <w:sz w:val="1"/>
                <w:szCs w:val="1"/>
                <w:color w:val="auto"/>
              </w:rPr>
            </w:pPr>
          </w:p>
        </w:tc>
      </w:tr>
      <w:tr>
        <w:trPr>
          <w:trHeight w:val="351"/>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 (filed herewith)</w:t>
            </w:r>
          </w:p>
        </w:tc>
        <w:tc>
          <w:tcPr>
            <w:tcW w:w="0" w:type="dxa"/>
            <w:vAlign w:val="bottom"/>
          </w:tcPr>
          <w:p>
            <w:pPr>
              <w:spacing w:after="0"/>
              <w:rPr>
                <w:sz w:val="1"/>
                <w:szCs w:val="1"/>
                <w:color w:val="auto"/>
              </w:rPr>
            </w:pPr>
          </w:p>
        </w:tc>
      </w:tr>
      <w:tr>
        <w:trPr>
          <w:trHeight w:val="351"/>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 (filed herewith)</w:t>
            </w:r>
          </w:p>
        </w:tc>
        <w:tc>
          <w:tcPr>
            <w:tcW w:w="0" w:type="dxa"/>
            <w:vAlign w:val="bottom"/>
          </w:tcPr>
          <w:p>
            <w:pPr>
              <w:spacing w:after="0"/>
              <w:rPr>
                <w:sz w:val="1"/>
                <w:szCs w:val="1"/>
                <w:color w:val="auto"/>
              </w:rPr>
            </w:pPr>
          </w:p>
        </w:tc>
      </w:tr>
      <w:tr>
        <w:trPr>
          <w:trHeight w:val="36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5087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164" w:lineRule="exact"/>
        <w:rPr>
          <w:sz w:val="20"/>
          <w:szCs w:val="20"/>
          <w:color w:val="auto"/>
        </w:rPr>
      </w:pPr>
    </w:p>
    <w:p>
      <w:pPr>
        <w:ind w:left="440" w:right="120" w:hanging="432"/>
        <w:spacing w:after="0" w:line="282" w:lineRule="auto"/>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shall not be deemed “filed” for purposes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ENERGOUS CORPORATION</w:t>
      </w:r>
    </w:p>
    <w:p>
      <w:pPr>
        <w:spacing w:after="0" w:line="3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(Registrant)</w:t>
      </w:r>
    </w:p>
    <w:p>
      <w:pPr>
        <w:spacing w:after="0" w:line="234" w:lineRule="exact"/>
        <w:rPr>
          <w:sz w:val="20"/>
          <w:szCs w:val="20"/>
          <w:color w:val="auto"/>
        </w:rPr>
      </w:pPr>
    </w:p>
    <w:p>
      <w:pPr>
        <w:spacing w:after="0"/>
        <w:tabs>
          <w:tab w:leader="none" w:pos="5300" w:val="left"/>
          <w:tab w:leader="none" w:pos="5820" w:val="left"/>
        </w:tabs>
        <w:rPr>
          <w:sz w:val="20"/>
          <w:szCs w:val="20"/>
          <w:color w:val="auto"/>
        </w:rPr>
      </w:pPr>
      <w:r>
        <w:rPr>
          <w:rFonts w:ascii="Times New Roman" w:cs="Times New Roman" w:eastAsia="Times New Roman" w:hAnsi="Times New Roman"/>
          <w:sz w:val="18"/>
          <w:szCs w:val="18"/>
          <w:color w:val="auto"/>
        </w:rPr>
        <w:t>Date: May 16,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Cesar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34290</wp:posOffset>
            </wp:positionV>
            <wp:extent cx="34886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57" w:lineRule="exact"/>
        <w:rPr>
          <w:sz w:val="20"/>
          <w:szCs w:val="20"/>
          <w:color w:val="auto"/>
        </w:rPr>
      </w:pPr>
    </w:p>
    <w:p>
      <w:pPr>
        <w:ind w:left="5740"/>
        <w:spacing w:after="0"/>
        <w:tabs>
          <w:tab w:leader="none" w:pos="6360" w:val="left"/>
        </w:tabs>
        <w:rPr>
          <w:sz w:val="20"/>
          <w:szCs w:val="20"/>
          <w:color w:val="auto"/>
        </w:rPr>
      </w:pPr>
      <w:r>
        <w:rPr>
          <w:rFonts w:ascii="Times New Roman" w:cs="Times New Roman" w:eastAsia="Times New Roman" w:hAnsi="Times New Roman"/>
          <w:sz w:val="18"/>
          <w:szCs w:val="18"/>
          <w:color w:val="auto"/>
        </w:rPr>
        <w:t>Name:</w:t>
        <w:tab/>
        <w:t>Cesar Johnston</w:t>
      </w:r>
    </w:p>
    <w:p>
      <w:pPr>
        <w:spacing w:after="0" w:line="36" w:lineRule="exact"/>
        <w:rPr>
          <w:sz w:val="20"/>
          <w:szCs w:val="20"/>
          <w:color w:val="auto"/>
        </w:rPr>
      </w:pPr>
    </w:p>
    <w:p>
      <w:pPr>
        <w:ind w:left="5740"/>
        <w:spacing w:after="0"/>
        <w:tabs>
          <w:tab w:leader="none" w:pos="63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3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52" w:lineRule="exact"/>
        <w:rPr>
          <w:sz w:val="20"/>
          <w:szCs w:val="20"/>
          <w:color w:val="auto"/>
        </w:rPr>
      </w:pPr>
    </w:p>
    <w:p>
      <w:pPr>
        <w:spacing w:after="0"/>
        <w:tabs>
          <w:tab w:leader="none" w:pos="5300" w:val="left"/>
          <w:tab w:leader="none" w:pos="5820" w:val="left"/>
        </w:tabs>
        <w:rPr>
          <w:sz w:val="20"/>
          <w:szCs w:val="20"/>
          <w:color w:val="auto"/>
        </w:rPr>
      </w:pPr>
      <w:r>
        <w:rPr>
          <w:rFonts w:ascii="Times New Roman" w:cs="Times New Roman" w:eastAsia="Times New Roman" w:hAnsi="Times New Roman"/>
          <w:sz w:val="18"/>
          <w:szCs w:val="18"/>
          <w:color w:val="auto"/>
        </w:rPr>
        <w:t>Date: May 16,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Mannina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34290</wp:posOffset>
            </wp:positionV>
            <wp:extent cx="34886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57" w:lineRule="exact"/>
        <w:rPr>
          <w:sz w:val="20"/>
          <w:szCs w:val="20"/>
          <w:color w:val="auto"/>
        </w:rPr>
      </w:pPr>
    </w:p>
    <w:p>
      <w:pPr>
        <w:ind w:left="5740"/>
        <w:spacing w:after="0"/>
        <w:tabs>
          <w:tab w:leader="none" w:pos="63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William Mannina</w:t>
      </w:r>
    </w:p>
    <w:p>
      <w:pPr>
        <w:spacing w:after="0" w:line="36" w:lineRule="exact"/>
        <w:rPr>
          <w:sz w:val="20"/>
          <w:szCs w:val="20"/>
          <w:color w:val="auto"/>
        </w:rPr>
      </w:pPr>
    </w:p>
    <w:p>
      <w:pPr>
        <w:ind w:left="5740"/>
        <w:spacing w:after="0"/>
        <w:tabs>
          <w:tab w:leader="none" w:pos="6360" w:val="left"/>
        </w:tabs>
        <w:rPr>
          <w:sz w:val="20"/>
          <w:szCs w:val="20"/>
          <w:color w:val="auto"/>
        </w:rPr>
      </w:pPr>
      <w:r>
        <w:rPr>
          <w:rFonts w:ascii="Times New Roman" w:cs="Times New Roman" w:eastAsia="Times New Roman" w:hAnsi="Times New Roman"/>
          <w:sz w:val="18"/>
          <w:szCs w:val="18"/>
          <w:color w:val="auto"/>
        </w:rPr>
        <w:t>Title:</w:t>
        <w:tab/>
        <w:t>Acting Chief Financial Officer</w:t>
      </w:r>
    </w:p>
    <w:p>
      <w:pPr>
        <w:spacing w:after="0" w:line="3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34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Cesar Johnston, certify that:</w:t>
      </w:r>
    </w:p>
    <w:p>
      <w:pPr>
        <w:spacing w:after="0" w:line="198" w:lineRule="exact"/>
        <w:rPr>
          <w:sz w:val="20"/>
          <w:szCs w:val="20"/>
          <w:color w:val="auto"/>
        </w:rPr>
      </w:pPr>
    </w:p>
    <w:p>
      <w:pPr>
        <w:ind w:left="940" w:hanging="541"/>
        <w:spacing w:after="0"/>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Energous Corporation;</w:t>
      </w:r>
    </w:p>
    <w:p>
      <w:pPr>
        <w:spacing w:after="0" w:line="211" w:lineRule="exact"/>
        <w:rPr>
          <w:rFonts w:ascii="Times New Roman" w:cs="Times New Roman" w:eastAsia="Times New Roman" w:hAnsi="Times New Roman"/>
          <w:sz w:val="18"/>
          <w:szCs w:val="18"/>
          <w:color w:val="auto"/>
        </w:rPr>
      </w:pPr>
    </w:p>
    <w:p>
      <w:pPr>
        <w:jc w:val="both"/>
        <w:ind w:left="940" w:right="100" w:hanging="541"/>
        <w:spacing w:after="0" w:line="266" w:lineRule="auto"/>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940" w:right="60" w:hanging="541"/>
        <w:spacing w:after="0" w:line="282" w:lineRule="auto"/>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940" w:right="20" w:hanging="541"/>
        <w:spacing w:after="0" w:line="276" w:lineRule="auto"/>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66" w:lineRule="exact"/>
        <w:rPr>
          <w:rFonts w:ascii="Times New Roman" w:cs="Times New Roman" w:eastAsia="Times New Roman" w:hAnsi="Times New Roman"/>
          <w:sz w:val="17"/>
          <w:szCs w:val="17"/>
          <w:color w:val="auto"/>
        </w:rPr>
      </w:pPr>
    </w:p>
    <w:p>
      <w:pPr>
        <w:ind w:left="1340" w:right="80" w:hanging="536"/>
        <w:spacing w:after="0" w:line="266" w:lineRule="auto"/>
        <w:tabs>
          <w:tab w:leader="none" w:pos="13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340" w:hanging="536"/>
        <w:spacing w:after="0" w:line="266" w:lineRule="auto"/>
        <w:tabs>
          <w:tab w:leader="none" w:pos="13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340" w:right="180" w:hanging="536"/>
        <w:spacing w:after="0" w:line="312" w:lineRule="auto"/>
        <w:tabs>
          <w:tab w:leader="none" w:pos="134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1340" w:right="200" w:hanging="536"/>
        <w:spacing w:after="0" w:line="266" w:lineRule="auto"/>
        <w:tabs>
          <w:tab w:leader="none" w:pos="13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940" w:right="540" w:hanging="541"/>
        <w:spacing w:after="0" w:line="266" w:lineRule="auto"/>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340" w:right="420" w:hanging="536"/>
        <w:spacing w:after="0" w:line="282" w:lineRule="auto"/>
        <w:tabs>
          <w:tab w:leader="none" w:pos="13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40" w:right="120" w:hanging="536"/>
        <w:spacing w:after="0" w:line="282" w:lineRule="auto"/>
        <w:tabs>
          <w:tab w:leader="none" w:pos="13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16,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Cesar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Name:</w:t>
        <w:tab/>
        <w:t>Cesar Johnston</w:t>
      </w:r>
    </w:p>
    <w:p>
      <w:pPr>
        <w:spacing w:after="0" w:line="2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ectPr>
          <w:pgSz w:w="11900" w:h="16838" w:orient="portrait"/>
          <w:cols w:equalWidth="0" w:num="1">
            <w:col w:w="11240"/>
          </w:cols>
          <w:pgMar w:left="320" w:top="34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AND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Mannina, certify that:</w:t>
      </w:r>
    </w:p>
    <w:p>
      <w:pPr>
        <w:spacing w:after="0" w:line="198" w:lineRule="exact"/>
        <w:rPr>
          <w:sz w:val="20"/>
          <w:szCs w:val="20"/>
          <w:color w:val="auto"/>
        </w:rPr>
      </w:pPr>
    </w:p>
    <w:p>
      <w:pPr>
        <w:ind w:left="940" w:hanging="541"/>
        <w:spacing w:after="0"/>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Energous Corporation;</w:t>
      </w:r>
    </w:p>
    <w:p>
      <w:pPr>
        <w:spacing w:after="0" w:line="211" w:lineRule="exact"/>
        <w:rPr>
          <w:rFonts w:ascii="Times New Roman" w:cs="Times New Roman" w:eastAsia="Times New Roman" w:hAnsi="Times New Roman"/>
          <w:sz w:val="18"/>
          <w:szCs w:val="18"/>
          <w:color w:val="auto"/>
        </w:rPr>
      </w:pPr>
    </w:p>
    <w:p>
      <w:pPr>
        <w:jc w:val="both"/>
        <w:ind w:left="940" w:right="100" w:hanging="541"/>
        <w:spacing w:after="0" w:line="266" w:lineRule="auto"/>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940" w:right="60" w:hanging="541"/>
        <w:spacing w:after="0" w:line="282" w:lineRule="auto"/>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940" w:right="20" w:hanging="541"/>
        <w:spacing w:after="0" w:line="276" w:lineRule="auto"/>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66" w:lineRule="exact"/>
        <w:rPr>
          <w:rFonts w:ascii="Times New Roman" w:cs="Times New Roman" w:eastAsia="Times New Roman" w:hAnsi="Times New Roman"/>
          <w:sz w:val="17"/>
          <w:szCs w:val="17"/>
          <w:color w:val="auto"/>
        </w:rPr>
      </w:pPr>
    </w:p>
    <w:p>
      <w:pPr>
        <w:ind w:left="1340" w:right="80" w:hanging="536"/>
        <w:spacing w:after="0" w:line="266" w:lineRule="auto"/>
        <w:tabs>
          <w:tab w:leader="none" w:pos="13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340" w:hanging="536"/>
        <w:spacing w:after="0" w:line="266" w:lineRule="auto"/>
        <w:tabs>
          <w:tab w:leader="none" w:pos="13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340" w:right="180" w:hanging="536"/>
        <w:spacing w:after="0" w:line="312" w:lineRule="auto"/>
        <w:tabs>
          <w:tab w:leader="none" w:pos="134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1340" w:right="200" w:hanging="536"/>
        <w:spacing w:after="0" w:line="266" w:lineRule="auto"/>
        <w:tabs>
          <w:tab w:leader="none" w:pos="13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940" w:right="540" w:hanging="541"/>
        <w:spacing w:after="0" w:line="266" w:lineRule="auto"/>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340" w:right="420" w:hanging="536"/>
        <w:spacing w:after="0" w:line="282" w:lineRule="auto"/>
        <w:tabs>
          <w:tab w:leader="none" w:pos="13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40" w:right="120" w:hanging="536"/>
        <w:spacing w:after="0" w:line="282" w:lineRule="auto"/>
        <w:tabs>
          <w:tab w:leader="none" w:pos="13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16,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William Mannina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William Mannina</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Acting Chief Financial Officer</w:t>
            </w:r>
          </w:p>
        </w:tc>
      </w:tr>
    </w:tbl>
    <w:p>
      <w:pPr>
        <w:sectPr>
          <w:pgSz w:w="11900" w:h="16838" w:orient="portrait"/>
          <w:cols w:equalWidth="0" w:num="1">
            <w:col w:w="11240"/>
          </w:cols>
          <w:pgMar w:left="320" w:top="34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Energous Corporation (the “Company”) on Form 10-Q for the period ended March 31, 2022 as filed with the Securities and Exchange Commission on the date hereof (the “Report”), we, Cesar Johnston, Chief Executive Officer and William Mannina, Acting Chief Financial Officer, certify, pursuant to 18 U.S.C. § 1350, as adopted pursuant to § 906 of the Sarbanes-Oxley Act of 2002, that:</w:t>
      </w:r>
    </w:p>
    <w:p>
      <w:pPr>
        <w:spacing w:after="0" w:line="135" w:lineRule="exact"/>
        <w:rPr>
          <w:sz w:val="20"/>
          <w:szCs w:val="20"/>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1080" w:right="480" w:hanging="532"/>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Energous Corporation and will be retained by Energous Corporation and furnished to the Securities and Exchange Commission or its staff upon request.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Cesar Johnston</w:t>
            </w: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William Mannina</w:t>
            </w:r>
          </w:p>
        </w:tc>
      </w:tr>
      <w:tr>
        <w:trPr>
          <w:trHeight w:val="191"/>
        </w:trPr>
        <w:tc>
          <w:tcPr>
            <w:tcW w:w="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20" w:type="dxa"/>
            <w:vAlign w:val="bottom"/>
            <w:tcBorders>
              <w:top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Cesar Johnston</w:t>
            </w:r>
          </w:p>
        </w:tc>
        <w:tc>
          <w:tcPr>
            <w:tcW w:w="200" w:type="dxa"/>
            <w:vAlign w:val="bottom"/>
          </w:tcPr>
          <w:p>
            <w:pPr>
              <w:spacing w:after="0"/>
              <w:rPr>
                <w:sz w:val="16"/>
                <w:szCs w:val="16"/>
                <w:color w:val="auto"/>
              </w:rPr>
            </w:pPr>
          </w:p>
        </w:tc>
        <w:tc>
          <w:tcPr>
            <w:tcW w:w="5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2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William Mannina</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Executive Officer</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Acting Chief Financial Officer</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May 16, 2022</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May 16, 2022</w:t>
            </w:r>
          </w:p>
        </w:tc>
      </w:tr>
    </w:tbl>
    <w:p>
      <w:pPr>
        <w:spacing w:after="0" w:line="1" w:lineRule="exact"/>
        <w:rPr>
          <w:sz w:val="20"/>
          <w:szCs w:val="20"/>
          <w:color w:val="auto"/>
        </w:rPr>
      </w:pPr>
    </w:p>
    <w:sectPr>
      <w:pgSz w:w="11900" w:h="16838" w:orient="portrait"/>
      <w:cols w:equalWidth="0" w:num="1">
        <w:col w:w="11240"/>
      </w:cols>
      <w:pgMar w:left="320" w:top="3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lowerLetter"/>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2022-05-16T14:49:02Z</dcterms:created>
  <dcterms:modified xsi:type="dcterms:W3CDTF">2022-05-16T14:49:02Z</dcterms:modified>
</cp:coreProperties>
</file>