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6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43180</wp:posOffset>
            </wp:positionV>
            <wp:extent cx="1183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001-36379</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ENERGOUS CORPORATION</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314" w:right="339" w:bottom="1440" w:gutter="0" w:footer="0" w:header="0"/>
        </w:sectPr>
      </w:pPr>
    </w:p>
    <w:p>
      <w:pPr>
        <w:spacing w:after="0" w:line="11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46-1318953</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108" w:lineRule="exact"/>
        <w:rPr>
          <w:sz w:val="24"/>
          <w:szCs w:val="24"/>
          <w:color w:val="auto"/>
        </w:rPr>
      </w:pPr>
    </w:p>
    <w:p>
      <w:pPr>
        <w:sectPr>
          <w:pgSz w:w="11900" w:h="16838" w:orient="portrait"/>
          <w:cols w:equalWidth="0" w:num="2">
            <w:col w:w="6480" w:space="720"/>
            <w:col w:w="404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3590 North First Street, Suite 210, San Jose, CA 95134</w:t>
      </w:r>
    </w:p>
    <w:p>
      <w:pPr>
        <w:sectPr>
          <w:pgSz w:w="11900" w:h="16838" w:orient="portrait"/>
          <w:cols w:equalWidth="0" w:num="1">
            <w:col w:w="11240"/>
          </w:cols>
          <w:pgMar w:left="320" w:top="314" w:right="339" w:bottom="1440" w:gutter="0" w:footer="0" w:header="0"/>
          <w:type w:val="continuous"/>
        </w:sectPr>
      </w:pPr>
    </w:p>
    <w:p>
      <w:pPr>
        <w:spacing w:after="0" w:line="50" w:lineRule="exact"/>
        <w:rPr>
          <w:sz w:val="24"/>
          <w:szCs w:val="24"/>
          <w:color w:val="auto"/>
        </w:rPr>
      </w:pPr>
    </w:p>
    <w:p>
      <w:pPr>
        <w:ind w:left="4080"/>
        <w:spacing w:after="0"/>
        <w:rPr>
          <w:sz w:val="20"/>
          <w:szCs w:val="20"/>
          <w:color w:val="auto"/>
        </w:rPr>
      </w:pPr>
      <w:r>
        <w:rPr>
          <w:rFonts w:ascii="Arial" w:cs="Arial" w:eastAsia="Arial" w:hAnsi="Arial"/>
          <w:sz w:val="13"/>
          <w:szCs w:val="13"/>
          <w:i w:val="1"/>
          <w:i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48" w:lineRule="exact"/>
        <w:rPr>
          <w:sz w:val="24"/>
          <w:szCs w:val="24"/>
          <w:color w:val="auto"/>
        </w:rPr>
      </w:pPr>
    </w:p>
    <w:p>
      <w:pPr>
        <w:sectPr>
          <w:pgSz w:w="11900" w:h="16838" w:orient="portrait"/>
          <w:cols w:equalWidth="0" w:num="2">
            <w:col w:w="6280" w:space="280"/>
            <w:col w:w="468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963-0200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6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Symbol(s)</w:t>
            </w: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$0.00001 par value</w:t>
            </w:r>
          </w:p>
        </w:tc>
        <w:tc>
          <w:tcPr>
            <w:tcW w:w="24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WATT</w:t>
            </w:r>
          </w:p>
        </w:tc>
        <w:tc>
          <w:tcPr>
            <w:tcW w:w="2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right="1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2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74" w:lineRule="exact"/>
        <w:rPr>
          <w:sz w:val="24"/>
          <w:szCs w:val="24"/>
          <w:color w:val="auto"/>
        </w:rPr>
      </w:pPr>
    </w:p>
    <w:p>
      <w:pPr>
        <w:ind w:right="8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440" w:right="106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10, 2022, there were 77,482,564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PART I - FINANCIAL INFORMATION</w:t>
            </w:r>
          </w:p>
        </w:tc>
        <w:tc>
          <w:tcPr>
            <w:tcW w:w="6100" w:type="dxa"/>
            <w:vAlign w:val="bottom"/>
            <w:gridSpan w:val="4"/>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1560" w:type="dxa"/>
            <w:vAlign w:val="bottom"/>
            <w:tcBorders>
              <w:bottom w:val="single" w:sz="8" w:color="0000EE"/>
            </w:tcBorders>
            <w:gridSpan w:val="5"/>
          </w:tcPr>
          <w:p>
            <w:pPr>
              <w:ind w:left="40"/>
              <w:spacing w:after="0"/>
              <w:rPr>
                <w:sz w:val="20"/>
                <w:szCs w:val="20"/>
                <w:color w:val="auto"/>
              </w:rPr>
            </w:pPr>
            <w:r>
              <w:rPr>
                <w:rFonts w:ascii="Arial" w:cs="Arial" w:eastAsia="Arial" w:hAnsi="Arial"/>
                <w:sz w:val="18"/>
                <w:szCs w:val="18"/>
                <w:color w:val="0000EE"/>
                <w:w w:val="89"/>
              </w:rPr>
              <w:t>Financial Statements</w:t>
            </w:r>
          </w:p>
        </w:tc>
        <w:tc>
          <w:tcPr>
            <w:tcW w:w="694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4"/>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8500" w:type="dxa"/>
            <w:vAlign w:val="bottom"/>
            <w:gridSpan w:val="14"/>
          </w:tcPr>
          <w:p>
            <w:pPr>
              <w:ind w:left="40"/>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4"/>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4340" w:type="dxa"/>
            <w:vAlign w:val="bottom"/>
            <w:tcBorders>
              <w:top w:val="single" w:sz="8" w:color="0000EE"/>
              <w:bottom w:val="single" w:sz="8" w:color="0000EE"/>
            </w:tcBorders>
            <w:gridSpan w:val="11"/>
          </w:tcPr>
          <w:p>
            <w:pPr>
              <w:ind w:left="40"/>
              <w:spacing w:after="0"/>
              <w:rPr>
                <w:sz w:val="20"/>
                <w:szCs w:val="20"/>
                <w:color w:val="auto"/>
              </w:rPr>
            </w:pPr>
            <w:r>
              <w:rPr>
                <w:rFonts w:ascii="Arial" w:cs="Arial" w:eastAsia="Arial" w:hAnsi="Arial"/>
                <w:sz w:val="18"/>
                <w:szCs w:val="18"/>
                <w:color w:val="0000EE"/>
                <w:w w:val="92"/>
              </w:rPr>
              <w:t>Quantitative and Qualitative Disclosure About Market Risk</w:t>
            </w:r>
          </w:p>
        </w:tc>
        <w:tc>
          <w:tcPr>
            <w:tcW w:w="2160" w:type="dxa"/>
            <w:vAlign w:val="bottom"/>
            <w:tcBorders>
              <w:top w:val="single" w:sz="8" w:color="0000EE"/>
            </w:tcBorders>
            <w:gridSpan w:val="2"/>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1840" w:type="dxa"/>
            <w:vAlign w:val="bottom"/>
            <w:tcBorders>
              <w:bottom w:val="single" w:sz="8" w:color="0000EE"/>
            </w:tcBorders>
            <w:gridSpan w:val="7"/>
          </w:tcPr>
          <w:p>
            <w:pPr>
              <w:ind w:left="40"/>
              <w:spacing w:after="0"/>
              <w:rPr>
                <w:sz w:val="20"/>
                <w:szCs w:val="20"/>
                <w:color w:val="auto"/>
              </w:rPr>
            </w:pPr>
            <w:r>
              <w:rPr>
                <w:rFonts w:ascii="Arial" w:cs="Arial" w:eastAsia="Arial" w:hAnsi="Arial"/>
                <w:sz w:val="18"/>
                <w:szCs w:val="18"/>
                <w:color w:val="0000EE"/>
                <w:w w:val="89"/>
              </w:rPr>
              <w:t>Controls and Procedures</w:t>
            </w:r>
          </w:p>
        </w:tc>
        <w:tc>
          <w:tcPr>
            <w:tcW w:w="666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4"/>
        </w:trPr>
        <w:tc>
          <w:tcPr>
            <w:tcW w:w="9060" w:type="dxa"/>
            <w:vAlign w:val="bottom"/>
            <w:gridSpan w:val="15"/>
          </w:tcPr>
          <w:p>
            <w:pPr>
              <w:spacing w:after="0"/>
              <w:rPr>
                <w:sz w:val="20"/>
                <w:szCs w:val="20"/>
                <w:color w:val="auto"/>
              </w:rPr>
            </w:pPr>
            <w:r>
              <w:rPr>
                <w:rFonts w:ascii="Arial" w:cs="Arial" w:eastAsia="Arial" w:hAnsi="Arial"/>
                <w:sz w:val="18"/>
                <w:szCs w:val="18"/>
                <w:color w:val="0000EE"/>
              </w:rPr>
              <w:t>PART II – OTHER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2100" w:type="dxa"/>
            <w:vAlign w:val="bottom"/>
            <w:tcBorders>
              <w:top w:val="single" w:sz="8" w:color="0000EE"/>
            </w:tcBorders>
            <w:gridSpan w:val="8"/>
          </w:tcPr>
          <w:p>
            <w:pPr>
              <w:ind w:left="40"/>
              <w:spacing w:after="0"/>
              <w:rPr>
                <w:sz w:val="20"/>
                <w:szCs w:val="20"/>
                <w:color w:val="auto"/>
              </w:rPr>
            </w:pPr>
            <w:r>
              <w:rPr>
                <w:rFonts w:ascii="Arial" w:cs="Arial" w:eastAsia="Arial" w:hAnsi="Arial"/>
                <w:sz w:val="18"/>
                <w:szCs w:val="18"/>
                <w:color w:val="0000EE"/>
              </w:rPr>
              <w:t>Legal Proceedings</w:t>
            </w:r>
          </w:p>
        </w:tc>
        <w:tc>
          <w:tcPr>
            <w:tcW w:w="6400" w:type="dxa"/>
            <w:vAlign w:val="bottom"/>
            <w:gridSpan w:val="6"/>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19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Item 1A. Risk Factors</w:t>
            </w:r>
          </w:p>
        </w:tc>
        <w:tc>
          <w:tcPr>
            <w:tcW w:w="712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44"/>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8500" w:type="dxa"/>
            <w:vAlign w:val="bottom"/>
            <w:gridSpan w:val="14"/>
          </w:tcPr>
          <w:p>
            <w:pPr>
              <w:ind w:left="40"/>
              <w:spacing w:after="0"/>
              <w:rPr>
                <w:sz w:val="20"/>
                <w:szCs w:val="20"/>
                <w:color w:val="auto"/>
              </w:rPr>
            </w:pPr>
            <w:r>
              <w:rPr>
                <w:rFonts w:ascii="Arial" w:cs="Arial" w:eastAsia="Arial" w:hAnsi="Arial"/>
                <w:sz w:val="18"/>
                <w:szCs w:val="18"/>
                <w:color w:val="0000EE"/>
              </w:rPr>
              <w:t>Recent Sales of Unregistered Securities; Use of Proceeds from Registered Securities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4"/>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2380" w:type="dxa"/>
            <w:vAlign w:val="bottom"/>
            <w:tcBorders>
              <w:top w:val="single" w:sz="8" w:color="0000EE"/>
              <w:bottom w:val="single" w:sz="8" w:color="0000EE"/>
            </w:tcBorders>
            <w:gridSpan w:val="9"/>
          </w:tcPr>
          <w:p>
            <w:pPr>
              <w:ind w:left="40"/>
              <w:spacing w:after="0"/>
              <w:rPr>
                <w:sz w:val="20"/>
                <w:szCs w:val="20"/>
                <w:color w:val="auto"/>
              </w:rPr>
            </w:pPr>
            <w:r>
              <w:rPr>
                <w:rFonts w:ascii="Arial" w:cs="Arial" w:eastAsia="Arial" w:hAnsi="Arial"/>
                <w:sz w:val="18"/>
                <w:szCs w:val="18"/>
                <w:color w:val="0000EE"/>
                <w:w w:val="90"/>
              </w:rPr>
              <w:t>Defaults Upon Senior Securities</w:t>
            </w:r>
          </w:p>
        </w:tc>
        <w:tc>
          <w:tcPr>
            <w:tcW w:w="3740" w:type="dxa"/>
            <w:vAlign w:val="bottom"/>
            <w:tcBorders>
              <w:top w:val="single" w:sz="8" w:color="0000EE"/>
            </w:tcBorders>
            <w:gridSpan w:val="3"/>
          </w:tcPr>
          <w:p>
            <w:pPr>
              <w:spacing w:after="0"/>
              <w:rPr>
                <w:sz w:val="24"/>
                <w:szCs w:val="24"/>
                <w:color w:val="auto"/>
              </w:rPr>
            </w:pPr>
          </w:p>
        </w:tc>
        <w:tc>
          <w:tcPr>
            <w:tcW w:w="238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4"/>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1820" w:type="dxa"/>
            <w:vAlign w:val="bottom"/>
            <w:tcBorders>
              <w:bottom w:val="single" w:sz="8" w:color="0000EE"/>
            </w:tcBorders>
            <w:gridSpan w:val="6"/>
          </w:tcPr>
          <w:p>
            <w:pPr>
              <w:ind w:left="40"/>
              <w:spacing w:after="0"/>
              <w:rPr>
                <w:sz w:val="20"/>
                <w:szCs w:val="20"/>
                <w:color w:val="auto"/>
              </w:rPr>
            </w:pPr>
            <w:r>
              <w:rPr>
                <w:rFonts w:ascii="Arial" w:cs="Arial" w:eastAsia="Arial" w:hAnsi="Arial"/>
                <w:sz w:val="18"/>
                <w:szCs w:val="18"/>
                <w:color w:val="0000EE"/>
                <w:w w:val="91"/>
              </w:rPr>
              <w:t>Mine Safety Disclosures</w:t>
            </w:r>
          </w:p>
        </w:tc>
        <w:tc>
          <w:tcPr>
            <w:tcW w:w="6680" w:type="dxa"/>
            <w:vAlign w:val="bottom"/>
            <w:gridSpan w:val="8"/>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0000EE"/>
                <w:w w:val="98"/>
              </w:rPr>
              <w:t>Item 5.</w:t>
            </w:r>
          </w:p>
        </w:tc>
        <w:tc>
          <w:tcPr>
            <w:tcW w:w="8500" w:type="dxa"/>
            <w:vAlign w:val="bottom"/>
            <w:gridSpan w:val="14"/>
          </w:tcPr>
          <w:p>
            <w:pPr>
              <w:ind w:left="40"/>
              <w:spacing w:after="0"/>
              <w:rPr>
                <w:sz w:val="20"/>
                <w:szCs w:val="20"/>
                <w:color w:val="auto"/>
              </w:rPr>
            </w:pPr>
            <w:r>
              <w:rPr>
                <w:rFonts w:ascii="Arial" w:cs="Arial" w:eastAsia="Arial" w:hAnsi="Arial"/>
                <w:sz w:val="18"/>
                <w:szCs w:val="18"/>
                <w:color w:val="0000EE"/>
              </w:rPr>
              <w:t>Other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45"/>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1360" w:type="dxa"/>
            <w:vAlign w:val="bottom"/>
            <w:tcBorders>
              <w:top w:val="single" w:sz="8" w:color="0000EE"/>
            </w:tcBorders>
            <w:gridSpan w:val="3"/>
          </w:tcPr>
          <w:p>
            <w:pPr>
              <w:ind w:left="40"/>
              <w:spacing w:after="0"/>
              <w:rPr>
                <w:sz w:val="20"/>
                <w:szCs w:val="20"/>
                <w:color w:val="auto"/>
              </w:rPr>
            </w:pPr>
            <w:r>
              <w:rPr>
                <w:rFonts w:ascii="Arial" w:cs="Arial" w:eastAsia="Arial" w:hAnsi="Arial"/>
                <w:sz w:val="18"/>
                <w:szCs w:val="18"/>
                <w:color w:val="0000EE"/>
              </w:rPr>
              <w:t>Exhibits</w:t>
            </w:r>
          </w:p>
        </w:tc>
        <w:tc>
          <w:tcPr>
            <w:tcW w:w="7140" w:type="dxa"/>
            <w:vAlign w:val="bottom"/>
            <w:gridSpan w:val="11"/>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350"/>
        </w:trPr>
        <w:tc>
          <w:tcPr>
            <w:tcW w:w="5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right"/>
              <w:ind w:right="760"/>
              <w:spacing w:after="0" w:line="155" w:lineRule="exact"/>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w w:val="96"/>
              </w:rPr>
              <w:t>December 31, 2021</w:t>
            </w:r>
          </w:p>
        </w:tc>
        <w:tc>
          <w:tcPr>
            <w:tcW w:w="120" w:type="dxa"/>
            <w:vAlign w:val="bottom"/>
          </w:tcPr>
          <w:p>
            <w:pPr>
              <w:spacing w:after="0"/>
              <w:rPr>
                <w:sz w:val="13"/>
                <w:szCs w:val="13"/>
                <w:color w:val="auto"/>
              </w:rPr>
            </w:pPr>
          </w:p>
        </w:tc>
      </w:tr>
      <w:tr>
        <w:trPr>
          <w:trHeight w:val="156"/>
        </w:trPr>
        <w:tc>
          <w:tcPr>
            <w:tcW w:w="6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420" w:type="dxa"/>
            <w:vAlign w:val="bottom"/>
            <w:shd w:val="clear" w:color="auto" w:fill="CFF0FC"/>
          </w:tcPr>
          <w:p>
            <w:pPr>
              <w:ind w:left="3240"/>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35,669,685</w:t>
            </w: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49,071,414</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210,283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283,602</w:t>
            </w: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1,265,895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874,886</w:t>
            </w:r>
          </w:p>
        </w:tc>
        <w:tc>
          <w:tcPr>
            <w:tcW w:w="12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37,198,016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50,229,902</w:t>
            </w:r>
          </w:p>
        </w:tc>
        <w:tc>
          <w:tcPr>
            <w:tcW w:w="120" w:type="dxa"/>
            <w:vAlign w:val="bottom"/>
            <w:shd w:val="clear" w:color="auto" w:fill="CFF0FC"/>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510,197</w:t>
            </w:r>
          </w:p>
        </w:tc>
        <w:tc>
          <w:tcPr>
            <w:tcW w:w="12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2,318,717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618,985</w:t>
            </w: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shd w:val="clear" w:color="auto" w:fill="CFF0FC"/>
          </w:tcPr>
          <w:p>
            <w:pPr>
              <w:spacing w:after="0"/>
              <w:rPr>
                <w:sz w:val="19"/>
                <w:szCs w:val="19"/>
                <w:color w:val="auto"/>
              </w:rPr>
            </w:pPr>
          </w:p>
        </w:tc>
      </w:tr>
      <w:tr>
        <w:trPr>
          <w:trHeight w:val="263"/>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40,024,119</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51,371,075</w:t>
            </w:r>
          </w:p>
        </w:tc>
        <w:tc>
          <w:tcPr>
            <w:tcW w:w="120" w:type="dxa"/>
            <w:vAlign w:val="bottom"/>
            <w:tcBorders>
              <w:bottom w:val="single" w:sz="8" w:color="CFF0FC"/>
            </w:tcBorders>
          </w:tcPr>
          <w:p>
            <w:pPr>
              <w:spacing w:after="0"/>
              <w:rPr>
                <w:sz w:val="22"/>
                <w:szCs w:val="22"/>
                <w:color w:val="auto"/>
              </w:rPr>
            </w:pPr>
          </w:p>
        </w:tc>
      </w:tr>
      <w:tr>
        <w:trPr>
          <w:trHeight w:val="210"/>
        </w:trPr>
        <w:tc>
          <w:tcPr>
            <w:tcW w:w="6420" w:type="dxa"/>
            <w:vAlign w:val="bottom"/>
            <w:shd w:val="clear" w:color="auto" w:fill="CFF0FC"/>
          </w:tcPr>
          <w:p>
            <w:pPr>
              <w:ind w:left="1620"/>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1,008,932</w:t>
            </w: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1,205,957</w:t>
            </w:r>
          </w:p>
        </w:tc>
        <w:tc>
          <w:tcPr>
            <w:tcW w:w="12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1,472,763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1,523,317</w:t>
            </w: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severance expense</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975,439</w:t>
            </w:r>
          </w:p>
        </w:tc>
        <w:tc>
          <w:tcPr>
            <w:tcW w:w="120" w:type="dxa"/>
            <w:vAlign w:val="bottom"/>
            <w:shd w:val="clear" w:color="auto" w:fill="CFF0FC"/>
          </w:tcPr>
          <w:p>
            <w:pPr>
              <w:spacing w:after="0"/>
              <w:rPr>
                <w:sz w:val="19"/>
                <w:szCs w:val="19"/>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721,500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628,307</w:t>
            </w: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FF0FC"/>
          </w:tcPr>
          <w:p>
            <w:pPr>
              <w:spacing w:after="0"/>
              <w:rPr>
                <w:sz w:val="19"/>
                <w:szCs w:val="19"/>
                <w:color w:val="auto"/>
              </w:rPr>
            </w:pPr>
          </w:p>
        </w:tc>
      </w:tr>
      <w:tr>
        <w:trPr>
          <w:trHeight w:val="223"/>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3,969,360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4,346,384</w:t>
            </w:r>
          </w:p>
        </w:tc>
        <w:tc>
          <w:tcPr>
            <w:tcW w:w="12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long-term portion</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1,615,527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40,413</w:t>
            </w:r>
          </w:p>
        </w:tc>
        <w:tc>
          <w:tcPr>
            <w:tcW w:w="120" w:type="dxa"/>
            <w:vAlign w:val="bottom"/>
            <w:tcBorders>
              <w:bottom w:val="single" w:sz="8" w:color="CFF0FC"/>
            </w:tcBorders>
          </w:tcPr>
          <w:p>
            <w:pPr>
              <w:spacing w:after="0"/>
              <w:rPr>
                <w:sz w:val="19"/>
                <w:szCs w:val="19"/>
                <w:color w:val="auto"/>
              </w:rPr>
            </w:pPr>
          </w:p>
        </w:tc>
      </w:tr>
      <w:tr>
        <w:trPr>
          <w:trHeight w:val="223"/>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5,584,887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4,386,797</w:t>
            </w:r>
          </w:p>
        </w:tc>
        <w:tc>
          <w:tcPr>
            <w:tcW w:w="120" w:type="dxa"/>
            <w:vAlign w:val="bottom"/>
            <w:shd w:val="clear" w:color="auto" w:fill="CFF0FC"/>
          </w:tcPr>
          <w:p>
            <w:pPr>
              <w:spacing w:after="0"/>
              <w:rPr>
                <w:sz w:val="19"/>
                <w:szCs w:val="19"/>
                <w:color w:val="auto"/>
              </w:rPr>
            </w:pPr>
          </w:p>
        </w:tc>
      </w:tr>
      <w:tr>
        <w:trPr>
          <w:trHeight w:val="223"/>
        </w:trPr>
        <w:tc>
          <w:tcPr>
            <w:tcW w:w="6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$0.00001 par value, 10,000,000 shares authorized</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June 30, 2022 and December 31, 2021; no shares issued or</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June 30, 2022 and December 31, 2021.</w:t>
            </w: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5"/>
        </w:trPr>
        <w:tc>
          <w:tcPr>
            <w:tcW w:w="6420" w:type="dxa"/>
            <w:vAlign w:val="bottom"/>
          </w:tcPr>
          <w:p>
            <w:pPr>
              <w:ind w:left="260"/>
              <w:spacing w:after="0"/>
              <w:rPr>
                <w:sz w:val="20"/>
                <w:szCs w:val="20"/>
                <w:color w:val="auto"/>
              </w:rPr>
            </w:pPr>
            <w:r>
              <w:rPr>
                <w:rFonts w:ascii="Arial" w:cs="Arial" w:eastAsia="Arial" w:hAnsi="Arial"/>
                <w:sz w:val="18"/>
                <w:szCs w:val="18"/>
                <w:color w:val="auto"/>
              </w:rPr>
              <w:t>Common Stock, $0.00001 par value, 200,000,000 shares authorized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tcPr>
          <w:p>
            <w:pPr>
              <w:ind w:left="380"/>
              <w:spacing w:after="0"/>
              <w:rPr>
                <w:sz w:val="20"/>
                <w:szCs w:val="20"/>
                <w:color w:val="auto"/>
              </w:rPr>
            </w:pPr>
            <w:r>
              <w:rPr>
                <w:rFonts w:ascii="Arial" w:cs="Arial" w:eastAsia="Arial" w:hAnsi="Arial"/>
                <w:sz w:val="18"/>
                <w:szCs w:val="18"/>
                <w:color w:val="auto"/>
              </w:rPr>
              <w:t>at June 30, 2022 and December 31, 2021; 77,464,571 and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tcPr>
          <w:p>
            <w:pPr>
              <w:ind w:left="380"/>
              <w:spacing w:after="0"/>
              <w:rPr>
                <w:sz w:val="20"/>
                <w:szCs w:val="20"/>
                <w:color w:val="auto"/>
              </w:rPr>
            </w:pPr>
            <w:r>
              <w:rPr>
                <w:rFonts w:ascii="Arial" w:cs="Arial" w:eastAsia="Arial" w:hAnsi="Arial"/>
                <w:sz w:val="18"/>
                <w:szCs w:val="18"/>
                <w:color w:val="auto"/>
              </w:rPr>
              <w:t>76,667,205 shares issued and outstanding at June 30, 2022 and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20" w:type="dxa"/>
            <w:vAlign w:val="bottom"/>
          </w:tcPr>
          <w:p>
            <w:pPr>
              <w:ind w:left="380"/>
              <w:spacing w:after="0"/>
              <w:rPr>
                <w:sz w:val="20"/>
                <w:szCs w:val="20"/>
                <w:color w:val="auto"/>
              </w:rPr>
            </w:pPr>
            <w:r>
              <w:rPr>
                <w:rFonts w:ascii="Arial" w:cs="Arial" w:eastAsia="Arial" w:hAnsi="Arial"/>
                <w:sz w:val="18"/>
                <w:szCs w:val="18"/>
                <w:color w:val="auto"/>
              </w:rPr>
              <w:t>December 31, 2021, respectively.</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0"/>
                <w:szCs w:val="20"/>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385,008,963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383,383,550</w:t>
            </w:r>
          </w:p>
        </w:tc>
        <w:tc>
          <w:tcPr>
            <w:tcW w:w="120" w:type="dxa"/>
            <w:vAlign w:val="bottom"/>
            <w:shd w:val="clear" w:color="auto" w:fill="CFF0FC"/>
          </w:tcPr>
          <w:p>
            <w:pPr>
              <w:spacing w:after="0"/>
              <w:rPr>
                <w:sz w:val="19"/>
                <w:szCs w:val="19"/>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(350,570,506)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(336,400,039)</w:t>
            </w:r>
          </w:p>
        </w:tc>
      </w:tr>
      <w:tr>
        <w:trPr>
          <w:trHeight w:val="223"/>
        </w:trPr>
        <w:tc>
          <w:tcPr>
            <w:tcW w:w="64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34,439,232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46,984,278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40,024,119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51,371,075</w:t>
            </w:r>
          </w:p>
        </w:tc>
        <w:tc>
          <w:tcPr>
            <w:tcW w:w="1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0" w:type="dxa"/>
            <w:vAlign w:val="bottom"/>
            <w:gridSpan w:val="7"/>
          </w:tcPr>
          <w:p>
            <w:pPr>
              <w:jc w:val="right"/>
              <w:ind w:right="141"/>
              <w:spacing w:after="0"/>
              <w:rPr>
                <w:sz w:val="20"/>
                <w:szCs w:val="20"/>
                <w:color w:val="auto"/>
              </w:rPr>
            </w:pPr>
            <w:r>
              <w:rPr>
                <w:rFonts w:ascii="Arial" w:cs="Arial" w:eastAsia="Arial" w:hAnsi="Arial"/>
                <w:sz w:val="14"/>
                <w:szCs w:val="14"/>
                <w:b w:val="1"/>
                <w:bCs w:val="1"/>
                <w:color w:val="auto"/>
                <w:w w:val="94"/>
              </w:rPr>
              <w:t>For the Three Months Ended June 30,</w:t>
            </w:r>
          </w:p>
        </w:tc>
        <w:tc>
          <w:tcPr>
            <w:tcW w:w="120" w:type="dxa"/>
            <w:vAlign w:val="bottom"/>
          </w:tcPr>
          <w:p>
            <w:pPr>
              <w:spacing w:after="0"/>
              <w:rPr>
                <w:sz w:val="14"/>
                <w:szCs w:val="14"/>
                <w:color w:val="auto"/>
              </w:rPr>
            </w:pPr>
          </w:p>
        </w:tc>
        <w:tc>
          <w:tcPr>
            <w:tcW w:w="2560" w:type="dxa"/>
            <w:vAlign w:val="bottom"/>
            <w:gridSpan w:val="6"/>
          </w:tcPr>
          <w:p>
            <w:pPr>
              <w:jc w:val="right"/>
              <w:ind w:right="121"/>
              <w:spacing w:after="0"/>
              <w:rPr>
                <w:sz w:val="20"/>
                <w:szCs w:val="20"/>
                <w:color w:val="auto"/>
              </w:rPr>
            </w:pPr>
            <w:r>
              <w:rPr>
                <w:rFonts w:ascii="Arial" w:cs="Arial" w:eastAsia="Arial" w:hAnsi="Arial"/>
                <w:sz w:val="14"/>
                <w:szCs w:val="14"/>
                <w:b w:val="1"/>
                <w:bCs w:val="1"/>
                <w:color w:val="auto"/>
                <w:w w:val="98"/>
              </w:rPr>
              <w:t>For the Six Months Ended  June 30,</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448,932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Costs and expenses: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474,633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3,209,910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6,103,694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6,737,056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10,694,938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1,158,092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2,441,357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2,771,682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4,235,569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2,024,939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2,656,748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4,052,459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4,944,144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Severance expense</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7,297,769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11,201,799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14,669,274</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19,874,651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(7,064,798)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(11,016,839)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(14,220,342)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(19,544,626)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49,875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9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(7,017,749</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(11,015,829</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(14,170,467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(19,541,592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11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FF0FC"/>
            </w:tcBorders>
            <w:vMerge w:val="continue"/>
          </w:tcPr>
          <w:p>
            <w:pPr>
              <w:spacing w:after="0"/>
              <w:rPr>
                <w:sz w:val="21"/>
                <w:szCs w:val="21"/>
                <w:color w:val="auto"/>
              </w:rPr>
            </w:pPr>
          </w:p>
        </w:tc>
        <w:tc>
          <w:tcPr>
            <w:tcW w:w="9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9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77,125,105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62,080,250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77,028,549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61,825,044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20" w:type="dxa"/>
            <w:vAlign w:val="bottom"/>
            <w:gridSpan w:val="3"/>
            <w:vMerge w:val="restart"/>
          </w:tcPr>
          <w:p>
            <w:pPr>
              <w:jc w:val="right"/>
              <w:ind w:right="42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2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44"/>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2022</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76,667,205</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767</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383,383,550</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(336,400,039)</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46,984,278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options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10,313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stock units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745,620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745,620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5"/>
                <w:szCs w:val="15"/>
                <w:color w:val="auto"/>
              </w:rPr>
              <w:t>stock purchase plan ("ESPP")</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40,973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40,973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387,823</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104,217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(7,152,718)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(7,152,718)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5"/>
                <w:szCs w:val="15"/>
                <w:color w:val="auto"/>
              </w:rPr>
              <w:t>Balance at March 31, 2022 (unaudited)</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77,055,028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w w:val="95"/>
              </w:rPr>
              <w:t>771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384,284,669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(343,552,757)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40,732,683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601,029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601,029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41,428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tcPr>
          <w:p>
            <w:pPr>
              <w:jc w:val="right"/>
              <w:spacing w:after="0"/>
              <w:rPr>
                <w:sz w:val="20"/>
                <w:szCs w:val="20"/>
                <w:color w:val="auto"/>
              </w:rPr>
            </w:pPr>
            <w:r>
              <w:rPr>
                <w:rFonts w:ascii="Arial" w:cs="Arial" w:eastAsia="Arial" w:hAnsi="Arial"/>
                <w:sz w:val="15"/>
                <w:szCs w:val="15"/>
                <w:color w:val="auto"/>
              </w:rPr>
              <w:t>215,746</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193,797</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60,509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(7,017,749)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(7,017,749)</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June 30, 2022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77,464,571</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775</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385,008,963</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(350,570,506)</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34,439,232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79"/>
        </w:trPr>
        <w:tc>
          <w:tcPr>
            <w:tcW w:w="4580" w:type="dxa"/>
            <w:vAlign w:val="bottom"/>
          </w:tcPr>
          <w:p>
            <w:pPr>
              <w:spacing w:after="0"/>
              <w:rPr>
                <w:sz w:val="15"/>
                <w:szCs w:val="15"/>
                <w:color w:val="auto"/>
              </w:rPr>
            </w:pPr>
          </w:p>
        </w:tc>
        <w:tc>
          <w:tcPr>
            <w:tcW w:w="22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69"/>
        </w:trPr>
        <w:tc>
          <w:tcPr>
            <w:tcW w:w="458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Shares</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5"/>
                <w:szCs w:val="15"/>
                <w:b w:val="1"/>
                <w:bCs w:val="1"/>
                <w:color w:val="auto"/>
                <w:w w:val="95"/>
              </w:rPr>
              <w:t>Capital</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4"/>
              <w:spacing w:after="0" w:line="169" w:lineRule="exact"/>
              <w:rPr>
                <w:sz w:val="20"/>
                <w:szCs w:val="20"/>
                <w:color w:val="auto"/>
              </w:rPr>
            </w:pPr>
            <w:r>
              <w:rPr>
                <w:rFonts w:ascii="Arial" w:cs="Arial" w:eastAsia="Arial" w:hAnsi="Arial"/>
                <w:sz w:val="15"/>
                <w:szCs w:val="15"/>
                <w:b w:val="1"/>
                <w:bCs w:val="1"/>
                <w:color w:val="auto"/>
                <w:w w:val="95"/>
              </w:rPr>
              <w:t>Deficit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
              <w:spacing w:after="0" w:line="169" w:lineRule="exact"/>
              <w:rPr>
                <w:sz w:val="20"/>
                <w:szCs w:val="20"/>
                <w:color w:val="auto"/>
              </w:rPr>
            </w:pPr>
            <w:r>
              <w:rPr>
                <w:rFonts w:ascii="Arial" w:cs="Arial" w:eastAsia="Arial" w:hAnsi="Arial"/>
                <w:sz w:val="15"/>
                <w:szCs w:val="15"/>
                <w:b w:val="1"/>
                <w:bCs w:val="1"/>
                <w:color w:val="auto"/>
                <w:w w:val="95"/>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2021</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61,292,412</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614</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344,024,638</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(294,972,746)</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49,052,506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2,088,910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2,088,910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57,316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tcPr>
          <w:p>
            <w:pPr>
              <w:jc w:val="right"/>
              <w:spacing w:after="0"/>
              <w:rPr>
                <w:sz w:val="20"/>
                <w:szCs w:val="20"/>
                <w:color w:val="auto"/>
              </w:rPr>
            </w:pPr>
            <w:r>
              <w:rPr>
                <w:rFonts w:ascii="Arial" w:cs="Arial" w:eastAsia="Arial" w:hAnsi="Arial"/>
                <w:sz w:val="15"/>
                <w:szCs w:val="15"/>
                <w:color w:val="auto"/>
              </w:rPr>
              <w:t>627,412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(8,525,763)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(8,525,763)</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March 31, 2021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61,919,824</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620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346,287,871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(303,498,509)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42,789,982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RSUs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1,471,826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1,471,826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performance share units ("PSUs")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2,695,847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2,695,847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Stock-based compensation - ESPP</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60,651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60,651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298,641</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Issuance of shares for PSUs</w:t>
            </w:r>
          </w:p>
        </w:tc>
        <w:tc>
          <w:tcPr>
            <w:tcW w:w="1140" w:type="dxa"/>
            <w:vAlign w:val="bottom"/>
          </w:tcPr>
          <w:p>
            <w:pPr>
              <w:jc w:val="right"/>
              <w:spacing w:after="0"/>
              <w:rPr>
                <w:sz w:val="20"/>
                <w:szCs w:val="20"/>
                <w:color w:val="auto"/>
              </w:rPr>
            </w:pPr>
            <w:r>
              <w:rPr>
                <w:rFonts w:ascii="Arial" w:cs="Arial" w:eastAsia="Arial" w:hAnsi="Arial"/>
                <w:sz w:val="15"/>
                <w:szCs w:val="15"/>
                <w:color w:val="auto"/>
              </w:rPr>
              <w:t>494,608</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spacing w:after="0"/>
              <w:rPr>
                <w:sz w:val="20"/>
                <w:szCs w:val="20"/>
                <w:color w:val="auto"/>
              </w:rPr>
            </w:pPr>
            <w:r>
              <w:rPr>
                <w:rFonts w:ascii="Arial" w:cs="Arial" w:eastAsia="Arial" w:hAnsi="Arial"/>
                <w:sz w:val="15"/>
                <w:szCs w:val="15"/>
                <w:color w:val="auto"/>
              </w:rPr>
              <w:t>Proceeds from contributions to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155,064</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120,232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20"/>
                <w:szCs w:val="20"/>
                <w:color w:val="auto"/>
              </w:rPr>
            </w:pPr>
            <w:r>
              <w:rPr>
                <w:rFonts w:ascii="Arial" w:cs="Arial" w:eastAsia="Arial" w:hAnsi="Arial"/>
                <w:sz w:val="15"/>
                <w:szCs w:val="15"/>
                <w:color w:val="auto"/>
              </w:rPr>
              <w:t>Net loss</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(11,015,829)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(11,015,829)</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June 30, 2021 (unaudited)</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62,868,137</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630</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350,636,419</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(314,514,338)</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36,122,711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For the Six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67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(14,170,467)</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(19,541,592)</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Stock based compensation</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1,460,693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6,374,550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lease right-of-use assets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Bad debt expense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(46,120)</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(52,153)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(391,009)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(197,025)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Accrued severance expense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(230,619)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(50,554)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(403,029)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(422,533)</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(13,453,948)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(12,537,690)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(112,509)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(203,004)</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contributions to employee stock purchase plan</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(13,401,729)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and cash equivalents - beginning</w:t>
            </w:r>
          </w:p>
        </w:tc>
        <w:tc>
          <w:tcPr>
            <w:tcW w:w="1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49,071,414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50,729,661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and cash equivalents - ending</w:t>
            </w:r>
          </w:p>
        </w:tc>
        <w:tc>
          <w:tcPr>
            <w:tcW w:w="10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35,669,685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38,226,214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operating lease right-of-use assets and operating lease liabilities</w:t>
            </w:r>
          </w:p>
        </w:tc>
        <w:tc>
          <w:tcPr>
            <w:tcW w:w="140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2,071,336</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Common stock issued for RSUs</w:t>
            </w:r>
          </w:p>
        </w:tc>
        <w:tc>
          <w:tcPr>
            <w:tcW w:w="10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issued for PSUs</w:t>
            </w:r>
          </w:p>
        </w:tc>
        <w:tc>
          <w:tcPr>
            <w:tcW w:w="10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2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During the three and six months ended June 30, 2022, the Company recorded revenue of $232,971 and $448,932, respectively. During the three and six months ended June 30, 2021, the Company recorded revenue of $184,960 and $330,025, respectively. During the three and six months ended June 30, 2022, the Company recorded net losses of $7,017,749 and $14,170,467, respectively. During the three and six months ended June 30, 2021, the Company recorded net losses of $11,015,829 and $19,541,592, respectively. Net cash used in operating activities was $13,453,948 and $12,537,690 for the six months ended June 30, 2022 and 2021, respectively. The Company is currently meeting its liquidity requirements through the proceeds of securities offerings that raised net proceeds of $53,556,202 during 2020, and $27,043,751 during the fourth quarter of 2021, proceeds from contributions to the Company’s employee stock purchase plan (the “ESPP”), along with payments received from customers.</w:t>
      </w:r>
    </w:p>
    <w:p>
      <w:pPr>
        <w:spacing w:after="0" w:line="5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of June 30, 2022, the Company had cash on hand of $35,669,685. The Company expects that cash on hand as of June 30, 2022, together with anticipated revenues, will be sufficient to fund the Company’s operations through August 2023.</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the Company would find acceptable, or at all.</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These unaudited condensed interim financial statements should be read in conjunction with the audited financial statements and notes thereto for the fiscal year ended December 31, 2021 included in the Company's Annual Report on Form 10-K for the fiscal year ended December 31, 2021, filed with the SEC on March 23, 2022. The accounting policies used in preparing these unaudited condensed interim financial statements are consistent with those described in the Company’s December 31, 2021 audited financial statements</w:t>
      </w:r>
      <w:r>
        <w:rPr>
          <w:rFonts w:ascii="Arial" w:cs="Arial" w:eastAsia="Arial" w:hAnsi="Arial"/>
          <w:sz w:val="18"/>
          <w:szCs w:val="18"/>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significant estimates and assumptions include the valuation of stock-based compensation instruments, recognition of revenue, inventory valuation, the useful lives of long-lived assets,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performance obligations are satisfied.</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revenue comes from its single segment of wireless charging system solutions. The wireless charging system revenue consists of revenue from product development projects and production-level systems. During the three and six months ended June 30, 2022, the Company recognized $232,971 and $448,932, respectively, in revenue. During the three and six months ended June 30, 2021, the Company recognized $184,960 and $330,025, respectively, in revenue.</w:t>
      </w:r>
    </w:p>
    <w:p>
      <w:pPr>
        <w:spacing w:after="0" w:line="16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3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Company records revenue associated with the sale of production-level systems at the point in time at which control over the product is transferred to the customer. The Company records the expense related to the sales of these systems as cost of revenue during the period that the product is transferred to the customer.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3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Company follows ASC 330,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(“Topic 330”) to account for its inventory, which includes finished goods ready for sale, work in process and raw materials, at the lower of cost or net realizable value. Net realizable value is calculated at the end of each reporting period and adjustment, if needed, is made.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are charged to operations as incurred. For internally developed patents, all patent costs are expensed as incurred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Patent application costs, which are generally legal costs, are expensed as research and development costs until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as the future economic benefits of such patents become more certain. The Company incurred research and development costs of $3,209,910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$6,103,694 for the three months ended June 30, 2022 and 2021, respectively. The Company incurred research and development costs of $6,737,056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$10,694,938 for the six months ended June 30, 2022 and 2021, respectively.</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June 30, 2022, no liability for unrecognized tax benefits was required to be reported. The guidance from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also discusses the classification of related interest and penalties on income taxes. The Company’s policy is to record interest and penalties on uncertain tax positions as a component of income tax expense. No interest or penalties were recorded during the three and six months ended June 30, 2022 or 2021. The Company files income tax returns with the United States and California governments.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6,212,707 and 6,323,445 for the three months ended June 30, 2022 and 2021, respectively, and 6,212,707 and 6,323,445 for the six months ended June 30, 2022 and 2021, respectively because their inclusion would be anti-dilutive.</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00" w:type="dxa"/>
            <w:vAlign w:val="bottom"/>
            <w:gridSpan w:val="3"/>
          </w:tcPr>
          <w:p>
            <w:pPr>
              <w:jc w:val="center"/>
              <w:ind w:left="817"/>
              <w:spacing w:after="0"/>
              <w:rPr>
                <w:sz w:val="20"/>
                <w:szCs w:val="20"/>
                <w:color w:val="auto"/>
              </w:rPr>
            </w:pPr>
            <w:r>
              <w:rPr>
                <w:rFonts w:ascii="Arial" w:cs="Arial" w:eastAsia="Arial" w:hAnsi="Arial"/>
                <w:sz w:val="14"/>
                <w:szCs w:val="14"/>
                <w:b w:val="1"/>
                <w:bCs w:val="1"/>
                <w:color w:val="auto"/>
                <w:w w:val="94"/>
              </w:rPr>
              <w:t>For the Three Months</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3"/>
          </w:tcPr>
          <w:p>
            <w:pPr>
              <w:jc w:val="center"/>
              <w:ind w:left="877"/>
              <w:spacing w:after="0"/>
              <w:rPr>
                <w:sz w:val="20"/>
                <w:szCs w:val="20"/>
                <w:color w:val="auto"/>
              </w:rPr>
            </w:pPr>
            <w:r>
              <w:rPr>
                <w:rFonts w:ascii="Arial" w:cs="Arial" w:eastAsia="Arial" w:hAnsi="Arial"/>
                <w:sz w:val="14"/>
                <w:szCs w:val="14"/>
                <w:b w:val="1"/>
                <w:bCs w:val="1"/>
                <w:color w:val="auto"/>
                <w:w w:val="93"/>
              </w:rPr>
              <w:t>For the Six Months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280" w:type="dxa"/>
            <w:vAlign w:val="bottom"/>
          </w:tcPr>
          <w:p>
            <w:pPr>
              <w:spacing w:after="0"/>
              <w:rPr>
                <w:sz w:val="14"/>
                <w:szCs w:val="14"/>
                <w:color w:val="auto"/>
              </w:rPr>
            </w:pPr>
          </w:p>
        </w:tc>
        <w:tc>
          <w:tcPr>
            <w:tcW w:w="230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4"/>
                <w:szCs w:val="14"/>
                <w:b w:val="1"/>
                <w:bCs w:val="1"/>
                <w:color w:val="auto"/>
                <w:w w:val="93"/>
              </w:rPr>
              <w:t>Ended June 30,</w:t>
            </w: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Borders>
              <w:bottom w:val="single" w:sz="8" w:color="auto"/>
            </w:tcBorders>
            <w:gridSpan w:val="3"/>
          </w:tcPr>
          <w:p>
            <w:pPr>
              <w:jc w:val="center"/>
              <w:ind w:left="877"/>
              <w:spacing w:after="0"/>
              <w:rPr>
                <w:sz w:val="20"/>
                <w:szCs w:val="20"/>
                <w:color w:val="auto"/>
              </w:rPr>
            </w:pPr>
            <w:r>
              <w:rPr>
                <w:rFonts w:ascii="Arial" w:cs="Arial" w:eastAsia="Arial" w:hAnsi="Arial"/>
                <w:sz w:val="14"/>
                <w:szCs w:val="14"/>
                <w:b w:val="1"/>
                <w:bCs w:val="1"/>
                <w:color w:val="auto"/>
                <w:w w:val="91"/>
              </w:rPr>
              <w:t>Ended June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28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w w:val="89"/>
              </w:rPr>
              <w:t>2021</w:t>
            </w:r>
          </w:p>
        </w:tc>
        <w:tc>
          <w:tcPr>
            <w:tcW w:w="380" w:type="dxa"/>
            <w:vAlign w:val="bottom"/>
            <w:tcBorders>
              <w:bottom w:val="single" w:sz="8" w:color="CFF0FC"/>
            </w:tcBorders>
          </w:tcPr>
          <w:p>
            <w:pPr>
              <w:spacing w:after="0"/>
              <w:rPr>
                <w:sz w:val="13"/>
                <w:szCs w:val="13"/>
                <w:color w:val="auto"/>
              </w:rPr>
            </w:pPr>
          </w:p>
        </w:tc>
        <w:tc>
          <w:tcPr>
            <w:tcW w:w="148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private investors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825,006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550,985</w:t>
            </w: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825,006</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550,985</w:t>
            </w:r>
          </w:p>
        </w:tc>
        <w:tc>
          <w:tcPr>
            <w:tcW w:w="12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2,102,912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1,530,216</w:t>
            </w:r>
          </w:p>
        </w:tc>
        <w:tc>
          <w:tcPr>
            <w:tcW w:w="3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2,102,912</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1,530,216</w:t>
            </w:r>
          </w:p>
        </w:tc>
        <w:tc>
          <w:tcPr>
            <w:tcW w:w="12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PSUs</w:t>
            </w:r>
          </w:p>
        </w:tc>
        <w:tc>
          <w:tcPr>
            <w:tcW w:w="23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957,455</w:t>
            </w:r>
          </w:p>
        </w:tc>
        <w:tc>
          <w:tcPr>
            <w:tcW w:w="380" w:type="dxa"/>
            <w:vAlign w:val="bottom"/>
          </w:tcPr>
          <w:p>
            <w:pPr>
              <w:spacing w:after="0"/>
              <w:rPr>
                <w:sz w:val="19"/>
                <w:szCs w:val="19"/>
                <w:color w:val="auto"/>
              </w:rPr>
            </w:pPr>
          </w:p>
        </w:tc>
        <w:tc>
          <w:tcPr>
            <w:tcW w:w="23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957,455</w:t>
            </w:r>
          </w:p>
        </w:tc>
        <w:tc>
          <w:tcPr>
            <w:tcW w:w="120" w:type="dxa"/>
            <w:vAlign w:val="bottom"/>
          </w:tcPr>
          <w:p>
            <w:pPr>
              <w:spacing w:after="0"/>
              <w:rPr>
                <w:sz w:val="19"/>
                <w:szCs w:val="19"/>
                <w:color w:val="auto"/>
              </w:rPr>
            </w:pPr>
          </w:p>
        </w:tc>
      </w:tr>
      <w:tr>
        <w:trPr>
          <w:trHeight w:val="223"/>
        </w:trPr>
        <w:tc>
          <w:tcPr>
            <w:tcW w:w="4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potentially dilutive securities</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6,212,707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6,323,445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6,212,707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6,323,445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above includes 1,618,123 warrants expiring on October 6, 2022, with an exercise price of $23.00 and 1,666,666 warrants expiring on March 1, 2024, with an exercise price of $10.00.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Arial" w:cs="Arial" w:eastAsia="Arial" w:hAnsi="Arial"/>
          <w:sz w:val="17"/>
          <w:szCs w:val="17"/>
          <w:i w:val="1"/>
          <w:iCs w:val="1"/>
          <w:color w:val="auto"/>
        </w:rPr>
        <w:t>Operating Leases</w:t>
      </w:r>
      <w:r>
        <w:rPr>
          <w:rFonts w:ascii="Arial" w:cs="Arial" w:eastAsia="Arial" w:hAnsi="Arial"/>
          <w:sz w:val="17"/>
          <w:szCs w:val="17"/>
          <w:color w:val="auto"/>
        </w:rPr>
        <w:t xml:space="preserve"> for further discussion of the Company’s operating leases.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June 30, 2022, through the date which the financial statements are available to be issued.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20, 2022, the Company signed a lease amendment to the existing lease of its office space at its corporate headquarters in San Jose, California, extending the term of the lease for an additional three years. Upon signing the new lease amendment, the Company recorded a new right-of-use lease asset of $2,071,336 and operating lease liability of $2,071,336, using a present value discount rate of 3.0%. Upon expiration of the original lease on September 30, 2022, the new monthly lease payment starting October 1, 2022 will be $58,903, subject to annual escalations up to a maximum monthly lease payment of $62,490.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25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21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On September 22, 2021, the Company signed a new Costa Mesa lease to lease a new, distinct office space in a different building with the same landlord. Per the lease, the lease commencement date is October 1, 2021 and the expiry date is September 30, 2023. The Company did not have control of the new office space until October 2021, at which time the Company recorded a new right-of-use lease asset of $104,563 and operating lease liability of $104,563. The new Costa Mesa lease has an initial monthly lease payment of $4,369 starting October 1, 2021 and is subject to an annual escalation up to a maximum monthly lease payment of $4,522.</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5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The Company follows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and recognizes the required right-of-use assets and operating lease liabilities on its balance sheet. The Company anticipates having future total lease payments of $2,446,936 during the period from the third quarter of 2022 to the third quarter of 2025. As of June 30, 2022, the Company has total operating lease right-of-use assets of $2,318,717, current portion of operating lease liabilities of $721,500 and long-term portion of operating lease liabilities of $1,615,527. The weighted average remaining lease term is 3.2 years as of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undiscounted cash flows to lease liabilities recognized as of June 30, 2022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56"/>
        </w:trPr>
        <w:tc>
          <w:tcPr>
            <w:tcW w:w="90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29"/>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398,203</w:t>
            </w:r>
          </w:p>
        </w:tc>
        <w:tc>
          <w:tcPr>
            <w:tcW w:w="100" w:type="dxa"/>
            <w:vAlign w:val="bottom"/>
            <w:shd w:val="clear" w:color="auto" w:fill="CFF0FC"/>
          </w:tcPr>
          <w:p>
            <w:pPr>
              <w:spacing w:after="0"/>
              <w:rPr>
                <w:sz w:val="19"/>
                <w:szCs w:val="19"/>
                <w:color w:val="auto"/>
              </w:rPr>
            </w:pPr>
          </w:p>
        </w:tc>
      </w:tr>
      <w:tr>
        <w:trPr>
          <w:trHeight w:val="229"/>
        </w:trPr>
        <w:tc>
          <w:tcPr>
            <w:tcW w:w="908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752,828</w:t>
            </w:r>
          </w:p>
        </w:tc>
        <w:tc>
          <w:tcPr>
            <w:tcW w:w="100" w:type="dxa"/>
            <w:vAlign w:val="bottom"/>
          </w:tcPr>
          <w:p>
            <w:pPr>
              <w:spacing w:after="0"/>
              <w:rPr>
                <w:sz w:val="19"/>
                <w:szCs w:val="19"/>
                <w:color w:val="auto"/>
              </w:rPr>
            </w:pPr>
          </w:p>
        </w:tc>
      </w:tr>
      <w:tr>
        <w:trPr>
          <w:trHeight w:val="230"/>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733,497</w:t>
            </w:r>
          </w:p>
        </w:tc>
        <w:tc>
          <w:tcPr>
            <w:tcW w:w="100" w:type="dxa"/>
            <w:vAlign w:val="bottom"/>
            <w:shd w:val="clear" w:color="auto" w:fill="CFF0FC"/>
          </w:tcPr>
          <w:p>
            <w:pPr>
              <w:spacing w:after="0"/>
              <w:rPr>
                <w:sz w:val="19"/>
                <w:szCs w:val="19"/>
                <w:color w:val="auto"/>
              </w:rPr>
            </w:pPr>
          </w:p>
        </w:tc>
      </w:tr>
      <w:tr>
        <w:trPr>
          <w:trHeight w:val="229"/>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562,408</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2,446,936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gridSpan w:val="2"/>
          </w:tcPr>
          <w:p>
            <w:pPr>
              <w:spacing w:after="0"/>
              <w:rPr>
                <w:sz w:val="20"/>
                <w:szCs w:val="20"/>
                <w:color w:val="auto"/>
              </w:rPr>
            </w:pPr>
            <w:r>
              <w:rPr>
                <w:rFonts w:ascii="Arial" w:cs="Arial" w:eastAsia="Arial" w:hAnsi="Arial"/>
                <w:sz w:val="18"/>
                <w:szCs w:val="18"/>
                <w:color w:val="auto"/>
              </w:rPr>
              <w:t>Present value discount (2.9% weighted average)</w:t>
            </w:r>
          </w:p>
        </w:tc>
        <w:tc>
          <w:tcPr>
            <w:tcW w:w="3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(109,909)</w:t>
            </w:r>
          </w:p>
        </w:tc>
      </w:tr>
      <w:tr>
        <w:trPr>
          <w:trHeight w:val="223"/>
        </w:trPr>
        <w:tc>
          <w:tcPr>
            <w:tcW w:w="9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2,337,027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Hosted Design Software Agreement</w:t>
      </w:r>
    </w:p>
    <w:p>
      <w:pPr>
        <w:spacing w:after="0" w:line="19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222222"/>
        </w:rPr>
        <w:t>On June 25, 2015, the Company entered into a three-year agreement to license electronic design automation software in a hosted environment. Pursuant to the agreement, under which services began in July 2015, the Company is required to remit quarterly payments. In June 2021, the Company entered into its latest renewal of the agreement for an additional three years, and the Company is required to remit quarterly payments of approximately $233,000 through the second quarter of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4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June 30, 2022, the Company accrued $275,990 in expense under the Bonus Plan, which will be paid during the third quarter of 2022. During the three months ended June 30, 2021, the Company accrued $391,578 in expense under the Bonus Plan, which was paid during the third quarter of 2021. During the six months ended June 30, 2022 and 2021, the Company accrued $501,792 and $783,156 in expense under the Bonus Plan, respectively. The expense under the Bonus Plan is recorded under operating expenses on the Company’s Condensed Statement of Operations within each executive’s department.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(each, an “Executive”).</w:t>
      </w:r>
    </w:p>
    <w:p>
      <w:pPr>
        <w:spacing w:after="0" w:line="13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Under the Severance Agreement, if an Executive is terminated in a qualifying change in control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Employee Agreement – Cesar Johnston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On December 9, 2021, the Company announced that Cesar Johnston had been appointed as the Company’s Chief Executive Officer. In connection with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Johnston’s appointment as Chief Executive Officer, the Company and Mr. Johnston executed an offer letter dated as of December 6, 2021.</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terms of his offer letter, Mr. Johnston will receive an annual base salary of $400,000 per year. Beginning in year 2022, he will be eligible to receive a discretionary annual bonus of up to 100% of his base salary, at the recommendation of the Company’s Compensation Committee, with the approval of the Company’s Board. In addition, as an inducement to accept his appointment as Chief Executive Officer, Mr. Johnston will receive, subject to continued employment, (a) a special one-time sign-on bonus in the amount of $120,000, payable in two equal installments of $60,000 each on the first payroll date in 2022 and the first payroll date after December 6, 2022, (b) a grant of 150,000 RSUs to acquire shares of the Company’s common stock, one third of which will vest on December 6, 2022 and the remaining two thirds of which will vest in eight equal installments of 12,500 each on each quarterly anniversary thereafter and (c) a grant of an option to purchase 300,000 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spacing w:after="0" w:line="20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Mr. Johnston will further be eligible for (a) an additional equity award in the amount of 287,000 PSUs to acquire shares of the Company’s common stock, which vest up to one third per year over a three year period commencing January 1, 2022 and ending December 31, 2024, upon the achievement of performance criteria to be mutually established by Mr. Johnston and the Compensation Committee, and (b) an additional equity award of up to 25,000 PSUs per calendar year for 2022, 2023 and 2024, respectively, based on outperformance of agreed upon goals per calendar year, as determined by the Compensation Committee with approval of the Board. As of June 30, 2022, the PSUs had not yet been granted. On July 20, 2022, the Compensation Committee approved by unanimous written consent, the PSU grants to Mr. Johnston pursuant to the terms of Mr. Johnston’s offer letter and subject to the outperformance of certain performance metrics as determined by the Compensation Committee.</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COBRA, the Company or its successor will pay the full amount of Mr. Johnston’s COBRA premiums on his behalf for 18 months.</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7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Mr. Johnston’s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Mr. Johnston is also eligible to receive all customary and usual benefits generally available to senior executives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Stephen Rizzone</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former President and Chief Executive Officer (“Employment Agreement”).</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Employment Agreement effective as of January 1, 2015, had an initial term of four years and automatically renewed each year after the initial term. The Employment Agreement provided for an annual base salary of $365,000, and Mr. Rizzone was eligible to receive quarterly cash bonuses from the MBO Bonus Plan with a total target amount equal to 100% of his base salary based upon achievement of performance-based objectives established by the Board.</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9, 2021, the Company announced that Stephen R. Rizzone had retired from his position as the Company’s President and Chief Executive Officer and as a member of the Board.</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Mr. Rizzone’s retirement, the Company and Mr. Rizzone entered into an Executive Transition Agreement (the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RSUs and an extension of the exercise periods of all stock options held by Mr. Rizzone until the one year anniversary of his termination date, and additional benefits related to Mr. Rizzone’s medical insurance. In addition, the Company agreed to pay-off all amounts owed under a lease agreement relating to a Company Car and that Mr. Rizzone would receive the title to the vehicle. All compensation under the Separation Agreement has been or will be subject to applicable withholding.</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June 30, 2022, the Company had unpaid accrued severance expense of $732,424 pertaining to Mr. Rizzone’s Separation Agreement which is expected to be paid through August 31,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Neeraj Sahejpal</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April 29, 2022, the Company announced the departure of Neeraj Sahejpal, former Senior Vice President of Marketing and Business Development, effective April 30, 2022. Pursuant to the terms of Mr. Sahejpal’s severance and change of control agreement with the Company, Mr. Sahejpal received payments and benefits including compensation equal to 12 months of Mr. Sahejpal’s then-current salary of $261,250, 12 months of maximum potential bonus of $261,250, and 12 months of COBRA reimbursements. In addition, all RSUs held by Mr. Sahejpal that were due to vest in the 12 months after his departure, totaling RSUs covering 85,943 shares, were accelerated.</w:t>
      </w:r>
    </w:p>
    <w:p>
      <w:pPr>
        <w:spacing w:after="0" w:line="21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recorded $633,444 in total severance expense pertaining to Mr. Sahejpal’s departure for the three and six months ended June 30, 2022. As of June 30, 2022, the Company had unpaid accrued severance expense of $12,396 pertaining to Mr. Sahejpal’s agreement which is expected to be paid through April 30, 2023.</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Agreement</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7—Related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will collaborate on the commercialization of Licensed Products based on a mutually-agreed upon plan. Each party will retain all of its intellectual property.</w:t>
      </w:r>
    </w:p>
    <w:p>
      <w:pPr>
        <w:spacing w:after="0" w:line="19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Alliance Agreement has an initial term of seven years, with automatic renewal annually thereafter unless terminated by either party upon 180 days’ prior written notice. The Company may terminate the Alliance Agreement at any time after the third anniversary of the Alliance Agreement upon 180 days’ prior written notice to Dialog, or if Dialog breaches certain exclusivity obligations. Dialog may terminate the Alliance Agreement if sales of Licensed Products do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spacing w:after="0" w:line="13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September 20, 2021, the Company was notified by Dialog,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August 9, 2018, the Company filed a shelf registration statement on Form S-3 with the SEC, which became effective on August 17, 2018. This shelf registration statement allows the Company to sell, from time to time, any combination of debt or equity securities described in the registration statement up to aggregate proceeds of $75,000,000. Pursuant to this registration statement, in March 2019 the Company raised $23,319,156 (net of $1,680,844 in issuance costs) from an offering of shares of its common stock and warrants to purchase 1,666,666 shares of common stock at an exercise price of $10.00 per share. The Company also raised $4,557,693 (net of $339,081 in issuance costs) during the fourth quarter of 2019, $5,506,880 (net of $141,322 in issuance costs) during the first quarter of 2020 and $9,216,611 (net of $236,528 in issuance costs) during the second quarter of 2020, pursuant to this shelf registration statement. This shelf registration statement has expired and no additional shares will be sold thereunder.</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 of its common stock that may be issued and sold under the At Market Issuance Sales Agreement, as amended, between the Company, B. Riley, Roth Capital Partners LLC and Ladenburg Thalmann &amp; Co. Inc. (the “ATM Program”). The $40,000,000 of common stock to be offered, issued and sold under the ATM Program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quarters of 2020 under the ATM Program.</w:t>
      </w:r>
    </w:p>
    <w:p>
      <w:pPr>
        <w:spacing w:after="0" w:line="14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October 4, 2021, the Company filed a prospectus supplement covering the offering, issuance and sale of up to an additional $35,000,000 of shares of the Company’s common stock pursuant to the ATM Program. The Company raised net proceeds of $27,043,751 (net of $868,122 in issuance costs), during the fourth quarter of 2021 under the ATM Program. As of March 31, 2022, the Company has $7,088,127 remaining on this shelf registration statement.</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$100,000,000.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609,384 shares of common stock remain eligible to be issued through equity-based instruments under the 2013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2022, 738,326 shares of common stock remain eligible to be issued through equity-based instruments under the 2014 Non-Employee Equity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9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2022, 2,411,013 shares of common stock remain eligible to be issued through equity-based instruments under the 2015 Performance Share Unit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21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June 30, 2022, 140,861 shares of common stock remain available to be issued through equity-based instruments under the 2017 Equity Inducement Plan. On July 20, 2022, the Board increased the number of shares of common stock reserved and available for issuance under the plan by 2,000,000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April 2015, the Company’s Board approved the ESPP, under which 600,000 shares of common stock have been reserved for purchase by the Company’s employees, subject to the approval by the stockholders. On May 21, 2015, the Company’s stockholders approved the ESPP. Effective on June 16, 2021, the Company’s stockholders approved the amendment and restatement of the ESPP to increase the number of shares reserved for issuance through equity-based instruments thereunder by 700,000 shares, bring to 1,550,000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of June 30, 2022, 353,751 shares of common stock remain eligible to be issued under the ESPP. Employees contributed $164,728 through payroll withholdings to the ESPP for the offering period ended June 30, 2022 and shares were be deemed delivered on that date.</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8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six months ended June 30, 2022, the Board granted our Chief Executive Officer 300,000 stock options under the 2013 Equity Incentive Plan at an exercise price of $1.27 per share with half of the options vesting on the second anniversary of the vesting start date and a quarter of the options vesting on each of the two following anniversaries.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estimated the fair value of stock options granted during the six months ended June 30, 2022 using the Black-Scholes option pricing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stock options granted were estimated using the following assumptions:</w:t>
      </w:r>
    </w:p>
    <w:tbl>
      <w:tblPr>
        <w:tblLayout w:type="fixed"/>
        <w:tblInd w:w="880" w:type="dxa"/>
        <w:tblCellMar>
          <w:top w:w="0" w:type="dxa"/>
          <w:left w:w="0" w:type="dxa"/>
          <w:bottom w:w="0" w:type="dxa"/>
          <w:right w:w="0" w:type="dxa"/>
        </w:tblCellMar>
      </w:tblP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2022</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Borders>
              <w:top w:val="single" w:sz="8" w:color="CFF0FC"/>
            </w:tcBorders>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5.6 years</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six months ended June 30,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1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Life In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Years</w:t>
            </w:r>
          </w:p>
        </w:tc>
        <w:tc>
          <w:tcPr>
            <w:tcW w:w="1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525,006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Exercisable at January 1, 2022</w:t>
            </w: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525,006</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Exercisable at June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June 30, 2022, the unamortized fair value of options was $276,817. The unamortized amount will be expensed over a weighted average period of 3.0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six months ended June 30, 2022, the Board granted various employees RSUs covering 1,018,450 shares of common stock under the 2013 Equity Incentive Plan. The awards vest over terms ranging from two to four years.</w:t>
      </w:r>
    </w:p>
    <w:p>
      <w:pPr>
        <w:spacing w:after="0" w:line="13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During the six months ended June 30, 2022, the Compensation Committee and the Board granted various non-employees RSUs covering 179,096 shares of common stock under the 2014 Non-employee Equity Compensation Plan. The awards vest over terms ranging from one to two years.</w:t>
      </w:r>
    </w:p>
    <w:p>
      <w:pPr>
        <w:spacing w:after="0" w:line="8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six months ended June 30, 2022, the Board granted various employees RSUs covering 20,000 shares of common stock under the 2017 Equity Inducement Plan. The awards vest over four years.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5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of June 30, 2022, the unamortized fair value of the RSUs was $2,927,707. The unamortized amount will be expensed over a weighted average period of 1.7 years. A summary of the activity related to RSUs for the six months ended June 30, 2022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7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1,709,273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1,217,546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RSUs forfeited</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(220,338)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RSUs vested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(603,569)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2,102,912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most recent offering period under the ESPP started on January 1, 2022 and concluded on June 30, 2022. During the year ended December 31, 2021, there were two offering periods. The first offering period began on January 1, 2021 and concluded on June 30, 2021. The second offering period began on July 1, 2021 and concluded on December 31, 2021.</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weighted-average grant-date fair value of the purchase option for each designated share purchased under this plan was approximately $0.40 and $0.75 for the six months ended June 30, 2022 and 2021,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$41,428 and $60,651 for the three months ended June 30, 2022 and 2021, respectively, and the Company recognized compensation expense for the ESPP of $82,401 and $117,967 for the six months ended June 30, 2022 and 2021, respectively.</w:t>
      </w:r>
    </w:p>
    <w:p>
      <w:pPr>
        <w:spacing w:after="0" w:line="1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estimated the fair value of ESPP purchase options granted during the six months ended June 30, 2022 and 2021 using the Black-Scholes option pricing model. The fair values of ESPP purchase options granted were estimated using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Six Months Ended</w:t>
            </w:r>
          </w:p>
        </w:tc>
        <w:tc>
          <w:tcPr>
            <w:tcW w:w="14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7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 months</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months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total stock-based compensation costs recognized for the three and six months ended June 30, 2022 and 2021:</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0" w:type="dxa"/>
            <w:vAlign w:val="bottom"/>
            <w:gridSpan w:val="5"/>
          </w:tcPr>
          <w:p>
            <w:pPr>
              <w:jc w:val="right"/>
              <w:ind w:right="693"/>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42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RSUs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601,029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1,471,826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1,346,649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3,560,736</w:t>
            </w:r>
          </w:p>
        </w:tc>
        <w:tc>
          <w:tcPr>
            <w:tcW w:w="120" w:type="dxa"/>
            <w:vAlign w:val="bottom"/>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PSUs</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2,695,847</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2,695,847</w:t>
            </w:r>
          </w:p>
        </w:tc>
        <w:tc>
          <w:tcPr>
            <w:tcW w:w="120" w:type="dxa"/>
            <w:vAlign w:val="bottom"/>
            <w:shd w:val="clear" w:color="auto" w:fill="CFF0FC"/>
          </w:tcPr>
          <w:p>
            <w:pPr>
              <w:spacing w:after="0"/>
              <w:rPr>
                <w:sz w:val="19"/>
                <w:szCs w:val="19"/>
                <w:color w:val="auto"/>
              </w:rPr>
            </w:pPr>
          </w:p>
        </w:tc>
      </w:tr>
      <w:tr>
        <w:trPr>
          <w:trHeight w:val="230"/>
        </w:trPr>
        <w:tc>
          <w:tcPr>
            <w:tcW w:w="2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w:t>
            </w:r>
          </w:p>
        </w:tc>
        <w:tc>
          <w:tcPr>
            <w:tcW w:w="14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60,651</w:t>
            </w:r>
          </w:p>
        </w:tc>
        <w:tc>
          <w:tcPr>
            <w:tcW w:w="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82,401</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117,967</w:t>
            </w:r>
          </w:p>
        </w:tc>
        <w:tc>
          <w:tcPr>
            <w:tcW w:w="120" w:type="dxa"/>
            <w:vAlign w:val="bottom"/>
            <w:tcBorders>
              <w:bottom w:val="single" w:sz="8" w:color="CFF0FC"/>
            </w:tcBorders>
          </w:tcPr>
          <w:p>
            <w:pPr>
              <w:spacing w:after="0"/>
              <w:rPr>
                <w:sz w:val="19"/>
                <w:szCs w:val="19"/>
                <w:color w:val="auto"/>
              </w:rPr>
            </w:pPr>
          </w:p>
        </w:tc>
      </w:tr>
      <w:tr>
        <w:trPr>
          <w:trHeight w:val="223"/>
        </w:trPr>
        <w:tc>
          <w:tcPr>
            <w:tcW w:w="2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663,787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4,228,324</w:t>
            </w:r>
          </w:p>
        </w:tc>
        <w:tc>
          <w:tcPr>
            <w:tcW w:w="4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1,460,693</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6,374,550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60" w:type="dxa"/>
            <w:vAlign w:val="bottom"/>
            <w:gridSpan w:val="5"/>
          </w:tcPr>
          <w:p>
            <w:pPr>
              <w:jc w:val="right"/>
              <w:ind w:right="713"/>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94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295,481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2,517,233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648,524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3,666,510</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54,399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1,032,414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234,776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1,481,361</w:t>
            </w:r>
          </w:p>
        </w:tc>
        <w:tc>
          <w:tcPr>
            <w:tcW w:w="10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226,245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678,677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489,731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1,226,679</w:t>
            </w:r>
          </w:p>
        </w:tc>
        <w:tc>
          <w:tcPr>
            <w:tcW w:w="100" w:type="dxa"/>
            <w:vAlign w:val="bottom"/>
            <w:shd w:val="clear" w:color="auto" w:fill="CFF0FC"/>
          </w:tcPr>
          <w:p>
            <w:pPr>
              <w:spacing w:after="0"/>
              <w:rPr>
                <w:sz w:val="19"/>
                <w:szCs w:val="19"/>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Severance expense</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87,662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87,662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663,787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4,228,324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1,460,693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6,374,550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November 2016, the Company and Dialog entered into the Alliance Agreement for the manufacture, distribution and commercialization of products incorporating the Company’s wire-free charging technology (See Note 4 – Commitments and Contingencies, </w:t>
      </w:r>
      <w:r>
        <w:rPr>
          <w:rFonts w:ascii="Arial" w:cs="Arial" w:eastAsia="Arial" w:hAnsi="Arial"/>
          <w:sz w:val="18"/>
          <w:szCs w:val="18"/>
          <w:i w:val="1"/>
          <w:iCs w:val="1"/>
          <w:color w:val="auto"/>
        </w:rPr>
        <w:t>Strategic Alliance Agreement</w:t>
      </w:r>
      <w:r>
        <w:rPr>
          <w:rFonts w:ascii="Arial" w:cs="Arial" w:eastAsia="Arial" w:hAnsi="Arial"/>
          <w:sz w:val="18"/>
          <w:szCs w:val="18"/>
          <w:color w:val="auto"/>
        </w:rPr>
        <w:t>). On November 7, 2016 and June 28, 2017, the Company and Dialog entered into securities purchase agreements under which Dialog acquired a total of 1,739,691 shares and received warrants to purchase up to 1,417,565 shares. As of March 31, 2022, none of the warrants remain outstanding. As of June 30, 2022, Dialog owns approximately 2.2% of the Company’s outstanding common shares. The Company did not record any revenue during the three or six months ended June 30, 2022 and 2021. The Company incurred $0 and $183,000 from Dialog in chip development expense during the three months ended June 30, 2022 and 2021, respectively, and the Company incurred $0 and $183,000 from Dialog in chip development expense during the six months ended June 30, 2022 and 2021, respectively.</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September 20, 2021, the Company was notified by Dialog, recently acquired by Renesas Electronics Corporation, that it was terminating the Alliance Agreement between the Company and Dialog.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Customer Concentrations</w:t>
      </w:r>
    </w:p>
    <w:p>
      <w:pPr>
        <w:spacing w:after="0" w:line="2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Four customers accounted for approximately 88% of the Company’s revenue for the three months ended June 30, 2022, and three customers accounted for approximately 64% of the Company’s revenue for the three months ended June 30, 2021. Four customers accounted for approximately 69% of the Company’s revenue for the six months ended June 30, 2022, and four customers accounted for approximately 72% of the Company’s revenue for the six months ended June 30, 2021. Four customers accounted for approximately 85% of the accounts receivable balance as of June 30, 2022. Four customers accounted for approximately 68% of the accounts receivable balance as of December 31, 2021.</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ind w:right="37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67" w:lineRule="auto"/>
        <w:rPr>
          <w:sz w:val="20"/>
          <w:szCs w:val="20"/>
          <w:color w:val="auto"/>
        </w:rPr>
      </w:pPr>
      <w:r>
        <w:rPr>
          <w:rFonts w:ascii="Arial" w:cs="Arial" w:eastAsia="Arial" w:hAnsi="Arial"/>
          <w:sz w:val="17"/>
          <w:szCs w:val="17"/>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and our response thereto on our business;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developed our WattUp® wireless power technology, consisting of semiconductor chipsets, software controls, hardware designs and antennas, that enables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recent report of the International Data Corporation, or the IDC, titled “Worldwide Global DataSphere IoT Device and Data Forecast, 2021–2025,” the IoT market is forecasted to grow to 39.3 billion devices by 2025. The initial IoT applications that we are targeting are in the area of RF tags and electronic shelf labeling (“ESL”) for the retail, industrial and healthcare markets.</w:t>
      </w:r>
    </w:p>
    <w:p>
      <w:pPr>
        <w:spacing w:after="0" w:line="2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support a myriad of wireless charging applications including Bluetooth tracking tags, IoT sensors, ESLs, beacons, stock management devices, security cameras, handheld devices, smart automation, wearables and hearables.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ind w:right="40"/>
        <w:spacing w:after="0" w:line="263" w:lineRule="auto"/>
        <w:rPr>
          <w:sz w:val="20"/>
          <w:szCs w:val="20"/>
          <w:color w:val="auto"/>
        </w:rPr>
      </w:pPr>
      <w:r>
        <w:rPr>
          <w:rFonts w:ascii="Arial" w:cs="Arial" w:eastAsia="Arial" w:hAnsi="Arial"/>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continue to monitor the ongoing effects of COVID-19 (including continued outbreaks) and the related business and travel restrictions and changes to behavior intended to reduce its spread, and its impact on our operations, financial position, cash flows, inventory, supply chains, global regulatory approvals, purchasing trends, customer payments, and the industry in general, in addition to the impact on our employees.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pandemic has delayed adoption of our technology by potential customers who have experienced workforce and supply chain disruptions, and who continue to evaluate their future prospects and business models, including partnerships with us. Further delays in the adoption of our current or future products could result from the ongoing pandemic.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follow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record revenue associated with the sale of production-level systems once control over the product is transferred to the customer. We record the expense related to the sales of these systems as cost of revenue during the period delivered.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Three Months Ended June 30, 2022 and 2021</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three months ended June 30, 2022 and 2021, we recorded revenue of $232,971 and $184,960, respectively. The increase of $48,011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in production-level systems revenue.</w:t>
      </w:r>
    </w:p>
    <w:p>
      <w:pPr>
        <w:spacing w:after="0" w:line="130"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i w:val="1"/>
          <w:iCs w:val="1"/>
          <w:color w:val="auto"/>
        </w:rPr>
        <w:t xml:space="preserve">Costs and Expenses and Loss from Operations. </w:t>
      </w:r>
      <w:r>
        <w:rPr>
          <w:rFonts w:ascii="Arial" w:cs="Arial" w:eastAsia="Arial" w:hAnsi="Arial"/>
          <w:sz w:val="18"/>
          <w:szCs w:val="18"/>
          <w:color w:val="auto"/>
        </w:rPr>
        <w:t>Costs and expenses are made up of cost of revenue, research and development,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and severance expenses. Losses from operations for the three months ended June 30, 2022 and 2021 were $7,064,798 and $11,016,839, respectively.</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$271,384 and $0, respectively, for the three months ended June 30, 2022 and 2021.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cost of revenue is for our production-level systems that are sold to customers. We did not incur any cost of revenue during the three months ended June 30, 2021.</w:t>
      </w:r>
    </w:p>
    <w:p>
      <w:pPr>
        <w:spacing w:after="0" w:line="1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 xml:space="preserve">Research and Development Costs. </w:t>
      </w:r>
      <w:r>
        <w:rPr>
          <w:rFonts w:ascii="Arial" w:cs="Arial" w:eastAsia="Arial" w:hAnsi="Arial"/>
          <w:sz w:val="16"/>
          <w:szCs w:val="16"/>
          <w:color w:val="auto"/>
        </w:rPr>
        <w:t>Research and development costs were $3,209,910 and $6,103,694, respectively,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and 2021. The decrease of $2,893,784 is primarily due to a $2,723,973 decrease in compensation, consisting of a $2,221,752 decrease in stock-based compensation, primarily due to equity awards becoming fully vested during the previous year and the transfer of the current CEO to the General and Administrative Department late last year after his promotion and a $502,221 decrease in payroll costs due to a lower headcount within the department and a $255,204 decrease in chip design and engineering supplies and components, partially offset by an $87,200 increase in recruiting fees.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 xml:space="preserve">Sales and Marketing Costs. </w:t>
      </w:r>
      <w:r>
        <w:rPr>
          <w:rFonts w:ascii="Arial" w:cs="Arial" w:eastAsia="Arial" w:hAnsi="Arial"/>
          <w:sz w:val="17"/>
          <w:szCs w:val="17"/>
          <w:color w:val="auto"/>
        </w:rPr>
        <w:t>Sales and marketing costs for the three months ended June 30, 2022 and 2021 were $1,158,092 and $2,441,357,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The decrease of $1,283,265 is primarily due to a $1,204,406 decrease in compensation, consisting of a $978,015 decrease in stock-based compensation, primarily due to equity awards becoming fully vested during the previous year and a lower headcount within the department and a $226,391 decrease in payroll costs due to a lower headcount within the department, a $72,994 decrease in legal fees and a $71,697 decrease in public relations, consulting and third party services expenses, partially offset by an $88,720 increase in recruiting fees.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costs for the three months ended June 30, 2022 and 2021 were $2,024,939 and</w:t>
      </w:r>
    </w:p>
    <w:p>
      <w:pPr>
        <w:spacing w:after="0" w:line="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$2,656,748, respectively. The decrease of $631,809 is primarily due to a $482,890 decrease in compensation, consisting of a $452,432 decrease in stock-based compensation from forfeited equity awards and a lower headcount within the department and a $30,458 decrease in payroll costs due to a lower headcount within the department, a $128,942 decrease in legal and accounting fees and a $77,556 decrease in annual meeting costs, partially offset by a $47,970 increase in recruiting fees.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three months ended June 30, 2022 was $47,049 as compared to interest income of $1,010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increase of $46,039 is primarily due to higher savings interest rates.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three months ended June 30, 2022 was $7,017,749 as compared to $11,015,829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and 2021</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six months ended June 30, 2022 and 2021, we recorded revenue of $448,932 and $330,025, respectively. The increase is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from sales to our production-level customer.</w:t>
      </w:r>
    </w:p>
    <w:p>
      <w:pPr>
        <w:spacing w:after="0" w:line="130"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i w:val="1"/>
          <w:iCs w:val="1"/>
          <w:color w:val="auto"/>
        </w:rPr>
        <w:t xml:space="preserve">Costs and Expenses and Loss from Operations. </w:t>
      </w:r>
      <w:r>
        <w:rPr>
          <w:rFonts w:ascii="Arial" w:cs="Arial" w:eastAsia="Arial" w:hAnsi="Arial"/>
          <w:sz w:val="18"/>
          <w:szCs w:val="18"/>
          <w:color w:val="auto"/>
        </w:rPr>
        <w:t>Costs and expenses are made up of cost of revenue, research and development,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and severance expenses. Losses from operations for the six months ended June 30, 2022 and 2021 were $14,220,342 and $19,544,626, respectively.</w:t>
      </w:r>
    </w:p>
    <w:p>
      <w:pPr>
        <w:spacing w:after="0" w:line="14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$474,633 and $0, respectively, for the six months ended June 30, 2022 and 2021.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cost of revenue is for our production-level systems that are sold to customers. We did not incur any cost of revenue during the six months ended June 30, 2021.</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Research and development costs were $6,737,056 and $10,694,938, respectively,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2021. The decrease of $3,957,882 is primarily due to a $3,834,747 decrease in compensation, consisting of a $3,017,986 decrease in stock-based compensation from the recognition of PSU award expense in 2021 and the transfer of the current CEO to the General and Administrative department towards the end of 2021 after his promotion and $816,761 decrease in payroll costs from a lower headcount within the department, a $267,023 decrease in consulting and third party expense and a $178,084 decrease in engineering</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supplies, components and chip development costs due to project timing, partially offset by a $112,850 increase in recruiting fees and an $89,221 increase in postage.</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Sales and Marketing Costs. </w:t>
      </w:r>
      <w:r>
        <w:rPr>
          <w:rFonts w:ascii="Arial" w:cs="Arial" w:eastAsia="Arial" w:hAnsi="Arial"/>
          <w:sz w:val="18"/>
          <w:szCs w:val="18"/>
          <w:color w:val="auto"/>
        </w:rPr>
        <w:t>Sales and marketing costs for the six months ended June 30, 2022 and 2021 were $2,771,682 and $4,235,569,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of $1,463,887 is primarily due to a $1,535,539 decrease in compensation, consisting of a $1,246,585 decrease in stock-based compensation from the recognition of PSU award expense during 2021 and a lower headcount within the department and a $288,954 decrease in payroll costs from a lower headcount within the department, a $156,242 decrease in public relations, consulting and third party services expense, a $90,087 decrease in legal fees and a $63,633 decrease in marketing and promotional expenses, partially offset by a $228,424 increase in tradeshow expense and an $88,720 increase in recruiting fees.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costs for the six months ended June 30, 2022 and 2021 were $4,052,459 and</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$4,944,144, respectively. The decrease of $891,685 is primarily due to a $924,192 decrease in compensation, consisting of a $736,948 decrease in stock-based compensation from the recognition of PSU award expense during 2021 and a $187,244 decrease in payroll costs from a lower headcount within the department, a $258,951 decrease in legal fees, a $45,309 decrease in rent and a $41,308 decrease in annual meeting costs, partially offset by a $157,964 increase in recruiting fees, a $42,228 increase in accounting and audit fees, a $38,202 increase in insurance premiums, a $37,279 increase in travel costs and a $32,627 increase in training, dues and subscriptions.</w:t>
      </w:r>
    </w:p>
    <w:p>
      <w:pPr>
        <w:spacing w:after="0" w:line="1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six months ended June 30, 2022 was $49,875 as compared to interest income of $3,034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increase of $46,841 is primarily due to higher savings interest rates.</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six months ended June 30, 2022 was $14,170,467 as compared to $19,541,592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six months ended June 30, 2022 and 2021, we recorded revenue of $448,932 and $330,025, respectively. We incurred net losses of $14,170,467 and $19,541,592 for the six months ended June 30, 2022 and 2021, respectively. Net cash used in operating activities was $13,453,948 and $12,537,690 for the six months ended June 30, 2022 and 2021, respectively. We are currently meeting our liquidity requirements through the proceeds of securities offerings that raised net proceeds of $53,556,202 during 2020 and $27,043,751 during the fourth quarter of 2021, proceeds from contributions to the ESPP and payments received from customers.</w:t>
      </w:r>
    </w:p>
    <w:p>
      <w:pPr>
        <w:spacing w:after="0" w:line="14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believe our cash on hand as of June 30, 2022, together with anticipated revenues, will be sufficient to fund our operations through August 2023. Although we intend to continue our research and development activities, there can be no assurance that our available resources will be sufficient to enable us to generate revenues sufficient to sustain operations. Accordingly, we will likely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w:t>
      </w:r>
    </w:p>
    <w:p>
      <w:pPr>
        <w:spacing w:after="0" w:line="14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During the six months ended June 30, 2022, cash flows used in operating activities were $13,453,948, consisting of a net loss of $14,170,467, less non-cash expenses aggregating $1,977,108 (principally stock-based compensation of $1,460,693, amortization of operating lease right-of-use assets of $371,604 and depreciation and amortization expense of $127,311), a $403,029 decrease in operating lease liabilities, a $391,009 increase in prepaid expenses and other current assets, a $230,619 decrease in accrued severance expense, a $197,025 decrease in accounts payable, a $52,153 increase in inventory and a $50,554 decrease in accrued expenses, partially offset by a $55,819 decrease in accounts receivable.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jc w:val="both"/>
        <w:ind w:right="560"/>
        <w:spacing w:after="0" w:line="259" w:lineRule="auto"/>
        <w:rPr>
          <w:sz w:val="20"/>
          <w:szCs w:val="20"/>
          <w:color w:val="auto"/>
        </w:rPr>
      </w:pPr>
      <w:r>
        <w:rPr>
          <w:rFonts w:ascii="Arial" w:cs="Arial" w:eastAsia="Arial" w:hAnsi="Arial"/>
          <w:sz w:val="18"/>
          <w:szCs w:val="18"/>
          <w:color w:val="auto"/>
        </w:rPr>
        <w:t>During the six months ended June 30, 2021, cash flows used in operating activities were $12,537,690, consisting of a net loss of $19,541,592, less non-cash expenses aggregating $6,894,871 (principally stock-based compensation of $6,374,550, amortization of operating lease right-of-use assets of $393,936 and depreciation and amortization expense of $126,385) and a $555,702 increase in accounts payable, partially offset by a $422,533 decrease in operating lease liabilities and a $46,120 increase in accounts receivable.</w:t>
      </w:r>
    </w:p>
    <w:p>
      <w:pPr>
        <w:spacing w:after="0" w:line="16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During the six months ended June 30, 2022 and 2021, cash flows used in investing activities were $112,509 and $203,004, respectively. The cash used in investing activities for the six months ended June 30, 2022 consisted of the purchase of new testing equipment and engineering software. The cash used in investing activities for the six months ended June 30, 2021 consisted of the purchase of new testing equipment and engineering software.</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six months ended June 30, 2022, cash flows provided by financing activities were $164,728, which consisted of entirely of proceeds from contributions to the ESPP. During the six months ended June 30, 2021, cash flows provided by financing activities were $237,247, which consisted entirely of proceeds from contributions to the ESPP.</w:t>
      </w:r>
    </w:p>
    <w:p>
      <w:pPr>
        <w:spacing w:after="0" w:line="14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There has been no material change in our exposure to market risk during the three months ended June 30, 2022. See "Quantitative and Qualitative Disclosures about Market Risk" in Part II, Item 7A of our Form 10-K for the year ended December 31, 2021 for a discussion of our exposure to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their evaluation as of June 30, 2022, our principal executive and principal financial officers have concluded that these disclosure controls and procedures (as defined in Rules 13a-15(e) and 15d-15(e) under the Exchange Act) were effective as of June 30, 2022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quarter ended June 30, 2022,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520" w:firstLine="58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have a limited operating history upon which investors may rely in evaluating our business and prospects. We have generated limited revenues to date, and as of June 30, 2022, we had an accumulated deficit of approximately $351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likely need additional financings to achieve our long-term business plans, and there is no guarantee that it will be available on acceptable terms, or at all.</w:t>
      </w:r>
    </w:p>
    <w:p>
      <w:pPr>
        <w:spacing w:after="0" w:line="130"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ability to borrow from other sources. In addition, such securities may contain rights, preferences or privileges senior to those of current stockholders. As a result of potential worsening global economic conditions and general global economic uncertainty (including as a result of actual or perceived disruption caused by COVID-19, including the “delta”, “omicron” or any other variants, or other infectious diseases, the ongoing conflict between Russia and the Ukraine and the global sanctions imposed in response thereto, increases in inflation, fluctuating interest rates and disruptions to global supply chains),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185"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Inflation has the potential to adversely affect our liquidity, business, financial condition and results of operations by increasing our overall cost structure. The existence of inflation in the economy has resulted in, and may continue to result in, higher interest rates and capital costs, shipping costs, supply shortages, increased costs of labor, weakening exchange rates and other similar effects. As a result of inflation, we have and may continue to experience cost increases, including increases in our supply chain costs. Additionally, because we purchase component parts from our suppliers, we may be adversely impacted by their inability to adequately mitigate inflationary, industry, or economic pressures.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85" w:lineRule="exact"/>
        <w:rPr>
          <w:sz w:val="20"/>
          <w:szCs w:val="20"/>
          <w:color w:val="auto"/>
        </w:rPr>
      </w:pPr>
    </w:p>
    <w:p>
      <w:pPr>
        <w:ind w:right="500" w:firstLine="58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8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2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If we fail to develop practical and economical commercial products based on our technology, our business may fail and you could lose all or part of the value of your investment in our stock.</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87" w:lineRule="exact"/>
        <w:rPr>
          <w:sz w:val="20"/>
          <w:szCs w:val="20"/>
          <w:color w:val="auto"/>
        </w:rPr>
      </w:pPr>
    </w:p>
    <w:p>
      <w:pPr>
        <w:ind w:right="120" w:firstLine="589"/>
        <w:spacing w:after="0" w:line="253" w:lineRule="auto"/>
        <w:rPr>
          <w:sz w:val="20"/>
          <w:szCs w:val="20"/>
          <w:color w:val="auto"/>
        </w:rPr>
      </w:pPr>
      <w:r>
        <w:rPr>
          <w:rFonts w:ascii="Arial" w:cs="Arial" w:eastAsia="Arial" w:hAnsi="Arial"/>
          <w:sz w:val="18"/>
          <w:szCs w:val="18"/>
          <w:color w:val="auto"/>
        </w:rPr>
        <w:t>Any outbreaks of contagious diseases and other adverse public health developments in countries where we, our customers and suppliers operate could have a material and adverse effect on our business, results of operations and financial condition. For example, the COVID-19 pandemic has resulted in significant governmental measures being implemented to control the spread of the virus, including quarantines, travel restrictions, manufacturing restrictions, declarations of states of emergency, business shutdown and restrictions on the movement of employees in China, the United States and many other countries. A majority of our potential customers have a significant dependence on the Chinese manufacturing and supply chain infrastructure. We believe the COVID-19 pandemic has delayed adoption of our technology by potential customers who temporarily shut down their workforces and supply chains based in China and elsewhere around the world.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 w:name="page27"/>
    <w:bookmarkEnd w:id="26"/>
    <w:p>
      <w:pPr>
        <w:ind w:right="60" w:firstLine="589"/>
        <w:spacing w:after="0" w:line="287" w:lineRule="auto"/>
        <w:rPr>
          <w:sz w:val="20"/>
          <w:szCs w:val="20"/>
          <w:color w:val="auto"/>
        </w:rPr>
      </w:pPr>
      <w:r>
        <w:rPr>
          <w:rFonts w:ascii="Arial" w:cs="Arial" w:eastAsia="Arial" w:hAnsi="Arial"/>
          <w:sz w:val="16"/>
          <w:szCs w:val="16"/>
          <w:color w:val="auto"/>
        </w:rPr>
        <w:t>In the United States, COVID-19 has resulted in travel and other restrictions in order to reduce the spread of the disease, including executive orders in California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developments, we have implemented work-from-home policies for our employees that will likely remain in effect in some form through the end of 2022 and possibly longer.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through the first half of 2022. Several new variants of COVID-19 have emerged and may be more transmissible than other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are still uncertain as of the date of this report.</w:t>
      </w:r>
    </w:p>
    <w:p>
      <w:pPr>
        <w:spacing w:after="0" w:line="195"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0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30"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62"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b w:val="1"/>
          <w:bCs w:val="1"/>
          <w:i w:val="1"/>
          <w:iCs w:val="1"/>
          <w:color w:val="auto"/>
        </w:rPr>
        <w:t>As products incorporating our technology are launched commercially, we may experience seasonality or other unevenness in our financial results in consumer markets or a long and variable sales cycle in enterprise markets.</w:t>
      </w:r>
    </w:p>
    <w:p>
      <w:pPr>
        <w:spacing w:after="0" w:line="143"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43"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70"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52"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3"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4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880" w:right="2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117"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harmed.</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8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52"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2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188"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b w:val="1"/>
          <w:bCs w:val="1"/>
          <w:i w:val="1"/>
          <w:iCs w:val="1"/>
          <w:color w:val="auto"/>
        </w:rPr>
        <w:t>Our strategic relationship with Dialog, a provider of electronics products, has been terminated, and there can be no assurance that we will find a suitable replacement or be able to conduct the same activities internally.</w:t>
      </w:r>
    </w:p>
    <w:p>
      <w:pPr>
        <w:spacing w:after="0" w:line="130"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were historically party to an Alliance Agreement with Dialog, a provider of electronics products, pursuant to which we licensed our WattUp technology to Dialog and it became the exclusive provider of our technology. In November 2021, we were informed that Dialog was acquired by the Japanese chipmaker, Renesas Electronics, and that Dialog, under the control of Renesas Electronics would not be continuing our relationship. As we transfer our supply chains away from Dialog, we have been developing our own internal capabilities and are partnering once again with the foundry partner that supported our manufacturing process before we entered into the Alliance Agreement. While we have seen no major impact to-date as a result of the termination of our relationship with Dialog, the process of transferring our supply chains away from Dialog may result in manufacturing delays, increases in manufacturing or sales costs or reduced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08"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200" w:firstLine="58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54"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25"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43"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98"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continuation of any litigation could have a material adverse effect on our ability to raise the funds necessary to continue our operations.</w:t>
      </w:r>
    </w:p>
    <w:p>
      <w:pPr>
        <w:spacing w:after="0" w:line="198"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2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9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p>
    <w:p>
      <w:pPr>
        <w:spacing w:after="0" w:line="193"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2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charging technology involves power transmission using RF energy, which is subject to regulation by the Federal Communications Commission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ind w:right="80"/>
        <w:spacing w:after="0" w:line="257" w:lineRule="auto"/>
        <w:rPr>
          <w:sz w:val="20"/>
          <w:szCs w:val="20"/>
          <w:color w:val="auto"/>
        </w:rPr>
      </w:pPr>
      <w:r>
        <w:rPr>
          <w:rFonts w:ascii="Arial" w:cs="Arial" w:eastAsia="Arial" w:hAnsi="Arial"/>
          <w:sz w:val="18"/>
          <w:szCs w:val="18"/>
          <w:color w:val="auto"/>
        </w:rPr>
        <w:t>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Personnel</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73"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necessary,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98"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8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43"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3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33"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December 31, 2021, we cannot assure you that we will not identify any material weakness in our internal control in the future.</w:t>
      </w:r>
    </w:p>
    <w:p>
      <w:pPr>
        <w:spacing w:after="0" w:line="143"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38"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or part of your investment.</w:t>
      </w:r>
    </w:p>
    <w:p>
      <w:pPr>
        <w:spacing w:after="0" w:line="198"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85"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62"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860" w:right="140" w:hanging="420"/>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increases in inflation or fluctuating interest rates and disruptions to global supply chains, and perceptions of future economic growth prospects in the economy at large;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ind w:left="860" w:right="400" w:hanging="420"/>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 such as the ongoing conflict between Russia and the Ukraine and the global sanctions imposed in response thereto;</w:t>
      </w:r>
    </w:p>
    <w:p>
      <w:pPr>
        <w:spacing w:after="0" w:line="62" w:lineRule="exact"/>
        <w:rPr>
          <w:rFonts w:ascii="Arial" w:cs="Arial" w:eastAsia="Arial" w:hAnsi="Arial"/>
          <w:sz w:val="18"/>
          <w:szCs w:val="18"/>
          <w:color w:val="auto"/>
        </w:rPr>
      </w:pPr>
    </w:p>
    <w:p>
      <w:pPr>
        <w:ind w:left="860" w:right="400" w:hanging="420"/>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and other calamities, including global pandemics such as the COVID-19 pandemic, including in particular the “delta” and “omicron” variants;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limited number of holders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98"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9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43"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As of December 31, 2021, we had a Federal net operating loss (“NOL”) carry forwards of approximately $241,988,000.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2021, based on our history of operating losses it is possible that a portion of our NOLs will not be fully realizable.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8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Provisions of our certificate of incorporation and bylaws, and applicable Delaware law, may delay or discourage transactions involving an actual or potential change in control or change in our management, including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right="100"/>
        <w:spacing w:after="0" w:line="277" w:lineRule="auto"/>
        <w:rPr>
          <w:sz w:val="20"/>
          <w:szCs w:val="20"/>
          <w:color w:val="auto"/>
        </w:rPr>
      </w:pPr>
      <w:r>
        <w:rPr>
          <w:rFonts w:ascii="Arial" w:cs="Arial" w:eastAsia="Arial" w:hAnsi="Arial"/>
          <w:sz w:val="18"/>
          <w:szCs w:val="18"/>
          <w:color w:val="auto"/>
        </w:rPr>
        <w:t>transactions in which stockholders might otherwise receive a premium for their shares, or transactions that our stockholders might otherwise deem to be in their best interests. The provisions in our certificate of incorporation and bylaws:</w:t>
      </w:r>
    </w:p>
    <w:p>
      <w:pPr>
        <w:spacing w:after="0" w:line="62" w:lineRule="exact"/>
        <w:rPr>
          <w:sz w:val="20"/>
          <w:szCs w:val="20"/>
          <w:color w:val="auto"/>
        </w:rPr>
      </w:pPr>
    </w:p>
    <w:p>
      <w:pPr>
        <w:ind w:left="880" w:right="240" w:hanging="440"/>
        <w:spacing w:after="0" w:line="26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185"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Sales of Unregistered Securities;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as a part of this report are listed in the Exhibit Index.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00" w:type="dxa"/>
            <w:vAlign w:val="bottom"/>
            <w:gridSpan w:val="5"/>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580" w:type="dxa"/>
            <w:vAlign w:val="bottom"/>
          </w:tcPr>
          <w:p>
            <w:pPr>
              <w:spacing w:after="0"/>
              <w:rPr>
                <w:sz w:val="24"/>
                <w:szCs w:val="24"/>
                <w:color w:val="auto"/>
              </w:rPr>
            </w:pPr>
          </w:p>
        </w:tc>
        <w:tc>
          <w:tcPr>
            <w:tcW w:w="6600" w:type="dxa"/>
            <w:vAlign w:val="bottom"/>
            <w:gridSpan w:val="5"/>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580" w:type="dxa"/>
            <w:vAlign w:val="bottom"/>
          </w:tcPr>
          <w:p>
            <w:pPr>
              <w:spacing w:after="0"/>
              <w:rPr>
                <w:sz w:val="14"/>
                <w:szCs w:val="14"/>
                <w:color w:val="auto"/>
              </w:rPr>
            </w:pPr>
          </w:p>
        </w:tc>
        <w:tc>
          <w:tcPr>
            <w:tcW w:w="6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34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0000EE"/>
                <w:w w:val="90"/>
              </w:rPr>
              <w:t>Third Amendment to Lease dated as of May 20, 2022 between the Company and Balzer Family Investments, L.P. (filed herewith)</w:t>
            </w:r>
          </w:p>
        </w:tc>
        <w:tc>
          <w:tcPr>
            <w:tcW w:w="84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89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Periodic Report by Chief Executive Officer (principal executive officer) pursuant to Rule 13a-14(a)/15d-14a</w:t>
            </w:r>
          </w:p>
        </w:tc>
        <w:tc>
          <w:tcPr>
            <w:tcW w:w="1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0000EE"/>
                <w:w w:val="98"/>
              </w:rPr>
              <w:t>Certification of Periodic Report by the Acting Chief Financial Officer (principal financial officer) pursuant to Rule 13a-14(a)/15d-14a</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0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0000EE"/>
                <w:w w:val="96"/>
              </w:rPr>
              <w:t>Certification of Periodic Report by Chief Executive Officer (principal executive officer) and the Acting Chief Financial Officer (principal</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financial officer) pursuant to U.S.C. Section 1350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8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Inline XBRL Instance Document (filed herewith)</w:t>
            </w:r>
          </w:p>
        </w:tc>
        <w:tc>
          <w:tcPr>
            <w:tcW w:w="6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0" w:type="dxa"/>
            <w:vAlign w:val="bottom"/>
          </w:tcPr>
          <w:p>
            <w:pPr>
              <w:spacing w:after="0"/>
              <w:rPr>
                <w:sz w:val="1"/>
                <w:szCs w:val="1"/>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087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68" w:lineRule="exact"/>
        <w:rPr>
          <w:sz w:val="20"/>
          <w:szCs w:val="20"/>
          <w:color w:val="auto"/>
        </w:rPr>
      </w:pPr>
    </w:p>
    <w:p>
      <w:pPr>
        <w:ind w:left="440" w:right="120" w:hanging="432"/>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300" w:val="left"/>
          <w:tab w:leader="none" w:pos="582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Cesar Johnston</w:t>
      </w:r>
    </w:p>
    <w:p>
      <w:pPr>
        <w:spacing w:after="0" w:line="36"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Title:</w:t>
        <w:tab/>
        <w:t>Chief Executive Officer</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tabs>
          <w:tab w:leader="none" w:pos="5300" w:val="left"/>
          <w:tab w:leader="none" w:pos="582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Mannina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Mannina</w:t>
      </w:r>
    </w:p>
    <w:p>
      <w:pPr>
        <w:spacing w:after="0" w:line="36"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18"/>
          <w:szCs w:val="18"/>
          <w:color w:val="auto"/>
        </w:rPr>
        <w:t>Title:</w:t>
        <w:tab/>
        <w:t>Acting Chief Financial Officer</w:t>
      </w:r>
    </w:p>
    <w:p>
      <w:pPr>
        <w:spacing w:after="0" w:line="3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51"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THIRD AMENDMENT TO LEASE</w:t>
      </w:r>
    </w:p>
    <w:p>
      <w:pPr>
        <w:spacing w:after="0" w:line="206" w:lineRule="exact"/>
        <w:rPr>
          <w:sz w:val="20"/>
          <w:szCs w:val="20"/>
          <w:color w:val="auto"/>
        </w:rPr>
      </w:pPr>
    </w:p>
    <w:p>
      <w:pPr>
        <w:jc w:val="both"/>
        <w:ind w:right="20" w:firstLine="864"/>
        <w:spacing w:after="0" w:line="238" w:lineRule="auto"/>
        <w:rPr>
          <w:sz w:val="20"/>
          <w:szCs w:val="20"/>
          <w:color w:val="auto"/>
        </w:rPr>
      </w:pPr>
      <w:r>
        <w:rPr>
          <w:rFonts w:ascii="Arial" w:cs="Arial" w:eastAsia="Arial" w:hAnsi="Arial"/>
          <w:sz w:val="22"/>
          <w:szCs w:val="22"/>
          <w:color w:val="auto"/>
        </w:rPr>
        <w:t>This Third Amendment to Lease (“‘Third Amendment”), dated as of May 20, 2022, is entered into by and between Balzer Family Investments, L.P., a California limited partnership (“Lessor”), and Energous Corporation, a Delaware corporation (“Lessee”). Any capitalized terms in this Third Amendment that are not defined herein shall have the meaning given to them in the Lease (defined below).</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right="20" w:firstLine="872"/>
        <w:spacing w:after="0"/>
        <w:tabs>
          <w:tab w:leader="none" w:pos="1721" w:val="left"/>
        </w:tabs>
        <w:numPr>
          <w:ilvl w:val="0"/>
          <w:numId w:val="11"/>
        </w:numPr>
        <w:rPr>
          <w:rFonts w:ascii="Arial" w:cs="Arial" w:eastAsia="Arial" w:hAnsi="Arial"/>
          <w:sz w:val="22"/>
          <w:szCs w:val="22"/>
          <w:color w:val="auto"/>
        </w:rPr>
      </w:pPr>
      <w:r>
        <w:rPr>
          <w:rFonts w:ascii="Arial" w:cs="Arial" w:eastAsia="Arial" w:hAnsi="Arial"/>
          <w:sz w:val="22"/>
          <w:szCs w:val="22"/>
          <w:color w:val="auto"/>
        </w:rPr>
        <w:t>Lessor and Lessee entered into that certain Lease dated September 10, 2014 (the “Original Lease”) for the premises consisting of approximately 15,300 rentable square feet (the “Original Premises”) on the second floor of that certain office building located at 3590 North First Street, San Jose, California (the “Building”).</w:t>
      </w:r>
    </w:p>
    <w:p>
      <w:pPr>
        <w:spacing w:after="0" w:line="186" w:lineRule="exact"/>
        <w:rPr>
          <w:rFonts w:ascii="Arial" w:cs="Arial" w:eastAsia="Arial" w:hAnsi="Arial"/>
          <w:sz w:val="22"/>
          <w:szCs w:val="22"/>
          <w:color w:val="auto"/>
        </w:rPr>
      </w:pPr>
    </w:p>
    <w:p>
      <w:pPr>
        <w:jc w:val="both"/>
        <w:ind w:right="20" w:firstLine="872"/>
        <w:spacing w:after="0" w:line="279" w:lineRule="auto"/>
        <w:tabs>
          <w:tab w:leader="none" w:pos="1710" w:val="left"/>
        </w:tabs>
        <w:numPr>
          <w:ilvl w:val="0"/>
          <w:numId w:val="11"/>
        </w:numPr>
        <w:rPr>
          <w:rFonts w:ascii="Arial" w:cs="Arial" w:eastAsia="Arial" w:hAnsi="Arial"/>
          <w:sz w:val="19"/>
          <w:szCs w:val="19"/>
          <w:color w:val="auto"/>
        </w:rPr>
      </w:pPr>
      <w:r>
        <w:rPr>
          <w:rFonts w:ascii="Arial" w:cs="Arial" w:eastAsia="Arial" w:hAnsi="Arial"/>
          <w:sz w:val="19"/>
          <w:szCs w:val="19"/>
          <w:color w:val="auto"/>
        </w:rPr>
        <w:t>Pursuant to that certain First Amendment to Lease dated June 1, 2019 (“First Amendment”), Lessor leased to Lessee, and Lessee leased from Lessor, additional space in the Building consisting of approximately 5,888 rentable square feet (the “Additional Premises”), and pursuant to that certain Second Amendment to Lease dated July 1, 2019 (“Second Amendment”), the term of the Lease was extended through September 30, 2022. The Original Lease, the First Amendment and the Second Amendment are referred to collectively herein as the “Lease” and the Original Premises and the Additional Premises are referred to collectively herein as the “Premises,” which consist of total area of approximately 21,188 rentable square feet.</w:t>
      </w:r>
    </w:p>
    <w:p>
      <w:pPr>
        <w:spacing w:after="0" w:line="150" w:lineRule="exact"/>
        <w:rPr>
          <w:rFonts w:ascii="Arial" w:cs="Arial" w:eastAsia="Arial" w:hAnsi="Arial"/>
          <w:sz w:val="19"/>
          <w:szCs w:val="19"/>
          <w:color w:val="auto"/>
        </w:rPr>
      </w:pPr>
    </w:p>
    <w:p>
      <w:pPr>
        <w:ind w:left="1720" w:hanging="848"/>
        <w:spacing w:after="0"/>
        <w:tabs>
          <w:tab w:leader="none" w:pos="1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Term of the Lease will expire on September 30, 2022.</w:t>
      </w:r>
    </w:p>
    <w:p>
      <w:pPr>
        <w:spacing w:after="0" w:line="206" w:lineRule="exact"/>
        <w:rPr>
          <w:rFonts w:ascii="Arial" w:cs="Arial" w:eastAsia="Arial" w:hAnsi="Arial"/>
          <w:sz w:val="22"/>
          <w:szCs w:val="22"/>
          <w:color w:val="auto"/>
        </w:rPr>
      </w:pPr>
    </w:p>
    <w:p>
      <w:pPr>
        <w:ind w:right="40" w:firstLine="872"/>
        <w:spacing w:after="0" w:line="250" w:lineRule="auto"/>
        <w:tabs>
          <w:tab w:leader="none" w:pos="1721" w:val="left"/>
        </w:tabs>
        <w:numPr>
          <w:ilvl w:val="0"/>
          <w:numId w:val="11"/>
        </w:numPr>
        <w:rPr>
          <w:rFonts w:ascii="Arial" w:cs="Arial" w:eastAsia="Arial" w:hAnsi="Arial"/>
          <w:sz w:val="22"/>
          <w:szCs w:val="22"/>
          <w:color w:val="auto"/>
        </w:rPr>
      </w:pPr>
      <w:r>
        <w:rPr>
          <w:rFonts w:ascii="Arial" w:cs="Arial" w:eastAsia="Arial" w:hAnsi="Arial"/>
          <w:sz w:val="22"/>
          <w:szCs w:val="22"/>
          <w:color w:val="auto"/>
        </w:rPr>
        <w:t>Accordingly, Lessor and Lessee desire to extend the Term of the Lease for a period of three (3) years on the terms and conditions set forth herein.</w:t>
      </w:r>
    </w:p>
    <w:p>
      <w:pPr>
        <w:spacing w:after="0" w:line="175"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consideration of the mutual covenants set forth herein and other valuable consideration, Lessor and Lessee agree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20" w:firstLine="1735"/>
        <w:spacing w:after="0" w:line="250" w:lineRule="auto"/>
        <w:tabs>
          <w:tab w:leader="none" w:pos="2537"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Paragraph 2 of the Lease is hereby amended to extend the Term of the Lease for a period of three (3) years, so that the Term will now expire on September 30, 2025 (“Expiration Date”).</w:t>
      </w:r>
    </w:p>
    <w:p>
      <w:pPr>
        <w:spacing w:after="0" w:line="174" w:lineRule="exact"/>
        <w:rPr>
          <w:rFonts w:ascii="Arial" w:cs="Arial" w:eastAsia="Arial" w:hAnsi="Arial"/>
          <w:sz w:val="22"/>
          <w:szCs w:val="22"/>
          <w:color w:val="auto"/>
        </w:rPr>
      </w:pPr>
    </w:p>
    <w:p>
      <w:pPr>
        <w:ind w:right="20" w:firstLine="1735"/>
        <w:spacing w:after="0" w:line="274" w:lineRule="auto"/>
        <w:tabs>
          <w:tab w:leader="none" w:pos="2537"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Monthly Base Rent</w:t>
      </w:r>
      <w:r>
        <w:rPr>
          <w:rFonts w:ascii="Arial" w:cs="Arial" w:eastAsia="Arial" w:hAnsi="Arial"/>
          <w:sz w:val="21"/>
          <w:szCs w:val="21"/>
          <w:color w:val="auto"/>
        </w:rPr>
        <w:t>. Paragraph 3(c) of the Lease is hereby amended to provide that, as of October 1, 2022, Lessee shall pay Monthly Base Rent for the Premises in accordance with the following schedule: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22"/>
                <w:szCs w:val="22"/>
                <w:color w:val="auto"/>
                <w:w w:val="90"/>
              </w:rPr>
              <w:t>Months of Term</w:t>
            </w: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340" w:type="dxa"/>
            <w:vAlign w:val="bottom"/>
            <w:gridSpan w:val="2"/>
          </w:tcPr>
          <w:p>
            <w:pPr>
              <w:jc w:val="center"/>
              <w:ind w:right="2660"/>
              <w:spacing w:after="0"/>
              <w:rPr>
                <w:sz w:val="20"/>
                <w:szCs w:val="20"/>
                <w:color w:val="auto"/>
              </w:rPr>
            </w:pPr>
            <w:r>
              <w:rPr>
                <w:rFonts w:ascii="Arial" w:cs="Arial" w:eastAsia="Arial" w:hAnsi="Arial"/>
                <w:sz w:val="22"/>
                <w:szCs w:val="22"/>
                <w:color w:val="auto"/>
                <w:w w:val="90"/>
              </w:rPr>
              <w:t>Monthly Base Rent</w:t>
            </w:r>
          </w:p>
        </w:tc>
      </w:tr>
      <w:tr>
        <w:trPr>
          <w:trHeight w:val="20"/>
        </w:trPr>
        <w:tc>
          <w:tcPr>
            <w:tcW w:w="30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90"/>
        </w:trPr>
        <w:tc>
          <w:tcPr>
            <w:tcW w:w="5940" w:type="dxa"/>
            <w:vAlign w:val="bottom"/>
            <w:gridSpan w:val="3"/>
          </w:tcPr>
          <w:p>
            <w:pPr>
              <w:jc w:val="center"/>
              <w:ind w:left="1512"/>
              <w:spacing w:after="0"/>
              <w:rPr>
                <w:sz w:val="20"/>
                <w:szCs w:val="20"/>
                <w:color w:val="auto"/>
              </w:rPr>
            </w:pPr>
            <w:r>
              <w:rPr>
                <w:rFonts w:ascii="Arial" w:cs="Arial" w:eastAsia="Arial" w:hAnsi="Arial"/>
                <w:sz w:val="22"/>
                <w:szCs w:val="22"/>
                <w:color w:val="auto"/>
                <w:w w:val="87"/>
              </w:rPr>
              <w:t>Oct 1, 2022 - Sep 30, 2023</w:t>
            </w:r>
          </w:p>
        </w:tc>
        <w:tc>
          <w:tcPr>
            <w:tcW w:w="980" w:type="dxa"/>
            <w:vAlign w:val="bottom"/>
          </w:tcPr>
          <w:p>
            <w:pPr>
              <w:spacing w:after="0"/>
              <w:rPr>
                <w:sz w:val="24"/>
                <w:szCs w:val="24"/>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22"/>
                <w:szCs w:val="22"/>
                <w:color w:val="auto"/>
                <w:w w:val="89"/>
              </w:rPr>
              <w:t>$58,902.64/month</w:t>
            </w:r>
          </w:p>
        </w:tc>
      </w:tr>
      <w:tr>
        <w:trPr>
          <w:trHeight w:val="459"/>
        </w:trPr>
        <w:tc>
          <w:tcPr>
            <w:tcW w:w="5940" w:type="dxa"/>
            <w:vAlign w:val="bottom"/>
            <w:gridSpan w:val="3"/>
          </w:tcPr>
          <w:p>
            <w:pPr>
              <w:jc w:val="center"/>
              <w:ind w:left="1512"/>
              <w:spacing w:after="0"/>
              <w:rPr>
                <w:sz w:val="20"/>
                <w:szCs w:val="20"/>
                <w:color w:val="auto"/>
              </w:rPr>
            </w:pPr>
            <w:r>
              <w:rPr>
                <w:rFonts w:ascii="Arial" w:cs="Arial" w:eastAsia="Arial" w:hAnsi="Arial"/>
                <w:sz w:val="22"/>
                <w:szCs w:val="22"/>
                <w:color w:val="auto"/>
                <w:w w:val="87"/>
              </w:rPr>
              <w:t>Oct 1, 2023 - Sep 30, 2024</w:t>
            </w:r>
          </w:p>
        </w:tc>
        <w:tc>
          <w:tcPr>
            <w:tcW w:w="980" w:type="dxa"/>
            <w:vAlign w:val="bottom"/>
          </w:tcPr>
          <w:p>
            <w:pPr>
              <w:spacing w:after="0"/>
              <w:rPr>
                <w:sz w:val="24"/>
                <w:szCs w:val="24"/>
                <w:color w:val="auto"/>
              </w:rPr>
            </w:pPr>
          </w:p>
        </w:tc>
        <w:tc>
          <w:tcPr>
            <w:tcW w:w="4340" w:type="dxa"/>
            <w:vAlign w:val="bottom"/>
            <w:gridSpan w:val="2"/>
          </w:tcPr>
          <w:p>
            <w:pPr>
              <w:jc w:val="center"/>
              <w:ind w:right="2640"/>
              <w:spacing w:after="0"/>
              <w:rPr>
                <w:sz w:val="20"/>
                <w:szCs w:val="20"/>
                <w:color w:val="auto"/>
              </w:rPr>
            </w:pPr>
            <w:r>
              <w:rPr>
                <w:rFonts w:ascii="Arial" w:cs="Arial" w:eastAsia="Arial" w:hAnsi="Arial"/>
                <w:sz w:val="22"/>
                <w:szCs w:val="22"/>
                <w:color w:val="auto"/>
                <w:w w:val="89"/>
              </w:rPr>
              <w:t>$60,669.72/month</w:t>
            </w:r>
          </w:p>
        </w:tc>
      </w:tr>
      <w:tr>
        <w:trPr>
          <w:trHeight w:val="459"/>
        </w:trPr>
        <w:tc>
          <w:tcPr>
            <w:tcW w:w="5940" w:type="dxa"/>
            <w:vAlign w:val="bottom"/>
            <w:gridSpan w:val="3"/>
          </w:tcPr>
          <w:p>
            <w:pPr>
              <w:jc w:val="center"/>
              <w:ind w:left="1512"/>
              <w:spacing w:after="0"/>
              <w:rPr>
                <w:sz w:val="20"/>
                <w:szCs w:val="20"/>
                <w:color w:val="auto"/>
              </w:rPr>
            </w:pPr>
            <w:r>
              <w:rPr>
                <w:rFonts w:ascii="Arial" w:cs="Arial" w:eastAsia="Arial" w:hAnsi="Arial"/>
                <w:sz w:val="22"/>
                <w:szCs w:val="22"/>
                <w:color w:val="auto"/>
                <w:w w:val="87"/>
              </w:rPr>
              <w:t>Oct 1, 2024 - Sep 30, 2025</w:t>
            </w:r>
          </w:p>
        </w:tc>
        <w:tc>
          <w:tcPr>
            <w:tcW w:w="980" w:type="dxa"/>
            <w:vAlign w:val="bottom"/>
          </w:tcPr>
          <w:p>
            <w:pPr>
              <w:spacing w:after="0"/>
              <w:rPr>
                <w:sz w:val="24"/>
                <w:szCs w:val="24"/>
                <w:color w:val="auto"/>
              </w:rPr>
            </w:pPr>
          </w:p>
        </w:tc>
        <w:tc>
          <w:tcPr>
            <w:tcW w:w="4340" w:type="dxa"/>
            <w:vAlign w:val="bottom"/>
            <w:gridSpan w:val="2"/>
          </w:tcPr>
          <w:p>
            <w:pPr>
              <w:jc w:val="center"/>
              <w:ind w:right="2660"/>
              <w:spacing w:after="0"/>
              <w:rPr>
                <w:sz w:val="20"/>
                <w:szCs w:val="20"/>
                <w:color w:val="auto"/>
              </w:rPr>
            </w:pPr>
            <w:r>
              <w:rPr>
                <w:rFonts w:ascii="Arial" w:cs="Arial" w:eastAsia="Arial" w:hAnsi="Arial"/>
                <w:sz w:val="22"/>
                <w:szCs w:val="22"/>
                <w:color w:val="auto"/>
                <w:w w:val="89"/>
              </w:rPr>
              <w:t>$62,489.81 /month</w:t>
            </w:r>
          </w:p>
        </w:tc>
      </w:tr>
      <w:tr>
        <w:trPr>
          <w:trHeight w:val="780"/>
        </w:trPr>
        <w:tc>
          <w:tcPr>
            <w:tcW w:w="30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40" w:name="page41"/>
    <w:bookmarkEnd w:id="40"/>
    <w:p>
      <w:pPr>
        <w:jc w:val="both"/>
        <w:ind w:firstLine="1735"/>
        <w:spacing w:after="0" w:line="282" w:lineRule="auto"/>
        <w:tabs>
          <w:tab w:leader="none" w:pos="2537"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Operating Expenses and Taxes</w:t>
      </w:r>
      <w:r>
        <w:rPr>
          <w:rFonts w:ascii="Arial" w:cs="Arial" w:eastAsia="Arial" w:hAnsi="Arial"/>
          <w:sz w:val="19"/>
          <w:szCs w:val="19"/>
          <w:color w:val="auto"/>
        </w:rPr>
        <w:t>. Paragraphs 4(a) and 4(b) of the Lease are hereby amended to change the Base Year for Operating Expenses and Taxes to the calendar year 2019, and all references to the year “2014” in paragraph 4(d) of the Lease are hereby changed to “2019.” Furthermore, during the period from October 1, 2022, through September 30, 2025, Lessee’s Share of any increase in Operating Expenses over the Base Operating Expenses shall not increase by more than $5,000 over Lessee’s Share of such increase in Operating Expenses for the immediately prior calendar year.</w:t>
      </w:r>
    </w:p>
    <w:p>
      <w:pPr>
        <w:spacing w:after="0" w:line="147" w:lineRule="exact"/>
        <w:rPr>
          <w:rFonts w:ascii="Arial" w:cs="Arial" w:eastAsia="Arial" w:hAnsi="Arial"/>
          <w:sz w:val="19"/>
          <w:szCs w:val="19"/>
          <w:color w:val="auto"/>
        </w:rPr>
      </w:pPr>
    </w:p>
    <w:p>
      <w:pPr>
        <w:ind w:left="2540" w:hanging="805"/>
        <w:spacing w:after="0"/>
        <w:tabs>
          <w:tab w:leader="none" w:pos="254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No Further Modifications</w:t>
      </w:r>
      <w:r>
        <w:rPr>
          <w:rFonts w:ascii="Arial" w:cs="Arial" w:eastAsia="Arial" w:hAnsi="Arial"/>
          <w:sz w:val="19"/>
          <w:szCs w:val="19"/>
          <w:color w:val="auto"/>
        </w:rPr>
        <w:t>. Except as set forth in this Third Amendment, the Lease is unmodified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in full force and effect.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2"/>
                <w:szCs w:val="22"/>
                <w:color w:val="auto"/>
                <w:w w:val="89"/>
              </w:rPr>
              <w:t>LESSOR</w:t>
            </w:r>
          </w:p>
        </w:tc>
        <w:tc>
          <w:tcPr>
            <w:tcW w:w="6220" w:type="dxa"/>
            <w:vAlign w:val="bottom"/>
            <w:gridSpan w:val="2"/>
          </w:tcPr>
          <w:p>
            <w:pPr>
              <w:spacing w:after="0"/>
              <w:rPr>
                <w:sz w:val="21"/>
                <w:szCs w:val="21"/>
                <w:color w:val="auto"/>
              </w:rPr>
            </w:pPr>
          </w:p>
        </w:tc>
        <w:tc>
          <w:tcPr>
            <w:tcW w:w="4200" w:type="dxa"/>
            <w:vAlign w:val="bottom"/>
            <w:gridSpan w:val="2"/>
          </w:tcPr>
          <w:p>
            <w:pPr>
              <w:spacing w:after="0"/>
              <w:rPr>
                <w:sz w:val="20"/>
                <w:szCs w:val="20"/>
                <w:color w:val="auto"/>
              </w:rPr>
            </w:pPr>
            <w:r>
              <w:rPr>
                <w:rFonts w:ascii="Arial" w:cs="Arial" w:eastAsia="Arial" w:hAnsi="Arial"/>
                <w:sz w:val="22"/>
                <w:szCs w:val="22"/>
                <w:color w:val="auto"/>
              </w:rPr>
              <w:t>LESSEE</w:t>
            </w:r>
          </w:p>
        </w:tc>
      </w:tr>
      <w:tr>
        <w:trPr>
          <w:trHeight w:val="20"/>
        </w:trPr>
        <w:tc>
          <w:tcPr>
            <w:tcW w:w="82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58"/>
        </w:trPr>
        <w:tc>
          <w:tcPr>
            <w:tcW w:w="7040" w:type="dxa"/>
            <w:vAlign w:val="bottom"/>
            <w:gridSpan w:val="3"/>
          </w:tcPr>
          <w:p>
            <w:pPr>
              <w:spacing w:after="0"/>
              <w:rPr>
                <w:sz w:val="20"/>
                <w:szCs w:val="20"/>
                <w:color w:val="auto"/>
              </w:rPr>
            </w:pPr>
            <w:r>
              <w:rPr>
                <w:rFonts w:ascii="Arial" w:cs="Arial" w:eastAsia="Arial" w:hAnsi="Arial"/>
                <w:sz w:val="22"/>
                <w:szCs w:val="22"/>
                <w:color w:val="auto"/>
              </w:rPr>
              <w:t>Balzer Family Investments, L.P., a California limited</w:t>
            </w:r>
          </w:p>
        </w:tc>
        <w:tc>
          <w:tcPr>
            <w:tcW w:w="4200" w:type="dxa"/>
            <w:vAlign w:val="bottom"/>
            <w:gridSpan w:val="2"/>
          </w:tcPr>
          <w:p>
            <w:pPr>
              <w:spacing w:after="0"/>
              <w:rPr>
                <w:sz w:val="20"/>
                <w:szCs w:val="20"/>
                <w:color w:val="auto"/>
              </w:rPr>
            </w:pPr>
            <w:r>
              <w:rPr>
                <w:rFonts w:ascii="Arial" w:cs="Arial" w:eastAsia="Arial" w:hAnsi="Arial"/>
                <w:sz w:val="22"/>
                <w:szCs w:val="22"/>
                <w:color w:val="auto"/>
              </w:rPr>
              <w:t>Energous Corporation,</w:t>
            </w:r>
          </w:p>
        </w:tc>
      </w:tr>
      <w:tr>
        <w:trPr>
          <w:trHeight w:val="274"/>
        </w:trPr>
        <w:tc>
          <w:tcPr>
            <w:tcW w:w="7040" w:type="dxa"/>
            <w:vAlign w:val="bottom"/>
            <w:gridSpan w:val="3"/>
          </w:tcPr>
          <w:p>
            <w:pPr>
              <w:spacing w:after="0"/>
              <w:rPr>
                <w:sz w:val="20"/>
                <w:szCs w:val="20"/>
                <w:color w:val="auto"/>
              </w:rPr>
            </w:pPr>
            <w:r>
              <w:rPr>
                <w:rFonts w:ascii="Arial" w:cs="Arial" w:eastAsia="Arial" w:hAnsi="Arial"/>
                <w:sz w:val="22"/>
                <w:szCs w:val="22"/>
                <w:color w:val="auto"/>
              </w:rPr>
              <w:t>partnership</w:t>
            </w:r>
          </w:p>
        </w:tc>
        <w:tc>
          <w:tcPr>
            <w:tcW w:w="4200" w:type="dxa"/>
            <w:vAlign w:val="bottom"/>
            <w:gridSpan w:val="2"/>
          </w:tcPr>
          <w:p>
            <w:pPr>
              <w:spacing w:after="0"/>
              <w:rPr>
                <w:sz w:val="20"/>
                <w:szCs w:val="20"/>
                <w:color w:val="auto"/>
              </w:rPr>
            </w:pPr>
            <w:r>
              <w:rPr>
                <w:rFonts w:ascii="Arial" w:cs="Arial" w:eastAsia="Arial" w:hAnsi="Arial"/>
                <w:sz w:val="22"/>
                <w:szCs w:val="22"/>
                <w:color w:val="auto"/>
              </w:rPr>
              <w:t>a Delaware corporation</w:t>
            </w:r>
          </w:p>
        </w:tc>
      </w:tr>
      <w:tr>
        <w:trPr>
          <w:trHeight w:val="428"/>
        </w:trPr>
        <w:tc>
          <w:tcPr>
            <w:tcW w:w="7040" w:type="dxa"/>
            <w:vAlign w:val="bottom"/>
            <w:gridSpan w:val="3"/>
          </w:tcPr>
          <w:p>
            <w:pPr>
              <w:spacing w:after="0"/>
              <w:rPr>
                <w:sz w:val="20"/>
                <w:szCs w:val="20"/>
                <w:color w:val="auto"/>
              </w:rPr>
            </w:pPr>
            <w:r>
              <w:rPr>
                <w:rFonts w:ascii="Arial" w:cs="Arial" w:eastAsia="Arial" w:hAnsi="Arial"/>
                <w:sz w:val="22"/>
                <w:szCs w:val="22"/>
                <w:color w:val="auto"/>
              </w:rPr>
              <w:t>By: W. F. Batton Management Company, a California</w:t>
            </w:r>
          </w:p>
        </w:tc>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74"/>
        </w:trPr>
        <w:tc>
          <w:tcPr>
            <w:tcW w:w="7040" w:type="dxa"/>
            <w:vAlign w:val="bottom"/>
            <w:gridSpan w:val="3"/>
          </w:tcPr>
          <w:p>
            <w:pPr>
              <w:spacing w:after="0"/>
              <w:rPr>
                <w:sz w:val="20"/>
                <w:szCs w:val="20"/>
                <w:color w:val="auto"/>
              </w:rPr>
            </w:pPr>
            <w:r>
              <w:rPr>
                <w:rFonts w:ascii="Arial" w:cs="Arial" w:eastAsia="Arial" w:hAnsi="Arial"/>
                <w:sz w:val="22"/>
                <w:szCs w:val="22"/>
                <w:color w:val="auto"/>
              </w:rPr>
              <w:t>corporation, General Partner</w:t>
            </w:r>
          </w:p>
        </w:tc>
        <w:tc>
          <w:tcPr>
            <w:tcW w:w="760" w:type="dxa"/>
            <w:vAlign w:val="bottom"/>
          </w:tcPr>
          <w:p>
            <w:pPr>
              <w:spacing w:after="0"/>
              <w:rPr>
                <w:sz w:val="23"/>
                <w:szCs w:val="23"/>
                <w:color w:val="auto"/>
              </w:rPr>
            </w:pPr>
          </w:p>
        </w:tc>
        <w:tc>
          <w:tcPr>
            <w:tcW w:w="3440" w:type="dxa"/>
            <w:vAlign w:val="bottom"/>
          </w:tcPr>
          <w:p>
            <w:pPr>
              <w:spacing w:after="0"/>
              <w:rPr>
                <w:sz w:val="23"/>
                <w:szCs w:val="23"/>
                <w:color w:val="auto"/>
              </w:rPr>
            </w:pPr>
          </w:p>
        </w:tc>
      </w:tr>
      <w:tr>
        <w:trPr>
          <w:trHeight w:val="773"/>
        </w:trPr>
        <w:tc>
          <w:tcPr>
            <w:tcW w:w="7040" w:type="dxa"/>
            <w:vAlign w:val="bottom"/>
            <w:gridSpan w:val="3"/>
          </w:tcPr>
          <w:p>
            <w:pPr>
              <w:spacing w:after="0"/>
              <w:rPr>
                <w:sz w:val="20"/>
                <w:szCs w:val="20"/>
                <w:color w:val="auto"/>
              </w:rPr>
            </w:pPr>
            <w:r>
              <w:rPr>
                <w:rFonts w:ascii="Arial" w:cs="Arial" w:eastAsia="Arial" w:hAnsi="Arial"/>
                <w:sz w:val="22"/>
                <w:szCs w:val="22"/>
                <w:color w:val="auto"/>
              </w:rPr>
              <w:t>By:/s/ Harold Balzer</w:t>
            </w:r>
          </w:p>
        </w:tc>
        <w:tc>
          <w:tcPr>
            <w:tcW w:w="4200" w:type="dxa"/>
            <w:vAlign w:val="bottom"/>
            <w:gridSpan w:val="2"/>
          </w:tcPr>
          <w:p>
            <w:pPr>
              <w:spacing w:after="0"/>
              <w:rPr>
                <w:sz w:val="20"/>
                <w:szCs w:val="20"/>
                <w:color w:val="auto"/>
              </w:rPr>
            </w:pPr>
            <w:r>
              <w:rPr>
                <w:rFonts w:ascii="Arial" w:cs="Arial" w:eastAsia="Arial" w:hAnsi="Arial"/>
                <w:sz w:val="22"/>
                <w:szCs w:val="22"/>
                <w:color w:val="auto"/>
              </w:rPr>
              <w:t>By: /s/ Cesar Johnston</w:t>
            </w:r>
          </w:p>
        </w:tc>
      </w:tr>
      <w:tr>
        <w:trPr>
          <w:trHeight w:val="215"/>
        </w:trPr>
        <w:tc>
          <w:tcPr>
            <w:tcW w:w="508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Harold Balzer, President</w:t>
            </w:r>
          </w:p>
        </w:tc>
        <w:tc>
          <w:tcPr>
            <w:tcW w:w="1960" w:type="dxa"/>
            <w:vAlign w:val="bottom"/>
          </w:tcPr>
          <w:p>
            <w:pPr>
              <w:spacing w:after="0"/>
              <w:rPr>
                <w:sz w:val="18"/>
                <w:szCs w:val="18"/>
                <w:color w:val="auto"/>
              </w:rPr>
            </w:pPr>
          </w:p>
        </w:tc>
        <w:tc>
          <w:tcPr>
            <w:tcW w:w="420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w w:val="90"/>
              </w:rPr>
              <w:t>Cesar Johnston, President and Chief Executive</w:t>
            </w:r>
          </w:p>
        </w:tc>
      </w:tr>
      <w:tr>
        <w:trPr>
          <w:trHeight w:val="274"/>
        </w:trPr>
        <w:tc>
          <w:tcPr>
            <w:tcW w:w="8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200" w:type="dxa"/>
            <w:vAlign w:val="bottom"/>
            <w:gridSpan w:val="2"/>
          </w:tcPr>
          <w:p>
            <w:pPr>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5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Cesar Johnston, certify that:</w:t>
      </w:r>
    </w:p>
    <w:p>
      <w:pPr>
        <w:spacing w:after="0" w:line="198" w:lineRule="exact"/>
        <w:rPr>
          <w:sz w:val="20"/>
          <w:szCs w:val="20"/>
          <w:color w:val="auto"/>
        </w:rPr>
      </w:pPr>
    </w:p>
    <w:p>
      <w:pPr>
        <w:ind w:left="940" w:hanging="541"/>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Cesar Johnston</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35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Mannina, certify that:</w:t>
      </w:r>
    </w:p>
    <w:p>
      <w:pPr>
        <w:spacing w:after="0" w:line="198" w:lineRule="exact"/>
        <w:rPr>
          <w:sz w:val="20"/>
          <w:szCs w:val="20"/>
          <w:color w:val="auto"/>
        </w:rPr>
      </w:pPr>
    </w:p>
    <w:p>
      <w:pPr>
        <w:ind w:left="940" w:hanging="541"/>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40" w:right="100" w:hanging="541"/>
        <w:spacing w:after="0" w:line="263"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40" w:right="60" w:hanging="541"/>
        <w:spacing w:after="0" w:line="308"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940" w:right="20" w:hanging="541"/>
        <w:spacing w:after="0" w:line="291" w:lineRule="auto"/>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40" w:right="80" w:hanging="536"/>
        <w:spacing w:after="0" w:line="263"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40" w:hanging="536"/>
        <w:spacing w:after="0" w:line="263"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40" w:right="180" w:hanging="536"/>
        <w:spacing w:after="0" w:line="342" w:lineRule="auto"/>
        <w:tabs>
          <w:tab w:leader="none" w:pos="1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right="200" w:hanging="536"/>
        <w:spacing w:after="0" w:line="263"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40" w:right="540" w:hanging="541"/>
        <w:spacing w:after="0" w:line="263"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340" w:right="420" w:hanging="536"/>
        <w:spacing w:after="0" w:line="342" w:lineRule="auto"/>
        <w:tabs>
          <w:tab w:leader="none" w:pos="13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40" w:right="120" w:hanging="536"/>
        <w:spacing w:after="0" w:line="277"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Mannina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Mannina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rPr>
              <w:t>Acting Chief Financial Officer</w:t>
            </w:r>
          </w:p>
        </w:tc>
      </w:tr>
    </w:tbl>
    <w:p>
      <w:pPr>
        <w:sectPr>
          <w:pgSz w:w="11900" w:h="16838" w:orient="portrait"/>
          <w:cols w:equalWidth="0" w:num="1">
            <w:col w:w="11240"/>
          </w:cols>
          <w:pgMar w:left="320" w:top="35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Energous Corporation (the “Company”) on Form 10-Q for the period ended June 30, 2022 as filed with the Securities and Exchange Commission on the date hereof (the “Report”), we, Cesar Johnston, Chief Executive Officer and William Mannina, Acting Chief Financial Officer, certify, pursuant to 18 U.S.C. § 1350, as adopted pursuant to § 906 of the Sarbanes-Oxley Act of 2002, that:</w:t>
      </w:r>
    </w:p>
    <w:p>
      <w:pPr>
        <w:spacing w:after="0" w:line="125"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/s/ Cesar Johnston</w:t>
            </w:r>
          </w:p>
        </w:tc>
        <w:tc>
          <w:tcPr>
            <w:tcW w:w="5480" w:type="dxa"/>
            <w:vAlign w:val="bottom"/>
            <w:gridSpan w:val="2"/>
          </w:tcPr>
          <w:p>
            <w:pPr>
              <w:spacing w:after="0"/>
              <w:rPr>
                <w:sz w:val="20"/>
                <w:szCs w:val="20"/>
                <w:color w:val="auto"/>
              </w:rPr>
            </w:pPr>
            <w:r>
              <w:rPr>
                <w:rFonts w:ascii="Arial" w:cs="Arial" w:eastAsia="Arial" w:hAnsi="Arial"/>
                <w:sz w:val="18"/>
                <w:szCs w:val="18"/>
                <w:color w:val="auto"/>
              </w:rPr>
              <w:t>/s/ William Mannina</w:t>
            </w: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Cesar Johnston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Mannina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100"/>
              <w:spacing w:after="0"/>
              <w:rPr>
                <w:sz w:val="20"/>
                <w:szCs w:val="20"/>
                <w:color w:val="auto"/>
              </w:rPr>
            </w:pPr>
            <w:r>
              <w:rPr>
                <w:rFonts w:ascii="Arial" w:cs="Arial" w:eastAsia="Arial" w:hAnsi="Arial"/>
                <w:sz w:val="18"/>
                <w:szCs w:val="18"/>
                <w:color w:val="auto"/>
              </w:rPr>
              <w:t>Acting Chief Financial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gridSpan w:val="2"/>
          </w:tcPr>
          <w:p>
            <w:pPr>
              <w:ind w:left="160"/>
              <w:spacing w:after="0"/>
              <w:rPr>
                <w:sz w:val="20"/>
                <w:szCs w:val="20"/>
                <w:color w:val="auto"/>
              </w:rPr>
            </w:pPr>
            <w:r>
              <w:rPr>
                <w:rFonts w:ascii="Arial" w:cs="Arial" w:eastAsia="Arial" w:hAnsi="Arial"/>
                <w:sz w:val="18"/>
                <w:szCs w:val="18"/>
                <w:color w:val="auto"/>
              </w:rPr>
              <w:t>August 15, 2022</w:t>
            </w:r>
          </w:p>
        </w:tc>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Pr>
          <w:p>
            <w:pPr>
              <w:ind w:left="100"/>
              <w:spacing w:after="0"/>
              <w:rPr>
                <w:sz w:val="20"/>
                <w:szCs w:val="20"/>
                <w:color w:val="auto"/>
              </w:rPr>
            </w:pPr>
            <w:r>
              <w:rPr>
                <w:rFonts w:ascii="Arial" w:cs="Arial" w:eastAsia="Arial" w:hAnsi="Arial"/>
                <w:sz w:val="18"/>
                <w:szCs w:val="18"/>
                <w:color w:val="auto"/>
              </w:rPr>
              <w:t>August 15, 2022</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upperLetter"/>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2022-08-16T05:23:36Z</dcterms:created>
  <dcterms:modified xsi:type="dcterms:W3CDTF">2022-08-16T05:23:36Z</dcterms:modified>
</cp:coreProperties>
</file>