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att-20250630x10q.htm"/>
        <w:bookmarkStart w:id="1" w:name="kswatt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bookmarkStart w:id="2" w:name="_bea2fbee_41a2_4761_aece_488b3cf520c8"/>
      <w:bookmarkEnd w:id="2"/>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10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10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hfbJgwguLUGhjjXHrwhvHw_1_1"/>
      <w:bookmarkStart w:id="4" w:name="_007a1084_f453_40de_a1c1_d1ad9cac1790"/>
      <w:bookmarkStart w:id="5" w:name="Tc_hfbJgwguLUGhjjXHrwhvHw_1_1"/>
      <w:bookmarkStart w:id="6" w:name="_007a1084_f453_40de_a1c1_d1ad9cac179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2025</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7" w:name="Tc_S6HSW3Z1Zke88ncqqPt9DA_1_1"/>
      <w:bookmarkStart w:id="8" w:name="_b972f4ff_5743_4acf_8d33_d71b2b731219"/>
      <w:bookmarkStart w:id="9" w:name="Tc_S6HSW3Z1Zke88ncqqPt9DA_1_1"/>
      <w:bookmarkStart w:id="10" w:name="_b972f4ff_5743_4acf_8d33_d71b2b73121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69990" cy="175260"/>
                      <wp:effectExtent l="0" t="0" r="0" b="0"/>
                      <wp:wrapNone/>
                      <wp:docPr id="4" name="Frame4"/>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488180" cy="117348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488180" cy="117348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001-36379</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ENERGOUS CORPORATION</w:t>
      </w:r>
    </w:p>
    <w:p>
      <w:pPr>
        <w:pStyle w:val="TextBody"/>
        <w:bidi w:val="0"/>
        <w:spacing w:before="0" w:after="10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Normal"/>
        <w:bidi w:val="0"/>
        <w:spacing w:before="0" w:after="0"/>
        <w:jc w:val="left"/>
        <w:rPr>
          <w:sz w:val="4"/>
          <w:szCs w:val="4"/>
        </w:rPr>
      </w:pPr>
      <w:r>
        <w:rPr>
          <w:sz w:val="4"/>
          <w:szCs w:val="4"/>
        </w:rPr>
      </w:r>
      <w:bookmarkStart w:id="11" w:name="Tc_tBGliV0XtUOygrG1z5HFWw_2_2"/>
      <w:bookmarkStart w:id="12" w:name="Tc_VnA6KhHCGUmBfU3OJyimVw_2_0"/>
      <w:bookmarkStart w:id="13" w:name="_719d9bd9_da18_4a41_9310_34351f1d08cb"/>
      <w:bookmarkStart w:id="14" w:name="Tc_tBGliV0XtUOygrG1z5HFWw_2_2"/>
      <w:bookmarkStart w:id="15" w:name="Tc_VnA6KhHCGUmBfU3OJyimVw_2_0"/>
      <w:bookmarkStart w:id="16" w:name="_719d9bd9_da18_4a41_9310_34351f1d08cb"/>
      <w:bookmarkEnd w:id="14"/>
      <w:bookmarkEnd w:id="15"/>
      <w:bookmarkEnd w:id="16"/>
    </w:p>
    <w:tbl>
      <w:tblPr>
        <w:tblW w:w="4798" w:type="dxa"/>
        <w:jc w:val="left"/>
        <w:tblInd w:w="0" w:type="dxa"/>
        <w:tblLayout w:type="fixed"/>
        <w:tblCellMar>
          <w:top w:w="0" w:type="dxa"/>
          <w:left w:w="0" w:type="dxa"/>
          <w:bottom w:w="0" w:type="dxa"/>
          <w:right w:w="0" w:type="dxa"/>
        </w:tblCellMar>
      </w:tblPr>
      <w:tblGrid>
        <w:gridCol w:w="1801"/>
        <w:gridCol w:w="326"/>
        <w:gridCol w:w="26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143635" cy="175260"/>
                      <wp:effectExtent l="0" t="0" r="0" b="0"/>
                      <wp:wrapNone/>
                      <wp:docPr id="6" name="Frame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96085" cy="175260"/>
                      <wp:effectExtent l="0" t="0" r="0" b="0"/>
                      <wp:wrapNone/>
                      <wp:docPr id="7"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center"/>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46-1318953</w: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(State of incorporation)</w:t>
            </w:r>
          </w:p>
        </w:tc>
        <w:tc>
          <w:tcPr>
            <w:tcW w:w="326" w:type="dxa"/>
            <w:tcBorders/>
            <w:vAlign w:val="center"/>
          </w:tcPr>
          <w:p>
            <w:pPr>
              <w:pStyle w:val="TableContents"/>
              <w:bidi w:val="0"/>
              <w:spacing w:before="0" w:after="240"/>
              <w:ind w:left="0" w:right="0" w:hanging="0"/>
              <w:jc w:val="center"/>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3590 North First Street, Suite 330, San Jose, CA</w:t>
      </w:r>
      <w:r>
        <w:rPr>
          <w:rFonts w:ascii="Times New Roman;Times;serif" w:hAnsi="Times New Roman;Times;serif"/>
          <w:sz w:val="20"/>
        </w:rPr>
        <w:t xml:space="preserve"> </w:t>
      </w:r>
      <w:r>
        <w:rPr>
          <w:rFonts w:ascii="Times New Roman;Times;serif" w:hAnsi="Times New Roman;Times;serif"/>
          <w:b/>
          <w:sz w:val="18"/>
        </w:rPr>
        <w:t>95134</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i/>
          <w:sz w:val="14"/>
        </w:rPr>
        <w:t>(Address of principal executive office)</w:t>
      </w:r>
      <w:r>
        <w:rPr>
          <w:rFonts w:ascii="Times New Roman;Times;serif" w:hAnsi="Times New Roman;Times;serif"/>
          <w:sz w:val="14"/>
        </w:rPr>
        <w:t xml:space="preserve"> (Zip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(408) 963-0200</w:t>
      </w:r>
    </w:p>
    <w:p>
      <w:pPr>
        <w:pStyle w:val="TextBody"/>
        <w:bidi w:val="0"/>
        <w:spacing w:before="0" w:after="100"/>
        <w:ind w:left="0" w:right="0" w:hanging="0"/>
        <w:jc w:val="center"/>
        <w:rPr>
          <w:rFonts w:ascii="Times New Roman;Times;serif" w:hAnsi="Times New Roman;Times;serif"/>
          <w:i/>
          <w:sz w:val="14"/>
        </w:rPr>
      </w:pPr>
      <w:r>
        <w:rPr>
          <w:rFonts w:ascii="Times New Roman;Times;serif" w:hAnsi="Times New Roman;Times;serif"/>
          <w:i/>
          <w:sz w:val="14"/>
        </w:rPr>
        <w:t>(Registrant’s telephone number, including area code)</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7" w:name="Tc_fHeE53sbZkSMCBAOBDG_Og_2_4"/>
      <w:bookmarkStart w:id="18" w:name="Tc_Vso5__UdcE6PL-wd3LBLDA_1_4"/>
      <w:bookmarkStart w:id="19" w:name="Tc_7KCRfotHt0KL-DT4daHOIg_1_2"/>
      <w:bookmarkStart w:id="20" w:name="Tc_d-q1vWZJREWMPohXkcOpuQ_1_0"/>
      <w:bookmarkStart w:id="21" w:name="_11ffea39_c669_46dd_aaed_3695c181ca14"/>
      <w:bookmarkStart w:id="22" w:name="Tc_fHeE53sbZkSMCBAOBDG_Og_2_4"/>
      <w:bookmarkStart w:id="23" w:name="Tc_Vso5__UdcE6PL-wd3LBLDA_1_4"/>
      <w:bookmarkStart w:id="24" w:name="Tc_7KCRfotHt0KL-DT4daHOIg_1_2"/>
      <w:bookmarkStart w:id="25" w:name="Tc_d-q1vWZJREWMPohXkcOpuQ_1_0"/>
      <w:bookmarkStart w:id="26" w:name="_11ffea39_c669_46dd_aaed_3695c181ca14"/>
      <w:bookmarkEnd w:id="22"/>
      <w:bookmarkEnd w:id="23"/>
      <w:bookmarkEnd w:id="24"/>
      <w:bookmarkEnd w:id="25"/>
      <w:bookmarkEnd w:id="26"/>
    </w:p>
    <w:tbl>
      <w:tblPr>
        <w:tblW w:w="7705" w:type="dxa"/>
        <w:jc w:val="left"/>
        <w:tblInd w:w="0" w:type="dxa"/>
        <w:tblLayout w:type="fixed"/>
        <w:tblCellMar>
          <w:top w:w="0" w:type="dxa"/>
          <w:left w:w="0" w:type="dxa"/>
          <w:bottom w:w="0" w:type="dxa"/>
          <w:right w:w="0" w:type="dxa"/>
        </w:tblCellMar>
      </w:tblPr>
      <w:tblGrid>
        <w:gridCol w:w="2686"/>
        <w:gridCol w:w="326"/>
        <w:gridCol w:w="886"/>
        <w:gridCol w:w="326"/>
        <w:gridCol w:w="348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05610" cy="29210"/>
                      <wp:effectExtent l="0" t="0" r="0" b="0"/>
                      <wp:wrapNone/>
                      <wp:docPr id="8" name="Frame7"/>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62610" cy="29210"/>
                      <wp:effectExtent l="0" t="0" r="0" b="0"/>
                      <wp:wrapNone/>
                      <wp:docPr id="10" name="Frame9"/>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10435" cy="29210"/>
                      <wp:effectExtent l="0" t="0" r="0" b="0"/>
                      <wp:wrapNone/>
                      <wp:docPr id="12" name="Frame11"/>
                      <a:graphic xmlns:a="http://schemas.openxmlformats.org/drawingml/2006/main">
                        <a:graphicData uri="http://schemas.microsoft.com/office/word/2010/wordprocessingShape">
                          <wps:wsp>
                            <wps:cNvSpPr txBox="1"/>
                            <wps:spPr>
                              <a:xfrm>
                                <a:off x="0" y="0"/>
                                <a:ext cx="2210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w:t>
              <w:br/>
              <w:t>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6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326" w:type="dxa"/>
            <w:tcBorders/>
            <w:vAlign w:val="center"/>
          </w:tcPr>
          <w:p>
            <w:pPr>
              <w:pStyle w:val="TableContents"/>
              <w:bidi w:val="0"/>
              <w:spacing w:before="0" w:after="240"/>
              <w:ind w:left="0" w:right="0" w:hanging="0"/>
              <w:jc w:val="center"/>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WATT</w:t>
            </w:r>
          </w:p>
        </w:tc>
        <w:tc>
          <w:tcPr>
            <w:tcW w:w="32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7" w:name="Tc_fsxuCYcdhkSRhN9N2eO-iQ_3_0"/>
      <w:bookmarkStart w:id="28" w:name="Tc_65A48mXX4kmpWtlycEGYuw_2_3"/>
      <w:bookmarkStart w:id="29" w:name="Tc_BODDOQ6wkEis1--ajVUO9A_2_1"/>
      <w:bookmarkStart w:id="30" w:name="Tc_72owgNE6wUy5g76-dua7pw_1_4"/>
      <w:bookmarkStart w:id="31" w:name="Tc_Z8tGVtNVakKA8bOwOWpAlQ_1_3"/>
      <w:bookmarkStart w:id="32" w:name="Tc_B3CXydj1eU6wzqKx6TWpSA_1_1"/>
      <w:bookmarkStart w:id="33" w:name="Tc_b0sjMQFFfU6jTKhG4v0hHQ_1_0"/>
      <w:bookmarkStart w:id="34" w:name="_93cba069_cfc4_4a43_9192_209e22f6c271"/>
      <w:bookmarkStart w:id="35" w:name="Tc_fsxuCYcdhkSRhN9N2eO-iQ_3_0"/>
      <w:bookmarkStart w:id="36" w:name="Tc_65A48mXX4kmpWtlycEGYuw_2_3"/>
      <w:bookmarkStart w:id="37" w:name="Tc_BODDOQ6wkEis1--ajVUO9A_2_1"/>
      <w:bookmarkStart w:id="38" w:name="Tc_72owgNE6wUy5g76-dua7pw_1_4"/>
      <w:bookmarkStart w:id="39" w:name="Tc_Z8tGVtNVakKA8bOwOWpAlQ_1_3"/>
      <w:bookmarkStart w:id="40" w:name="Tc_B3CXydj1eU6wzqKx6TWpSA_1_1"/>
      <w:bookmarkStart w:id="41" w:name="Tc_b0sjMQFFfU6jTKhG4v0hHQ_1_0"/>
      <w:bookmarkStart w:id="42" w:name="_93cba069_cfc4_4a43_9192_209e22f6c271"/>
      <w:bookmarkEnd w:id="35"/>
      <w:bookmarkEnd w:id="36"/>
      <w:bookmarkEnd w:id="37"/>
      <w:bookmarkEnd w:id="38"/>
      <w:bookmarkEnd w:id="39"/>
      <w:bookmarkEnd w:id="40"/>
      <w:bookmarkEnd w:id="41"/>
      <w:bookmarkEnd w:id="42"/>
    </w:p>
    <w:tbl>
      <w:tblPr>
        <w:tblW w:w="4868" w:type="dxa"/>
        <w:jc w:val="left"/>
        <w:tblInd w:w="0" w:type="dxa"/>
        <w:tblLayout w:type="fixed"/>
        <w:tblCellMar>
          <w:top w:w="0" w:type="dxa"/>
          <w:left w:w="0" w:type="dxa"/>
          <w:bottom w:w="0" w:type="dxa"/>
          <w:right w:w="0" w:type="dxa"/>
        </w:tblCellMar>
      </w:tblPr>
      <w:tblGrid>
        <w:gridCol w:w="2056"/>
        <w:gridCol w:w="316"/>
        <w:gridCol w:w="109"/>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As of July 28, 2025, there were 43,660,782 shares of our Common Stock, par value $0.00001 per share, outstanding.</w:t>
      </w:r>
    </w:p>
    <w:p>
      <w:pPr>
        <w:pStyle w:val="TextBody"/>
        <w:pBdr>
          <w:top w:val="single" w:sz="8" w:space="1" w:color="000000"/>
          <w:bottom w:val="single" w:sz="24" w:space="1" w:color="000000"/>
        </w:pBdr>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_caf40f9e_8446_4dc8_b8c6_bbfaf483c0f7"/>
      <w:bookmarkEnd w:id="43"/>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2025</w:t>
      </w:r>
    </w:p>
    <w:p>
      <w:pPr>
        <w:pStyle w:val="TextBody"/>
        <w:bidi w:val="0"/>
        <w:spacing w:before="0" w:after="0"/>
        <w:ind w:left="0" w:right="0" w:hanging="0"/>
        <w:jc w:val="center"/>
        <w:rPr>
          <w:rFonts w:ascii="Times New Roman;Times;serif" w:hAnsi="Times New Roman;Times;serif"/>
          <w:b/>
          <w:sz w:val="20"/>
        </w:rPr>
      </w:pPr>
      <w:bookmarkStart w:id="44" w:name="TOC"/>
      <w:bookmarkEnd w:id="44"/>
      <w:r>
        <w:rPr>
          <w:rFonts w:ascii="Times New Roman;Times;serif" w:hAnsi="Times New Roman;Times;serif"/>
          <w:b/>
          <w:sz w:val="20"/>
        </w:rPr>
        <w:t>INDEX</w:t>
      </w:r>
    </w:p>
    <w:p>
      <w:pPr>
        <w:pStyle w:val="TextBody"/>
        <w:bidi w:val="0"/>
        <w:spacing w:before="0" w:after="0"/>
        <w:ind w:left="0" w:right="0" w:hanging="0"/>
        <w:jc w:val="left"/>
        <w:rPr/>
      </w:pPr>
      <w:r>
        <w:rPr/>
        <w:t>​</w:t>
      </w:r>
    </w:p>
    <w:tbl>
      <w:tblPr>
        <w:tblW w:w="8342" w:type="dxa"/>
        <w:jc w:val="left"/>
        <w:tblInd w:w="0" w:type="dxa"/>
        <w:tblLayout w:type="fixed"/>
        <w:tblCellMar>
          <w:top w:w="0" w:type="dxa"/>
          <w:left w:w="0" w:type="dxa"/>
          <w:bottom w:w="0" w:type="dxa"/>
          <w:right w:w="0" w:type="dxa"/>
        </w:tblCellMar>
      </w:tblPr>
      <w:tblGrid>
        <w:gridCol w:w="7981"/>
        <w:gridCol w:w="361"/>
      </w:tblGrid>
      <w:tr>
        <w:trPr/>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67935" cy="175260"/>
                      <wp:effectExtent l="0" t="0" r="0" b="0"/>
                      <wp:wrapNone/>
                      <wp:docPr id="13" name="Frame12"/>
                      <a:graphic xmlns:a="http://schemas.openxmlformats.org/drawingml/2006/main">
                        <a:graphicData uri="http://schemas.microsoft.com/office/word/2010/wordprocessingShape">
                          <wps:wsp>
                            <wps:cNvSpPr txBox="1"/>
                            <wps:spPr>
                              <a:xfrm>
                                <a:off x="0" y="0"/>
                                <a:ext cx="506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9235" cy="175260"/>
                      <wp:effectExtent l="0" t="0" r="0" b="0"/>
                      <wp:wrapNone/>
                      <wp:docPr id="14"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81" w:type="dxa"/>
            <w:tcBorders/>
            <w:vAlign w:val="center"/>
          </w:tcPr>
          <w:p>
            <w:pPr>
              <w:pStyle w:val="TableContents"/>
              <w:pBdr/>
              <w:bidi w:val="0"/>
              <w:spacing w:before="0" w:after="0"/>
              <w:ind w:left="0" w:right="0" w:hanging="0"/>
              <w:jc w:val="left"/>
              <w:rPr/>
            </w:pPr>
            <w:hyperlink w:anchor="PARTIFINANCIALINFORMATION_184948">
              <w:r>
                <w:rPr>
                  <w:rStyle w:val="InternetLink"/>
                  <w:rFonts w:ascii="Times New Roman;Times;serif" w:hAnsi="Times New Roman;Times;serif"/>
                  <w:b w:val="false"/>
                  <w:i w:val="false"/>
                  <w:caps w:val="false"/>
                  <w:smallCaps w:val="false"/>
                  <w:sz w:val="20"/>
                </w:rPr>
                <w:t>PART I - FINANCIAL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FinancialStatements_240348">
              <w:r>
                <w:rPr>
                  <w:rStyle w:val="InternetLink"/>
                  <w:rFonts w:ascii="Times New Roman;Times;serif" w:hAnsi="Times New Roman;Times;serif"/>
                  <w:b w:val="false"/>
                  <w:i w:val="false"/>
                  <w:caps w:val="false"/>
                  <w:smallCaps w:val="false"/>
                  <w:sz w:val="20"/>
                </w:rPr>
                <w:t>Item 1. 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ControlsandProcedures_905555">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PARTIIOTHERINFORMATION_171956">
              <w:r>
                <w:rPr>
                  <w:rStyle w:val="InternetLink"/>
                  <w:rFonts w:ascii="Times New Roman;Times;serif" w:hAnsi="Times New Roman;Times;serif"/>
                  <w:b w:val="false"/>
                  <w:i w:val="false"/>
                  <w:caps w:val="false"/>
                  <w:smallCaps w:val="false"/>
                  <w:sz w:val="20"/>
                </w:rPr>
                <w:t>PART II –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LegalProceedings_899286">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ARiskFactors_566555">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DefaultsUponSeniorSecurities_774055">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MineSafetyDisclosures_549213">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5OtherInformation_27695">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6Exhibits_285226">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PARTIFINANCIALINFORMATION_184948"/>
      <w:bookmarkStart w:id="46" w:name="_dd5f0c1f_c589_4b8f_ac92_54ec228f852c"/>
      <w:bookmarkEnd w:id="45"/>
      <w:bookmarkEnd w:id="46"/>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47" w:name="Item1FinancialStatements_240348"/>
      <w:bookmarkEnd w:id="4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48" w:name="Tc_5Ttx2DAUCEGnLGFlrFXZfw_36_5"/>
      <w:bookmarkStart w:id="49" w:name="Tc_ONpvnqPg70eGeiO6QklUPg_36_2"/>
      <w:bookmarkStart w:id="50" w:name="Tc_XSrRyb_rv02EUHOdiyQd9w_36_0"/>
      <w:bookmarkStart w:id="51" w:name="Tc_-5jtugSVTkWaUJRJwLYXQQ_35_0"/>
      <w:bookmarkStart w:id="52" w:name="Tc_g7KGEZ3_D0iP5ueDl-tg8g_34_0"/>
      <w:bookmarkStart w:id="53" w:name="Tc_Bt1VlqNl90yxz6nCvNL9jg_33_0"/>
      <w:bookmarkStart w:id="54" w:name="Tc_VT1dfm34-E-x2-BVAPwvnQ_32_0"/>
      <w:bookmarkStart w:id="55" w:name="_b028da51_8530_4faf_ae33_bafdd6988706_3"/>
      <w:bookmarkStart w:id="56" w:name="_b028da51_8530_4faf_ae33_bafdd6988706_2"/>
      <w:bookmarkStart w:id="57" w:name="_b028da51_8530_4faf_ae33_bafdd6988706"/>
      <w:bookmarkStart w:id="58" w:name="Tc_CeQFcjiIiUG2_6i44CJWhA_31_0"/>
      <w:bookmarkStart w:id="59" w:name="Tc_3WCDUTorwEe9PA1HrXv-pA_30_0"/>
      <w:bookmarkStart w:id="60" w:name="Tc_hoRRj4x5PU-GhVzZZOmXAw_29_0"/>
      <w:bookmarkStart w:id="61" w:name="Tc_JUeiTDFtc0yfELPwAXnV3g_27_0"/>
      <w:bookmarkStart w:id="62" w:name="Tc_LdVcjPSU7EK6-mEaO7DNPQ_26_6"/>
      <w:bookmarkStart w:id="63" w:name="Tc_EDI1Vw5fck6Bk38efBYJHw_26_0"/>
      <w:bookmarkStart w:id="64" w:name="Tc_43QYOE--H0q3btkKDZgR_A_24_0"/>
      <w:bookmarkStart w:id="65" w:name="Tc_NVAb7W5w2ke9mdNJppqIHg_23_0"/>
      <w:bookmarkStart w:id="66" w:name="Tc_8kEe_jOWFkWs4JSy5nLpAw_22_0"/>
      <w:bookmarkStart w:id="67" w:name="Tc_U5P9qsLWw0qBMCUq7EVN2Q_21_0"/>
      <w:bookmarkStart w:id="68" w:name="Tc_Kmcnorvze0uTs6LXaWBNzw_20_0"/>
      <w:bookmarkStart w:id="69" w:name="Tc_7NALoOVYZ0i9XxfLPPL0vA_19_0"/>
      <w:bookmarkStart w:id="70" w:name="Tc_kxV2jl7S7EKnJPvzseIyjg_18_0"/>
      <w:bookmarkStart w:id="71" w:name="Tc_YIqFTGpe0E2W4A69Mr4NYA_17_5"/>
      <w:bookmarkStart w:id="72" w:name="Tc_TBLI8F_1GE6J8e7mkJQgXg_17_2"/>
      <w:bookmarkStart w:id="73" w:name="Tc_2sazS56voUqLXrLqw0XIJg_17_0"/>
      <w:bookmarkStart w:id="74" w:name="Tc_av3SqgYDF0-c6_4k2LA-UQ_16_0"/>
      <w:bookmarkStart w:id="75" w:name="Tc_-EM2anYnL0WdG4dY9TZRUA_15_0"/>
      <w:bookmarkStart w:id="76" w:name="Tc_nxa40iOELUmarjFYuR7K7w_14_5"/>
      <w:bookmarkStart w:id="77" w:name="Tc_GL3rXaZDFU-lc1pqc3zZCw_14_2"/>
      <w:bookmarkStart w:id="78" w:name="Tc_A-nDxFVvCUiYm_LrErf0HQ_14_0"/>
      <w:bookmarkStart w:id="79" w:name="Tc_VpF1E1UjaUKOoYyIh_WEnQ_13_0"/>
      <w:bookmarkStart w:id="80" w:name="Tc_Pnc_sTo1xkaxYhYt45Vgew_12_0"/>
      <w:bookmarkStart w:id="81" w:name="Tc_jriE4vMrZkaFykPdjs_VUQ_10_0"/>
      <w:bookmarkStart w:id="82" w:name="Tc_Ea4U_4lpv0Wjquka_-nhQA_9_0"/>
      <w:bookmarkStart w:id="83" w:name="Tc_tRPnC_u7oUizro57NWBCrg_8_0"/>
      <w:bookmarkStart w:id="84" w:name="Tc_aMpGqUL1iUiSUywSdtUOpg_7_0"/>
      <w:bookmarkStart w:id="85" w:name="Tc_-CLYlAcxR0KahQNRe9hrgQ_6_5"/>
      <w:bookmarkStart w:id="86" w:name="Tc_gd92EPJH8EK7M_u-TvkWtw_6_2"/>
      <w:bookmarkStart w:id="87" w:name="Tc_ht0_Nn7cfEOMvc3lx0vVcg_6_0"/>
      <w:bookmarkStart w:id="88" w:name="Tc_9z6i9ftwVkSKdg56Ww4pkA_5_0"/>
      <w:bookmarkStart w:id="89" w:name="Tc_JEfnYJ9u3EOdbJiK2_59UQ_4_0"/>
      <w:bookmarkStart w:id="90" w:name="Tc_WUIDzZhsEEy2WqUXGNaHSw_3_6"/>
      <w:bookmarkStart w:id="91" w:name="Tc__ZNLHAIjgkOwfFJ3N9oPJA_3_2"/>
      <w:bookmarkStart w:id="92" w:name="Tc_ZGhqdcxiOEa7NykVnXbw4A_2_5"/>
      <w:bookmarkStart w:id="93" w:name="Tc_bLzS4ZjFzUiZoBvEQz8LuA_2_2"/>
      <w:bookmarkStart w:id="94" w:name="Tc_JyeIIp8I50WT94lg6kh5AA_1_2"/>
      <w:bookmarkStart w:id="95" w:name="_6460aed7_7eb6_4804_8509_44fbbd9ed64b"/>
      <w:bookmarkStart w:id="96" w:name="Tc_5Ttx2DAUCEGnLGFlrFXZfw_36_5"/>
      <w:bookmarkStart w:id="97" w:name="Tc_ONpvnqPg70eGeiO6QklUPg_36_2"/>
      <w:bookmarkStart w:id="98" w:name="Tc_XSrRyb_rv02EUHOdiyQd9w_36_0"/>
      <w:bookmarkStart w:id="99" w:name="Tc_-5jtugSVTkWaUJRJwLYXQQ_35_0"/>
      <w:bookmarkStart w:id="100" w:name="Tc_g7KGEZ3_D0iP5ueDl-tg8g_34_0"/>
      <w:bookmarkStart w:id="101" w:name="Tc_Bt1VlqNl90yxz6nCvNL9jg_33_0"/>
      <w:bookmarkStart w:id="102" w:name="Tc_VT1dfm34-E-x2-BVAPwvnQ_32_0"/>
      <w:bookmarkStart w:id="103" w:name="_b028da51_8530_4faf_ae33_bafdd6988706_3"/>
      <w:bookmarkStart w:id="104" w:name="_b028da51_8530_4faf_ae33_bafdd6988706_2"/>
      <w:bookmarkStart w:id="105" w:name="_b028da51_8530_4faf_ae33_bafdd6988706"/>
      <w:bookmarkStart w:id="106" w:name="Tc_CeQFcjiIiUG2_6i44CJWhA_31_0"/>
      <w:bookmarkStart w:id="107" w:name="Tc_3WCDUTorwEe9PA1HrXv-pA_30_0"/>
      <w:bookmarkStart w:id="108" w:name="Tc_hoRRj4x5PU-GhVzZZOmXAw_29_0"/>
      <w:bookmarkStart w:id="109" w:name="Tc_JUeiTDFtc0yfELPwAXnV3g_27_0"/>
      <w:bookmarkStart w:id="110" w:name="Tc_LdVcjPSU7EK6-mEaO7DNPQ_26_6"/>
      <w:bookmarkStart w:id="111" w:name="Tc_EDI1Vw5fck6Bk38efBYJHw_26_0"/>
      <w:bookmarkStart w:id="112" w:name="Tc_43QYOE--H0q3btkKDZgR_A_24_0"/>
      <w:bookmarkStart w:id="113" w:name="Tc_NVAb7W5w2ke9mdNJppqIHg_23_0"/>
      <w:bookmarkStart w:id="114" w:name="Tc_8kEe_jOWFkWs4JSy5nLpAw_22_0"/>
      <w:bookmarkStart w:id="115" w:name="Tc_U5P9qsLWw0qBMCUq7EVN2Q_21_0"/>
      <w:bookmarkStart w:id="116" w:name="Tc_Kmcnorvze0uTs6LXaWBNzw_20_0"/>
      <w:bookmarkStart w:id="117" w:name="Tc_7NALoOVYZ0i9XxfLPPL0vA_19_0"/>
      <w:bookmarkStart w:id="118" w:name="Tc_kxV2jl7S7EKnJPvzseIyjg_18_0"/>
      <w:bookmarkStart w:id="119" w:name="Tc_YIqFTGpe0E2W4A69Mr4NYA_17_5"/>
      <w:bookmarkStart w:id="120" w:name="Tc_TBLI8F_1GE6J8e7mkJQgXg_17_2"/>
      <w:bookmarkStart w:id="121" w:name="Tc_2sazS56voUqLXrLqw0XIJg_17_0"/>
      <w:bookmarkStart w:id="122" w:name="Tc_av3SqgYDF0-c6_4k2LA-UQ_16_0"/>
      <w:bookmarkStart w:id="123" w:name="Tc_-EM2anYnL0WdG4dY9TZRUA_15_0"/>
      <w:bookmarkStart w:id="124" w:name="Tc_nxa40iOELUmarjFYuR7K7w_14_5"/>
      <w:bookmarkStart w:id="125" w:name="Tc_GL3rXaZDFU-lc1pqc3zZCw_14_2"/>
      <w:bookmarkStart w:id="126" w:name="Tc_A-nDxFVvCUiYm_LrErf0HQ_14_0"/>
      <w:bookmarkStart w:id="127" w:name="Tc_VpF1E1UjaUKOoYyIh_WEnQ_13_0"/>
      <w:bookmarkStart w:id="128" w:name="Tc_Pnc_sTo1xkaxYhYt45Vgew_12_0"/>
      <w:bookmarkStart w:id="129" w:name="Tc_jriE4vMrZkaFykPdjs_VUQ_10_0"/>
      <w:bookmarkStart w:id="130" w:name="Tc_Ea4U_4lpv0Wjquka_-nhQA_9_0"/>
      <w:bookmarkStart w:id="131" w:name="Tc_tRPnC_u7oUizro57NWBCrg_8_0"/>
      <w:bookmarkStart w:id="132" w:name="Tc_aMpGqUL1iUiSUywSdtUOpg_7_0"/>
      <w:bookmarkStart w:id="133" w:name="Tc_-CLYlAcxR0KahQNRe9hrgQ_6_5"/>
      <w:bookmarkStart w:id="134" w:name="Tc_gd92EPJH8EK7M_u-TvkWtw_6_2"/>
      <w:bookmarkStart w:id="135" w:name="Tc_ht0_Nn7cfEOMvc3lx0vVcg_6_0"/>
      <w:bookmarkStart w:id="136" w:name="Tc_9z6i9ftwVkSKdg56Ww4pkA_5_0"/>
      <w:bookmarkStart w:id="137" w:name="Tc_JEfnYJ9u3EOdbJiK2_59UQ_4_0"/>
      <w:bookmarkStart w:id="138" w:name="Tc_WUIDzZhsEEy2WqUXGNaHSw_3_6"/>
      <w:bookmarkStart w:id="139" w:name="Tc__ZNLHAIjgkOwfFJ3N9oPJA_3_2"/>
      <w:bookmarkStart w:id="140" w:name="Tc_ZGhqdcxiOEa7NykVnXbw4A_2_5"/>
      <w:bookmarkStart w:id="141" w:name="Tc_bLzS4ZjFzUiZoBvEQz8LuA_2_2"/>
      <w:bookmarkStart w:id="142" w:name="Tc_JyeIIp8I50WT94lg6kh5AA_1_2"/>
      <w:bookmarkStart w:id="143" w:name="_6460aed7_7eb6_4804_8509_44fbbd9ed64b"/>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tbl>
      <w:tblPr>
        <w:tblW w:w="10205" w:type="dxa"/>
        <w:jc w:val="left"/>
        <w:tblInd w:w="0" w:type="dxa"/>
        <w:tblLayout w:type="fixed"/>
        <w:tblCellMar>
          <w:top w:w="0" w:type="dxa"/>
          <w:left w:w="0" w:type="dxa"/>
          <w:bottom w:w="0" w:type="dxa"/>
          <w:right w:w="0" w:type="dxa"/>
        </w:tblCellMar>
      </w:tblPr>
      <w:tblGrid>
        <w:gridCol w:w="6881"/>
        <w:gridCol w:w="326"/>
        <w:gridCol w:w="225"/>
        <w:gridCol w:w="901"/>
        <w:gridCol w:w="326"/>
        <w:gridCol w:w="297"/>
        <w:gridCol w:w="1249"/>
      </w:tblGrid>
      <w:tr>
        <w:trPr/>
        <w:tc>
          <w:tcPr>
            <w:tcW w:w="6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69435" cy="175260"/>
                      <wp:effectExtent l="0" t="0" r="0" b="0"/>
                      <wp:wrapNone/>
                      <wp:docPr id="15" name="Frame14"/>
                      <a:graphic xmlns:a="http://schemas.openxmlformats.org/drawingml/2006/main">
                        <a:graphicData uri="http://schemas.microsoft.com/office/word/2010/wordprocessingShape">
                          <wps:wsp>
                            <wps:cNvSpPr txBox="1"/>
                            <wps:spPr>
                              <a:xfrm>
                                <a:off x="0" y="0"/>
                                <a:ext cx="436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2875" cy="175260"/>
                      <wp:effectExtent l="0" t="0" r="0" b="0"/>
                      <wp:wrapNone/>
                      <wp:docPr id="17" name="Frame1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2135" cy="175260"/>
                      <wp:effectExtent l="0" t="0" r="0" b="0"/>
                      <wp:wrapNone/>
                      <wp:docPr id="18" name="Frame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8595" cy="175260"/>
                      <wp:effectExtent l="0" t="0" r="0" b="0"/>
                      <wp:wrapNone/>
                      <wp:docPr id="20" name="Frame1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93115" cy="175260"/>
                      <wp:effectExtent l="0" t="0" r="0" b="0"/>
                      <wp:wrapNone/>
                      <wp:docPr id="21" name="Frame2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r>
      <w:tr>
        <w:trPr/>
        <w:tc>
          <w:tcPr>
            <w:tcW w:w="688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pPr>
            <w:r>
              <w:rPr/>
              <w:t>  </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  </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2,912</w:t>
            </w:r>
          </w:p>
        </w:tc>
      </w:tr>
      <w:tr>
        <w:trPr/>
        <w:tc>
          <w:tcPr>
            <w:tcW w:w="6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r>
      <w:tr>
        <w:trPr/>
        <w:tc>
          <w:tcPr>
            <w:tcW w:w="6881" w:type="dxa"/>
            <w:tcBorders/>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 (DEFICIT)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loan payable,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4,872</w:t>
            </w:r>
          </w:p>
        </w:tc>
      </w:tr>
      <w:tr>
        <w:trPr/>
        <w:tc>
          <w:tcPr>
            <w:tcW w:w="6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long-term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4,872</w:t>
            </w:r>
          </w:p>
        </w:tc>
      </w:tr>
      <w:tr>
        <w:trPr/>
        <w:tc>
          <w:tcPr>
            <w:tcW w:w="68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left"/>
              <w:rPr/>
            </w:pPr>
            <w:r>
              <w:rPr/>
              <w:t>​</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8)</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as of June 30, 2025 and December 31, 2024; no shares issued or outstanding as of June 30, 2025 and December 31, 2024.</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$0.00001 par value, 200,000,000 shares authorized as of June 30, 2025 and December 31, 2024; 39,260,571 and 13,575,907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2025 and December 31,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415,367</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399,362</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(406,594)</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(400,440)</w:t>
            </w:r>
          </w:p>
        </w:tc>
      </w:tr>
      <w:tr>
        <w:trPr/>
        <w:tc>
          <w:tcPr>
            <w:tcW w:w="688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 (deficit)</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8,774</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68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3,795</w:t>
            </w:r>
          </w:p>
        </w:tc>
      </w:tr>
    </w:tbl>
    <w:p>
      <w:pPr>
        <w:pStyle w:val="TextBody"/>
        <w:bidi w:val="0"/>
        <w:spacing w:before="0" w:after="240"/>
        <w:ind w:left="0" w:right="0" w:hanging="0"/>
        <w:jc w:val="left"/>
        <w:rPr/>
      </w:pPr>
      <w:r>
        <w:rPr/>
        <w:t>​</w:t>
      </w:r>
    </w:p>
    <w:tbl>
      <w:tblPr>
        <w:tblW w:w="9816" w:type="dxa"/>
        <w:jc w:val="left"/>
        <w:tblInd w:w="0" w:type="dxa"/>
        <w:tblLayout w:type="fixed"/>
        <w:tblCellMar>
          <w:top w:w="28" w:type="dxa"/>
          <w:left w:w="28" w:type="dxa"/>
          <w:bottom w:w="28" w:type="dxa"/>
          <w:right w:w="28" w:type="dxa"/>
        </w:tblCellMar>
      </w:tblPr>
      <w:tblGrid>
        <w:gridCol w:w="124"/>
        <w:gridCol w:w="331"/>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condensed balance sheet as of December 31, 2024 was derived from the audited balance sheet as of that date.</w:t>
            </w:r>
            <w:r>
              <w:rPr>
                <w:caps w:val="false"/>
                <w:smallCaps w:val="false"/>
              </w:rPr>
              <w:t xml:space="preserve">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4" w:name="_4c6a8dfd_85d9_43a1_b1c7_1008ff4e6a05"/>
      <w:bookmarkEnd w:id="144"/>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45" w:name="Tc_a46qGFRRCE6unGc7dvTEwg_21_0"/>
      <w:bookmarkStart w:id="146" w:name="Tc_jnIlunag4k-dYoS_hbDIuw_20_11"/>
      <w:bookmarkStart w:id="147" w:name="Tc_r80HmgViN0u0944lDyFAqA_20_8"/>
      <w:bookmarkStart w:id="148" w:name="Tc_Q_iQStFPZEuysyIsfzDSeg_20_5"/>
      <w:bookmarkStart w:id="149" w:name="Tc__cW3G8liBUqxuOPAIeOwuA_20_2"/>
      <w:bookmarkStart w:id="150" w:name="Tc_f26hiCKC-kKVBKiPtktheg_20_0"/>
      <w:bookmarkStart w:id="151" w:name="Tc_csQsMnKQtUe0iZ17piOLLA_19_11"/>
      <w:bookmarkStart w:id="152" w:name="Tc_M0bLiWeoTUyDayT_95RPSA_19_8"/>
      <w:bookmarkStart w:id="153" w:name="Tc_E4ZH47kLSUeXmw6gY7msHA_19_5"/>
      <w:bookmarkStart w:id="154" w:name="Tc_IkM-9pVMrEG8_HvUJrB4fA_19_2"/>
      <w:bookmarkStart w:id="155" w:name="Tc_T2heyOITNESAynB3K4EHwQ_19_0"/>
      <w:bookmarkStart w:id="156" w:name="Tc_vJy__iUB40OMq5UVfF0K-w_18_0"/>
      <w:bookmarkStart w:id="157" w:name="Tc_8howmMi4qk6c7tiAFmRYSA_17_12"/>
      <w:bookmarkStart w:id="158" w:name="Tc_EyOVkzh-x0yiYxPGKm-hUw_17_6"/>
      <w:bookmarkStart w:id="159" w:name="Tc_D4R28i3IjUqbHmdo4soAeA_17_0"/>
      <w:bookmarkStart w:id="160" w:name="Tc_e9DV_gKgGkO6JSeamyEZKA_16_0"/>
      <w:bookmarkStart w:id="161" w:name="Tc_iD877PbiZU25hdJmwzC0Tg_15_3"/>
      <w:bookmarkStart w:id="162" w:name="Tc_qu4RRF5wK0KtUwpWpzCMug_15_0"/>
      <w:bookmarkStart w:id="163" w:name="Tc_7jcy3mYjOUivrnqSQJvWDA_14_0"/>
      <w:bookmarkStart w:id="164" w:name="Tc_RiwISVOgBEaj2WCA6q3t3Q_13_0"/>
      <w:bookmarkStart w:id="165" w:name="Tc_y5rLkd4gw0aRll1Xor1ZGw_12_0"/>
      <w:bookmarkStart w:id="166" w:name="Tc_MOOJwL8t5kewgakR_6FcLA_11_12"/>
      <w:bookmarkStart w:id="167" w:name="Tc_7TdMWA2JEUOLESPPezVyVA_11_6"/>
      <w:bookmarkStart w:id="168" w:name="Tc_CagC-fycTk6MtmXbRwo3LQ_11_0"/>
      <w:bookmarkStart w:id="169" w:name="Tc_frVvOQmkjUqYf6OicR7n-g_10_0"/>
      <w:bookmarkStart w:id="170" w:name="Tc_h7utsbUpEkiavvqWLWXyVg_9_0"/>
      <w:bookmarkStart w:id="171" w:name="Tc_fzWON8VBfkuO3mUC89dm4g_8_0"/>
      <w:bookmarkStart w:id="172" w:name="Tc_JjCRskbrUEC6t3LqtldEsw_7_0"/>
      <w:bookmarkStart w:id="173" w:name="Tc_RHpSRRjyBEuEXMsd04tm8g_6_0"/>
      <w:bookmarkStart w:id="174" w:name="Tc_gwfyuREFMUqRsaq_5xjrLw_5_0"/>
      <w:bookmarkStart w:id="175" w:name="Tc_d2jaNBw8UUCkUwvZ0aPSUQ_4_0"/>
      <w:bookmarkStart w:id="176" w:name="Tc_3LqL8O6v0Ue2klMnMmF2Cg_3_11"/>
      <w:bookmarkStart w:id="177" w:name="Tc_1EpeB0QiiUaDEwneQ8IfHQ_3_8"/>
      <w:bookmarkStart w:id="178" w:name="Tc_7g48S4olUEGXF_3Te22EXw_3_5"/>
      <w:bookmarkStart w:id="179" w:name="Tc_ahmdf5t1BUmaDufdgGY2Zw_3_2"/>
      <w:bookmarkStart w:id="180" w:name="Tc_wjLKBBOBNEOa-D67x5FjGQ_3_0"/>
      <w:bookmarkStart w:id="181" w:name="Tc_c73c-M2Omk2jBXTgeIJIfw_2_11"/>
      <w:bookmarkStart w:id="182" w:name="Tc_oWOc8pDfPkmSXzkJ3x3Cng_2_8"/>
      <w:bookmarkStart w:id="183" w:name="Tc_abR1kzstXECdT4aLqIC-tw_2_5"/>
      <w:bookmarkStart w:id="184" w:name="Tc_aBRYdoyHSk-TmHrpFYNdZw_2_2"/>
      <w:bookmarkStart w:id="185" w:name="Tc_x27ZqPUDJkSeDimm_ZJCfQ_1_8"/>
      <w:bookmarkStart w:id="186" w:name="Tc_j2BTWRR9ZEm_s8e23qs33Q_1_2"/>
      <w:bookmarkStart w:id="187" w:name="_ab1532d6_e98f_4d90_921c_5a61801ea59d"/>
      <w:bookmarkStart w:id="188" w:name="_088c38cb_98a7_45a8_85d2_aa8a304d16b6"/>
      <w:bookmarkStart w:id="189" w:name="Tc_a46qGFRRCE6unGc7dvTEwg_21_0"/>
      <w:bookmarkStart w:id="190" w:name="Tc_jnIlunag4k-dYoS_hbDIuw_20_11"/>
      <w:bookmarkStart w:id="191" w:name="Tc_r80HmgViN0u0944lDyFAqA_20_8"/>
      <w:bookmarkStart w:id="192" w:name="Tc_Q_iQStFPZEuysyIsfzDSeg_20_5"/>
      <w:bookmarkStart w:id="193" w:name="Tc__cW3G8liBUqxuOPAIeOwuA_20_2"/>
      <w:bookmarkStart w:id="194" w:name="Tc_f26hiCKC-kKVBKiPtktheg_20_0"/>
      <w:bookmarkStart w:id="195" w:name="Tc_csQsMnKQtUe0iZ17piOLLA_19_11"/>
      <w:bookmarkStart w:id="196" w:name="Tc_M0bLiWeoTUyDayT_95RPSA_19_8"/>
      <w:bookmarkStart w:id="197" w:name="Tc_E4ZH47kLSUeXmw6gY7msHA_19_5"/>
      <w:bookmarkStart w:id="198" w:name="Tc_IkM-9pVMrEG8_HvUJrB4fA_19_2"/>
      <w:bookmarkStart w:id="199" w:name="Tc_T2heyOITNESAynB3K4EHwQ_19_0"/>
      <w:bookmarkStart w:id="200" w:name="Tc_vJy__iUB40OMq5UVfF0K-w_18_0"/>
      <w:bookmarkStart w:id="201" w:name="Tc_8howmMi4qk6c7tiAFmRYSA_17_12"/>
      <w:bookmarkStart w:id="202" w:name="Tc_EyOVkzh-x0yiYxPGKm-hUw_17_6"/>
      <w:bookmarkStart w:id="203" w:name="Tc_D4R28i3IjUqbHmdo4soAeA_17_0"/>
      <w:bookmarkStart w:id="204" w:name="Tc_e9DV_gKgGkO6JSeamyEZKA_16_0"/>
      <w:bookmarkStart w:id="205" w:name="Tc_iD877PbiZU25hdJmwzC0Tg_15_3"/>
      <w:bookmarkStart w:id="206" w:name="Tc_qu4RRF5wK0KtUwpWpzCMug_15_0"/>
      <w:bookmarkStart w:id="207" w:name="Tc_7jcy3mYjOUivrnqSQJvWDA_14_0"/>
      <w:bookmarkStart w:id="208" w:name="Tc_RiwISVOgBEaj2WCA6q3t3Q_13_0"/>
      <w:bookmarkStart w:id="209" w:name="Tc_y5rLkd4gw0aRll1Xor1ZGw_12_0"/>
      <w:bookmarkStart w:id="210" w:name="Tc_MOOJwL8t5kewgakR_6FcLA_11_12"/>
      <w:bookmarkStart w:id="211" w:name="Tc_7TdMWA2JEUOLESPPezVyVA_11_6"/>
      <w:bookmarkStart w:id="212" w:name="Tc_CagC-fycTk6MtmXbRwo3LQ_11_0"/>
      <w:bookmarkStart w:id="213" w:name="Tc_frVvOQmkjUqYf6OicR7n-g_10_0"/>
      <w:bookmarkStart w:id="214" w:name="Tc_h7utsbUpEkiavvqWLWXyVg_9_0"/>
      <w:bookmarkStart w:id="215" w:name="Tc_fzWON8VBfkuO3mUC89dm4g_8_0"/>
      <w:bookmarkStart w:id="216" w:name="Tc_JjCRskbrUEC6t3LqtldEsw_7_0"/>
      <w:bookmarkStart w:id="217" w:name="Tc_RHpSRRjyBEuEXMsd04tm8g_6_0"/>
      <w:bookmarkStart w:id="218" w:name="Tc_gwfyuREFMUqRsaq_5xjrLw_5_0"/>
      <w:bookmarkStart w:id="219" w:name="Tc_d2jaNBw8UUCkUwvZ0aPSUQ_4_0"/>
      <w:bookmarkStart w:id="220" w:name="Tc_3LqL8O6v0Ue2klMnMmF2Cg_3_11"/>
      <w:bookmarkStart w:id="221" w:name="Tc_1EpeB0QiiUaDEwneQ8IfHQ_3_8"/>
      <w:bookmarkStart w:id="222" w:name="Tc_7g48S4olUEGXF_3Te22EXw_3_5"/>
      <w:bookmarkStart w:id="223" w:name="Tc_ahmdf5t1BUmaDufdgGY2Zw_3_2"/>
      <w:bookmarkStart w:id="224" w:name="Tc_wjLKBBOBNEOa-D67x5FjGQ_3_0"/>
      <w:bookmarkStart w:id="225" w:name="Tc_c73c-M2Omk2jBXTgeIJIfw_2_11"/>
      <w:bookmarkStart w:id="226" w:name="Tc_oWOc8pDfPkmSXzkJ3x3Cng_2_8"/>
      <w:bookmarkStart w:id="227" w:name="Tc_abR1kzstXECdT4aLqIC-tw_2_5"/>
      <w:bookmarkStart w:id="228" w:name="Tc_aBRYdoyHSk-TmHrpFYNdZw_2_2"/>
      <w:bookmarkStart w:id="229" w:name="Tc_x27ZqPUDJkSeDimm_ZJCfQ_1_8"/>
      <w:bookmarkStart w:id="230" w:name="Tc_j2BTWRR9ZEm_s8e23qs33Q_1_2"/>
      <w:bookmarkStart w:id="231" w:name="_ab1532d6_e98f_4d90_921c_5a61801ea59d"/>
      <w:bookmarkStart w:id="232" w:name="_088c38cb_98a7_45a8_85d2_aa8a304d16b6"/>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tbl>
      <w:tblPr>
        <w:tblW w:w="10205" w:type="dxa"/>
        <w:jc w:val="left"/>
        <w:tblInd w:w="0" w:type="dxa"/>
        <w:tblLayout w:type="fixed"/>
        <w:tblCellMar>
          <w:top w:w="0" w:type="dxa"/>
          <w:left w:w="0" w:type="dxa"/>
          <w:bottom w:w="0" w:type="dxa"/>
          <w:right w:w="0" w:type="dxa"/>
        </w:tblCellMar>
      </w:tblPr>
      <w:tblGrid>
        <w:gridCol w:w="3878"/>
        <w:gridCol w:w="326"/>
        <w:gridCol w:w="221"/>
        <w:gridCol w:w="1089"/>
        <w:gridCol w:w="342"/>
        <w:gridCol w:w="221"/>
        <w:gridCol w:w="978"/>
        <w:gridCol w:w="326"/>
        <w:gridCol w:w="211"/>
        <w:gridCol w:w="1036"/>
        <w:gridCol w:w="326"/>
        <w:gridCol w:w="211"/>
        <w:gridCol w:w="1040"/>
      </w:tblGrid>
      <w:tr>
        <w:trPr/>
        <w:tc>
          <w:tcPr>
            <w:tcW w:w="3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62530" cy="175260"/>
                      <wp:effectExtent l="0" t="0" r="0" b="0"/>
                      <wp:wrapNone/>
                      <wp:docPr id="22" name="Frame21"/>
                      <a:graphic xmlns:a="http://schemas.openxmlformats.org/drawingml/2006/main">
                        <a:graphicData uri="http://schemas.microsoft.com/office/word/2010/wordprocessingShape">
                          <wps:wsp>
                            <wps:cNvSpPr txBox="1"/>
                            <wps:spPr>
                              <a:xfrm>
                                <a:off x="0" y="0"/>
                                <a:ext cx="2462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0335" cy="175260"/>
                      <wp:effectExtent l="0" t="0" r="0" b="0"/>
                      <wp:wrapNone/>
                      <wp:docPr id="24" name="Frame2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1515" cy="175260"/>
                      <wp:effectExtent l="0" t="0" r="0" b="0"/>
                      <wp:wrapNone/>
                      <wp:docPr id="25" name="Frame24"/>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7170" cy="175260"/>
                      <wp:effectExtent l="0" t="0" r="0" b="0"/>
                      <wp:wrapNone/>
                      <wp:docPr id="26" name="Frame2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0335" cy="175260"/>
                      <wp:effectExtent l="0" t="0" r="0" b="0"/>
                      <wp:wrapNone/>
                      <wp:docPr id="27" name="Frame2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21030" cy="175260"/>
                      <wp:effectExtent l="0" t="0" r="0" b="0"/>
                      <wp:wrapNone/>
                      <wp:docPr id="28" name="Frame27"/>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57860" cy="175260"/>
                      <wp:effectExtent l="0" t="0" r="0" b="0"/>
                      <wp:wrapNone/>
                      <wp:docPr id="31" name="Frame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0400" cy="175260"/>
                      <wp:effectExtent l="0" t="0" r="0" b="0"/>
                      <wp:wrapNone/>
                      <wp:docPr id="34" name="Frame33"/>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8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26" w:type="dxa"/>
            <w:tcBorders/>
            <w:vAlign w:val="center"/>
          </w:tcPr>
          <w:p>
            <w:pPr>
              <w:pStyle w:val="TableContents"/>
              <w:bidi w:val="0"/>
              <w:spacing w:before="0" w:after="1"/>
              <w:ind w:left="0" w:right="0" w:hanging="0"/>
              <w:jc w:val="center"/>
              <w:rPr/>
            </w:pPr>
            <w:r>
              <w:rPr/>
              <w:t>    </w:t>
            </w:r>
          </w:p>
        </w:tc>
        <w:tc>
          <w:tcPr>
            <w:tcW w:w="28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8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2" w:type="dxa"/>
            <w:tcBorders/>
            <w:vAlign w:val="center"/>
          </w:tcPr>
          <w:p>
            <w:pPr>
              <w:pStyle w:val="TableContents"/>
              <w:bidi w:val="0"/>
              <w:spacing w:before="0" w:after="1"/>
              <w:ind w:left="0" w:right="0" w:hanging="0"/>
              <w:jc w:val="center"/>
              <w:rPr/>
            </w:pPr>
            <w:r>
              <w:rPr/>
              <w:t>    </w:t>
            </w:r>
          </w:p>
        </w:tc>
        <w:tc>
          <w:tcPr>
            <w:tcW w:w="11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1089" w:type="dxa"/>
            <w:tcBorders/>
            <w:vAlign w:val="center"/>
          </w:tcPr>
          <w:p>
            <w:pPr>
              <w:pStyle w:val="TableContents"/>
              <w:bidi w:val="0"/>
              <w:spacing w:before="0" w:after="1"/>
              <w:ind w:left="0" w:right="0" w:hanging="0"/>
              <w:jc w:val="right"/>
              <w:rPr/>
            </w:pPr>
            <w:r>
              <w:rPr/>
              <w:t>​</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0" w:type="dxa"/>
            <w:tcBorders/>
            <w:vAlign w:val="center"/>
          </w:tcPr>
          <w:p>
            <w:pPr>
              <w:pStyle w:val="TableContents"/>
              <w:bidi w:val="0"/>
              <w:spacing w:before="0" w:after="1"/>
              <w:ind w:left="0" w:right="0" w:hanging="0"/>
              <w:jc w:val="right"/>
              <w:rPr/>
            </w:pPr>
            <w:r>
              <w:rPr/>
              <w:t>​</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4,488</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Sales and marketing </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3,118</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11,195</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(2,780)</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(11,316)</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pPr>
            <w:r>
              <w:rPr/>
              <w:t>​</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0" w:type="dxa"/>
            <w:tcBorders/>
            <w:vAlign w:val="center"/>
          </w:tcPr>
          <w:p>
            <w:pPr>
              <w:pStyle w:val="TableContents"/>
              <w:bidi w:val="0"/>
              <w:spacing w:before="0" w:after="1"/>
              <w:ind w:left="0" w:right="0" w:hanging="0"/>
              <w:jc w:val="right"/>
              <w:rPr/>
            </w:pPr>
            <w:r>
              <w:rPr/>
              <w:t>​</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1089" w:type="dxa"/>
            <w:tcBorders/>
            <w:shd w:fill="CCEEFF" w:val="clear"/>
            <w:vAlign w:val="center"/>
          </w:tcPr>
          <w:p>
            <w:pPr>
              <w:pStyle w:val="TableContents"/>
              <w:bidi w:val="0"/>
              <w:spacing w:before="0" w:after="1"/>
              <w:ind w:left="0" w:right="0" w:hanging="0"/>
              <w:jc w:val="right"/>
              <w:rPr/>
            </w:pPr>
            <w:r>
              <w:rPr/>
              <w:t>—</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10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(10,857)</w:t>
            </w:r>
          </w:p>
        </w:tc>
      </w:tr>
      <w:tr>
        <w:trPr/>
        <w:tc>
          <w:tcPr>
            <w:tcW w:w="38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common share</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42"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38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35,638,362</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6,539,202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32,060,653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6,250,194</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3" w:name="_d3f532e4_7537_4d50_9f63_d44d3ef1906c"/>
      <w:bookmarkEnd w:id="233"/>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 OF CHANGES IN STOCKHOLDERS’ EQUITY (DEFICIT)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4" w:name="Tc_NlTIcxMXBECmPQxVY4R4iA_15_13"/>
      <w:bookmarkStart w:id="235" w:name="Tc_u5MS5hfZpUWGkAaPshzVCw_15_10"/>
      <w:bookmarkStart w:id="236" w:name="Tc_t_2otP65Zku39PoApU4scA_15_7"/>
      <w:bookmarkStart w:id="237" w:name="Tc_nNpiElRWtkanjdkkHGC0nw_15_4"/>
      <w:bookmarkStart w:id="238" w:name="Tc_ID4pMiztP0OsOR3X19N-lQ_15_0"/>
      <w:bookmarkStart w:id="239" w:name="Tc_jliNRR3f2Uq4OL4jh4uT3Q_14_8"/>
      <w:bookmarkStart w:id="240" w:name="Tc_JlLh7qh8Ik-01VhhsyDCuA_14_5"/>
      <w:bookmarkStart w:id="241" w:name="Tc_Y33wqqrBEUyOF0_dlriAIA_14_2"/>
      <w:bookmarkStart w:id="242" w:name="Tc_RDyq-lq40UaVJsqH-2xf3A_14_0"/>
      <w:bookmarkStart w:id="243" w:name="Tc_iZsEEO2LNkmc_h90aTVQYQ_13_11"/>
      <w:bookmarkStart w:id="244" w:name="Tc_UcrPuCTS4EGfGmLvfhcHUw_13_5"/>
      <w:bookmarkStart w:id="245" w:name="Tc_lKAdguGSUUaQiK2Nx6005g_13_0"/>
      <w:bookmarkStart w:id="246" w:name="Tc_EOo0C8c_xkekI9xUS4uwQw_12_14"/>
      <w:bookmarkStart w:id="247" w:name="Tc_USKr6N4OdkerTxDKKVqf_g_12_11"/>
      <w:bookmarkStart w:id="248" w:name="Tc_LTtS5uDUXECpGsssnqRuxA_12_8"/>
      <w:bookmarkStart w:id="249" w:name="Tc_j59VNpDvt0CAkjXE8vE8fA_12_5"/>
      <w:bookmarkStart w:id="250" w:name="Tc_b_g1HAlMEkKl6sf-MXwlZg_12_0"/>
      <w:bookmarkStart w:id="251" w:name="Tc_6OMaDhMtL0GxqL_drU8piQ_11_11"/>
      <w:bookmarkStart w:id="252" w:name="Tc_mpGVSTKDvUKrawCn8Czt1A_11_5"/>
      <w:bookmarkStart w:id="253" w:name="Tc_RVBKVKDndEO67Js5Z3TnlQ_11_2"/>
      <w:bookmarkStart w:id="254" w:name="Tc_OO3r8D-3LUy76Zuf9P1pgA_11_0"/>
      <w:bookmarkStart w:id="255" w:name="Tc_cVRTT5gho0qN2c65DtoP1Q_10_0"/>
      <w:bookmarkStart w:id="256" w:name="Tc_VFBHAwXtmUKFSNuBpIiGGQ_9_8"/>
      <w:bookmarkStart w:id="257" w:name="Tc_i07F4ZgL9EeUEUPJAsmvjQ_9_5"/>
      <w:bookmarkStart w:id="258" w:name="Tc_XtAlZDeip0Gkqvc__zDaiw_9_2"/>
      <w:bookmarkStart w:id="259" w:name="Tc_yKFdnDVbDkmv6nYRuAEPCw_9_0"/>
      <w:bookmarkStart w:id="260" w:name="Tc_ENgQvBb_qEqjKHj5l35o5w_8_11"/>
      <w:bookmarkStart w:id="261" w:name="Tc_4kn0t08MbEWEhWV5uLwsgw_8_5"/>
      <w:bookmarkStart w:id="262" w:name="Tc_DVZsVOGMUU-L4kSt9YkOgg_8_0"/>
      <w:bookmarkStart w:id="263" w:name="Tc_87ZkEQPLzkuSwRYTJToaxQ_7_11"/>
      <w:bookmarkStart w:id="264" w:name="Tc_5yXJBcKgME2PVJMh1ZOfLQ_7_5"/>
      <w:bookmarkStart w:id="265" w:name="Tc_ISusLKJuW0KyPcJjbWJfGw_7_0"/>
      <w:bookmarkStart w:id="266" w:name="Tc_i9JrjdlOZ02c-x_gvyptrA_6_14"/>
      <w:bookmarkStart w:id="267" w:name="Tc_K38BQXxgmkuKz_hoDzxcqg_6_11"/>
      <w:bookmarkStart w:id="268" w:name="Tc_iCaWNA7pR0Whq1UYEIA2zw_6_8"/>
      <w:bookmarkStart w:id="269" w:name="Tc_sRJ9QwYMQEuHndhDKUFGEg_6_5"/>
      <w:bookmarkStart w:id="270" w:name="Tc_ULSYV2eMe0y6vXNt1_-jDw_6_0"/>
      <w:bookmarkStart w:id="271" w:name="Tc_ddci4FaZ60CXu2G9FyWsjg_5_11"/>
      <w:bookmarkStart w:id="272" w:name="Tc_RW0pL8CspUG8JLYKzrH4PA_5_5"/>
      <w:bookmarkStart w:id="273" w:name="Tc_qNKZTk3IRk-s12crY8J6FA_5_2"/>
      <w:bookmarkStart w:id="274" w:name="Tc_eUuyr2GQ6Uqoegz6wRQ4IA_5_0"/>
      <w:bookmarkStart w:id="275" w:name="Tc_5aJ_niHBLEmnlPZYERPYAQ_4_13"/>
      <w:bookmarkStart w:id="276" w:name="Tc_9K4t-0bbIkaNGfR9WwSwZQ_4_10"/>
      <w:bookmarkStart w:id="277" w:name="Tc_67aIMQOr5kqcjXtOUWJiAg_4_7"/>
      <w:bookmarkStart w:id="278" w:name="Tc_oDVEXUpxt0KLgUObuIcK5g_4_4"/>
      <w:bookmarkStart w:id="279" w:name="Tc_WXu5mTU5B0G6pgnpjkdSbw_4_0"/>
      <w:bookmarkStart w:id="280" w:name="Tc_HdAVD0b15E2VtPqUhgCEnQ_3_13"/>
      <w:bookmarkStart w:id="281" w:name="Tc_47z5Q-qvDEWgJYIQHr5-UA_3_10"/>
      <w:bookmarkStart w:id="282" w:name="Tc_JugAXkxyOkuzzirmUPQ_qw_3_7"/>
      <w:bookmarkStart w:id="283" w:name="Tc_Q6r11NZHd0a5mn7_Nv1DPg_3_4"/>
      <w:bookmarkStart w:id="284" w:name="Tc_vyaT5G6HXEeBmp69MnFBSw_3_2"/>
      <w:bookmarkStart w:id="285" w:name="Tc_uE_MkQch_kOa4gK0L31Kgw_2_13"/>
      <w:bookmarkStart w:id="286" w:name="Tc_dAIOpJCvqEC7r1-wpvfyog_2_10"/>
      <w:bookmarkStart w:id="287" w:name="Tc_2kdrmxCztUqcRnGTNQTVuA_2_7"/>
      <w:bookmarkStart w:id="288" w:name="Tc_5gJ9qzblAEylJ9b5q71AhA_2_2"/>
      <w:bookmarkStart w:id="289" w:name="Tc_p65CCzkZ1UO90FzABb1z0A_1_13"/>
      <w:bookmarkStart w:id="290" w:name="Tc_IAHCWTaJvkqFZl_SuntRSA_1_7"/>
      <w:bookmarkStart w:id="291" w:name="_e3f1f7b4_80b5_4b0d_8dd5_2c0c106df20b"/>
      <w:bookmarkStart w:id="292" w:name="Tc_NlTIcxMXBECmPQxVY4R4iA_15_13"/>
      <w:bookmarkStart w:id="293" w:name="Tc_u5MS5hfZpUWGkAaPshzVCw_15_10"/>
      <w:bookmarkStart w:id="294" w:name="Tc_t_2otP65Zku39PoApU4scA_15_7"/>
      <w:bookmarkStart w:id="295" w:name="Tc_nNpiElRWtkanjdkkHGC0nw_15_4"/>
      <w:bookmarkStart w:id="296" w:name="Tc_ID4pMiztP0OsOR3X19N-lQ_15_0"/>
      <w:bookmarkStart w:id="297" w:name="Tc_jliNRR3f2Uq4OL4jh4uT3Q_14_8"/>
      <w:bookmarkStart w:id="298" w:name="Tc_JlLh7qh8Ik-01VhhsyDCuA_14_5"/>
      <w:bookmarkStart w:id="299" w:name="Tc_Y33wqqrBEUyOF0_dlriAIA_14_2"/>
      <w:bookmarkStart w:id="300" w:name="Tc_RDyq-lq40UaVJsqH-2xf3A_14_0"/>
      <w:bookmarkStart w:id="301" w:name="Tc_iZsEEO2LNkmc_h90aTVQYQ_13_11"/>
      <w:bookmarkStart w:id="302" w:name="Tc_UcrPuCTS4EGfGmLvfhcHUw_13_5"/>
      <w:bookmarkStart w:id="303" w:name="Tc_lKAdguGSUUaQiK2Nx6005g_13_0"/>
      <w:bookmarkStart w:id="304" w:name="Tc_EOo0C8c_xkekI9xUS4uwQw_12_14"/>
      <w:bookmarkStart w:id="305" w:name="Tc_USKr6N4OdkerTxDKKVqf_g_12_11"/>
      <w:bookmarkStart w:id="306" w:name="Tc_LTtS5uDUXECpGsssnqRuxA_12_8"/>
      <w:bookmarkStart w:id="307" w:name="Tc_j59VNpDvt0CAkjXE8vE8fA_12_5"/>
      <w:bookmarkStart w:id="308" w:name="Tc_b_g1HAlMEkKl6sf-MXwlZg_12_0"/>
      <w:bookmarkStart w:id="309" w:name="Tc_6OMaDhMtL0GxqL_drU8piQ_11_11"/>
      <w:bookmarkStart w:id="310" w:name="Tc_mpGVSTKDvUKrawCn8Czt1A_11_5"/>
      <w:bookmarkStart w:id="311" w:name="Tc_RVBKVKDndEO67Js5Z3TnlQ_11_2"/>
      <w:bookmarkStart w:id="312" w:name="Tc_OO3r8D-3LUy76Zuf9P1pgA_11_0"/>
      <w:bookmarkStart w:id="313" w:name="Tc_cVRTT5gho0qN2c65DtoP1Q_10_0"/>
      <w:bookmarkStart w:id="314" w:name="Tc_VFBHAwXtmUKFSNuBpIiGGQ_9_8"/>
      <w:bookmarkStart w:id="315" w:name="Tc_i07F4ZgL9EeUEUPJAsmvjQ_9_5"/>
      <w:bookmarkStart w:id="316" w:name="Tc_XtAlZDeip0Gkqvc__zDaiw_9_2"/>
      <w:bookmarkStart w:id="317" w:name="Tc_yKFdnDVbDkmv6nYRuAEPCw_9_0"/>
      <w:bookmarkStart w:id="318" w:name="Tc_ENgQvBb_qEqjKHj5l35o5w_8_11"/>
      <w:bookmarkStart w:id="319" w:name="Tc_4kn0t08MbEWEhWV5uLwsgw_8_5"/>
      <w:bookmarkStart w:id="320" w:name="Tc_DVZsVOGMUU-L4kSt9YkOgg_8_0"/>
      <w:bookmarkStart w:id="321" w:name="Tc_87ZkEQPLzkuSwRYTJToaxQ_7_11"/>
      <w:bookmarkStart w:id="322" w:name="Tc_5yXJBcKgME2PVJMh1ZOfLQ_7_5"/>
      <w:bookmarkStart w:id="323" w:name="Tc_ISusLKJuW0KyPcJjbWJfGw_7_0"/>
      <w:bookmarkStart w:id="324" w:name="Tc_i9JrjdlOZ02c-x_gvyptrA_6_14"/>
      <w:bookmarkStart w:id="325" w:name="Tc_K38BQXxgmkuKz_hoDzxcqg_6_11"/>
      <w:bookmarkStart w:id="326" w:name="Tc_iCaWNA7pR0Whq1UYEIA2zw_6_8"/>
      <w:bookmarkStart w:id="327" w:name="Tc_sRJ9QwYMQEuHndhDKUFGEg_6_5"/>
      <w:bookmarkStart w:id="328" w:name="Tc_ULSYV2eMe0y6vXNt1_-jDw_6_0"/>
      <w:bookmarkStart w:id="329" w:name="Tc_ddci4FaZ60CXu2G9FyWsjg_5_11"/>
      <w:bookmarkStart w:id="330" w:name="Tc_RW0pL8CspUG8JLYKzrH4PA_5_5"/>
      <w:bookmarkStart w:id="331" w:name="Tc_qNKZTk3IRk-s12crY8J6FA_5_2"/>
      <w:bookmarkStart w:id="332" w:name="Tc_eUuyr2GQ6Uqoegz6wRQ4IA_5_0"/>
      <w:bookmarkStart w:id="333" w:name="Tc_5aJ_niHBLEmnlPZYERPYAQ_4_13"/>
      <w:bookmarkStart w:id="334" w:name="Tc_9K4t-0bbIkaNGfR9WwSwZQ_4_10"/>
      <w:bookmarkStart w:id="335" w:name="Tc_67aIMQOr5kqcjXtOUWJiAg_4_7"/>
      <w:bookmarkStart w:id="336" w:name="Tc_oDVEXUpxt0KLgUObuIcK5g_4_4"/>
      <w:bookmarkStart w:id="337" w:name="Tc_WXu5mTU5B0G6pgnpjkdSbw_4_0"/>
      <w:bookmarkStart w:id="338" w:name="Tc_HdAVD0b15E2VtPqUhgCEnQ_3_13"/>
      <w:bookmarkStart w:id="339" w:name="Tc_47z5Q-qvDEWgJYIQHr5-UA_3_10"/>
      <w:bookmarkStart w:id="340" w:name="Tc_JugAXkxyOkuzzirmUPQ_qw_3_7"/>
      <w:bookmarkStart w:id="341" w:name="Tc_Q6r11NZHd0a5mn7_Nv1DPg_3_4"/>
      <w:bookmarkStart w:id="342" w:name="Tc_vyaT5G6HXEeBmp69MnFBSw_3_2"/>
      <w:bookmarkStart w:id="343" w:name="Tc_uE_MkQch_kOa4gK0L31Kgw_2_13"/>
      <w:bookmarkStart w:id="344" w:name="Tc_dAIOpJCvqEC7r1-wpvfyog_2_10"/>
      <w:bookmarkStart w:id="345" w:name="Tc_2kdrmxCztUqcRnGTNQTVuA_2_7"/>
      <w:bookmarkStart w:id="346" w:name="Tc_5gJ9qzblAEylJ9b5q71AhA_2_2"/>
      <w:bookmarkStart w:id="347" w:name="Tc_p65CCzkZ1UO90FzABb1z0A_1_13"/>
      <w:bookmarkStart w:id="348" w:name="Tc_IAHCWTaJvkqFZl_SuntRSA_1_7"/>
      <w:bookmarkStart w:id="349" w:name="_e3f1f7b4_80b5_4b0d_8dd5_2c0c106df20b"/>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tbl>
      <w:tblPr>
        <w:tblW w:w="10205" w:type="dxa"/>
        <w:jc w:val="left"/>
        <w:tblInd w:w="0" w:type="dxa"/>
        <w:tblLayout w:type="fixed"/>
        <w:tblCellMar>
          <w:top w:w="0" w:type="dxa"/>
          <w:left w:w="0" w:type="dxa"/>
          <w:bottom w:w="0" w:type="dxa"/>
          <w:right w:w="0" w:type="dxa"/>
        </w:tblCellMar>
      </w:tblPr>
      <w:tblGrid>
        <w:gridCol w:w="4256"/>
        <w:gridCol w:w="326"/>
        <w:gridCol w:w="796"/>
        <w:gridCol w:w="326"/>
        <w:gridCol w:w="216"/>
        <w:gridCol w:w="415"/>
        <w:gridCol w:w="326"/>
        <w:gridCol w:w="194"/>
        <w:gridCol w:w="649"/>
        <w:gridCol w:w="326"/>
        <w:gridCol w:w="207"/>
        <w:gridCol w:w="739"/>
        <w:gridCol w:w="326"/>
        <w:gridCol w:w="264"/>
        <w:gridCol w:w="839"/>
      </w:tblGrid>
      <w:tr>
        <w:trPr/>
        <w:tc>
          <w:tcPr>
            <w:tcW w:w="4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702560" cy="175260"/>
                      <wp:effectExtent l="0" t="0" r="0" b="0"/>
                      <wp:wrapNone/>
                      <wp:docPr id="35" name="Frame34"/>
                      <a:graphic xmlns:a="http://schemas.openxmlformats.org/drawingml/2006/main">
                        <a:graphicData uri="http://schemas.microsoft.com/office/word/2010/wordprocessingShape">
                          <wps:wsp>
                            <wps:cNvSpPr txBox="1"/>
                            <wps:spPr>
                              <a:xfrm>
                                <a:off x="0" y="0"/>
                                <a:ext cx="270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5460" cy="175260"/>
                      <wp:effectExtent l="0" t="0" r="0" b="0"/>
                      <wp:wrapNone/>
                      <wp:docPr id="37" name="Frame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160" cy="175260"/>
                      <wp:effectExtent l="0" t="0" r="0" b="0"/>
                      <wp:wrapNone/>
                      <wp:docPr id="39" name="Frame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3525" cy="175260"/>
                      <wp:effectExtent l="0" t="0" r="0" b="0"/>
                      <wp:wrapNone/>
                      <wp:docPr id="40" name="Frame3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3190" cy="175260"/>
                      <wp:effectExtent l="0" t="0" r="0" b="0"/>
                      <wp:wrapNone/>
                      <wp:docPr id="42" name="Frame41"/>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12115" cy="175260"/>
                      <wp:effectExtent l="0" t="0" r="0" b="0"/>
                      <wp:wrapNone/>
                      <wp:docPr id="43" name="Frame42"/>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1445" cy="175260"/>
                      <wp:effectExtent l="0" t="0" r="0" b="0"/>
                      <wp:wrapNone/>
                      <wp:docPr id="45" name="Frame44"/>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9265" cy="175260"/>
                      <wp:effectExtent l="0" t="0" r="0" b="0"/>
                      <wp:wrapNone/>
                      <wp:docPr id="46" name="Frame4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7640" cy="175260"/>
                      <wp:effectExtent l="0" t="0" r="0" b="0"/>
                      <wp:wrapNone/>
                      <wp:docPr id="48" name="Frame47"/>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2765" cy="175260"/>
                      <wp:effectExtent l="0" t="0" r="0" b="0"/>
                      <wp:wrapNone/>
                      <wp:docPr id="49" name="Frame4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0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center"/>
              <w:rPr/>
            </w:pPr>
            <w:r>
              <w:rPr/>
              <w:t>    </w:t>
            </w:r>
          </w:p>
        </w:tc>
        <w:tc>
          <w:tcPr>
            <w:tcW w:w="84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    </w:t>
            </w:r>
          </w:p>
        </w:tc>
        <w:tc>
          <w:tcPr>
            <w:tcW w:w="110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w:t>
            </w:r>
          </w:p>
        </w:tc>
        <w:tc>
          <w:tcPr>
            <w:tcW w:w="8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left"/>
              <w:rPr/>
            </w:pPr>
            <w:r>
              <w:rPr/>
              <w:t>​</w:t>
            </w:r>
          </w:p>
        </w:tc>
        <w:tc>
          <w:tcPr>
            <w:tcW w:w="11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42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January 1, 2025</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13,575,907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399,362</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(400,440)</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(1,077)</w:t>
            </w:r>
          </w:p>
        </w:tc>
      </w:tr>
      <w:tr>
        <w:trPr/>
        <w:tc>
          <w:tcPr>
            <w:tcW w:w="425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 restricted stock units (“RSUs”)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111</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111</w:t>
            </w:r>
          </w:p>
        </w:tc>
      </w:tr>
      <w:tr>
        <w:trPr/>
        <w:tc>
          <w:tcPr>
            <w:tcW w:w="42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39,404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pPr>
            <w:r>
              <w:rPr/>
              <w:t>—</w:t>
            </w:r>
          </w:p>
        </w:tc>
      </w:tr>
      <w:tr>
        <w:trPr/>
        <w:tc>
          <w:tcPr>
            <w:tcW w:w="425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issued to vendor for services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75,000</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w:t>
            </w:r>
          </w:p>
        </w:tc>
      </w:tr>
      <w:tr>
        <w:trPr/>
        <w:tc>
          <w:tcPr>
            <w:tcW w:w="42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shares in an at-the-market (“ATM”) placement, net of $940</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18,703,305</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13,803</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13,803</w:t>
            </w:r>
          </w:p>
        </w:tc>
      </w:tr>
      <w:tr>
        <w:trPr/>
        <w:tc>
          <w:tcPr>
            <w:tcW w:w="425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(3,366)</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(3,366)</w:t>
            </w:r>
          </w:p>
        </w:tc>
      </w:tr>
      <w:tr>
        <w:trPr/>
        <w:tc>
          <w:tcPr>
            <w:tcW w:w="42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March 31, 2025</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32,393,616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413,301</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(403,806)</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9,496</w:t>
            </w:r>
          </w:p>
        </w:tc>
      </w:tr>
      <w:tr>
        <w:trPr/>
        <w:tc>
          <w:tcPr>
            <w:tcW w:w="425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w:t>
            </w:r>
          </w:p>
        </w:tc>
      </w:tr>
      <w:tr>
        <w:trPr/>
        <w:tc>
          <w:tcPr>
            <w:tcW w:w="42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73,584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pPr>
            <w:r>
              <w:rPr/>
              <w:t>—</w:t>
            </w:r>
          </w:p>
        </w:tc>
      </w:tr>
      <w:tr>
        <w:trPr/>
        <w:tc>
          <w:tcPr>
            <w:tcW w:w="4256"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$107</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6,793,371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4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1,969</w:t>
            </w:r>
          </w:p>
        </w:tc>
        <w:tc>
          <w:tcPr>
            <w:tcW w:w="32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1,969</w:t>
            </w:r>
          </w:p>
        </w:tc>
      </w:tr>
      <w:tr>
        <w:trPr/>
        <w:tc>
          <w:tcPr>
            <w:tcW w:w="42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(2,788)</w:t>
            </w:r>
          </w:p>
        </w:tc>
        <w:tc>
          <w:tcPr>
            <w:tcW w:w="326" w:type="dxa"/>
            <w:tcBorders/>
            <w:shd w:fill="CCEEFF" w:val="clear"/>
            <w:vAlign w:val="center"/>
          </w:tcPr>
          <w:p>
            <w:pPr>
              <w:pStyle w:val="TableContents"/>
              <w:bidi w:val="0"/>
              <w:spacing w:before="0" w:after="1"/>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(2,788)</w:t>
            </w:r>
          </w:p>
        </w:tc>
      </w:tr>
      <w:tr>
        <w:trPr/>
        <w:tc>
          <w:tcPr>
            <w:tcW w:w="4256" w:type="dxa"/>
            <w:tcBorders/>
            <w:vAlign w:val="center"/>
          </w:tcPr>
          <w:p>
            <w:pPr>
              <w:pStyle w:val="TableContents"/>
              <w:pBdr/>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as of June 30, 2025</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39,260,571</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415,367</w:t>
            </w:r>
          </w:p>
        </w:tc>
        <w:tc>
          <w:tcPr>
            <w:tcW w:w="32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(406,594)</w:t>
            </w:r>
          </w:p>
        </w:tc>
        <w:tc>
          <w:tcPr>
            <w:tcW w:w="326" w:type="dxa"/>
            <w:tcBorders/>
            <w:vAlign w:val="center"/>
          </w:tcPr>
          <w:p>
            <w:pPr>
              <w:pStyle w:val="TableContents"/>
              <w:bidi w:val="0"/>
              <w:spacing w:before="0" w:after="1"/>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39"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8,774</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50" w:name="Tc_8wy9ZttKykK3wiEjFyucng_20_13"/>
      <w:bookmarkStart w:id="351" w:name="Tc__rqhe_aw-UO6I7QjnWwnWw_20_10"/>
      <w:bookmarkStart w:id="352" w:name="Tc_NonyShb1z0yduKjDtUIJOA_20_7"/>
      <w:bookmarkStart w:id="353" w:name="Tc_poi8dyZ2rk2AINyGfbpsgw_20_4"/>
      <w:bookmarkStart w:id="354" w:name="Tc_aBnNPnLGLUutaFxD_uYHMA_20_0"/>
      <w:bookmarkStart w:id="355" w:name="Tc_wQAAMo-hVkW7WuSRbluokA_19_8"/>
      <w:bookmarkStart w:id="356" w:name="Tc_xxMyef7XykSeCD7c3Wo1gw_19_5"/>
      <w:bookmarkStart w:id="357" w:name="Tc_LFFPkLu6bUmKwOnsTNtwmQ_19_2"/>
      <w:bookmarkStart w:id="358" w:name="Tc_g9TNR-HYHEGBNhvbiBBDCA_19_0"/>
      <w:bookmarkStart w:id="359" w:name="Tc_Gjsrp9gyVk62Zq7G46yh6w_18_14"/>
      <w:bookmarkStart w:id="360" w:name="Tc__QivmNlYm0O4oDhcXlzNaA_18_11"/>
      <w:bookmarkStart w:id="361" w:name="Tc_hLdyPectA0auRH9q5W9heg_18_8"/>
      <w:bookmarkStart w:id="362" w:name="Tc_47OGVBZGSUCtcRrEx-T3aA_18_5"/>
      <w:bookmarkStart w:id="363" w:name="Tc_2T7udzY83Ei9OckT5QWU_w_18_0"/>
      <w:bookmarkStart w:id="364" w:name="Tc_3z_pOK_XYUKbWLBQROCC_A_17_11"/>
      <w:bookmarkStart w:id="365" w:name="Tc_lxW5fMbSNUmKyRdZyeW0Gw_17_5"/>
      <w:bookmarkStart w:id="366" w:name="Tc_X0T6MTi9FkG0PfVWe-XG1Q_17_0"/>
      <w:bookmarkStart w:id="367" w:name="Tc_8OE3iqTaFUeUrIEafecJUw_16_14"/>
      <w:bookmarkStart w:id="368" w:name="Tc_eqS-4-7LZ0eqHWWZHgZe5A_16_11"/>
      <w:bookmarkStart w:id="369" w:name="Tc_7CkbRp3-jkaMp3pxx45omw_16_8"/>
      <w:bookmarkStart w:id="370" w:name="Tc_BbMZOi4vbUuE-HOSbrJSWA_16_5"/>
      <w:bookmarkStart w:id="371" w:name="Tc_18iJ54Lq8Um_BTql2EHLPg_16_0"/>
      <w:bookmarkStart w:id="372" w:name="Tc_7sHGT7ZEgk-cSseZxwlRhg_15_11"/>
      <w:bookmarkStart w:id="373" w:name="Tc_-VGfzNHT80So0jjLrVJyqg_15_5"/>
      <w:bookmarkStart w:id="374" w:name="Tc_lq-2IzJfhUGGFocSmOluxw_15_2"/>
      <w:bookmarkStart w:id="375" w:name="Tc_NAK1VVthcEWGQg_eXjzENw_15_0"/>
      <w:bookmarkStart w:id="376" w:name="Tc_y6-TZdaW6UKls8A67jnfQg_14_11"/>
      <w:bookmarkStart w:id="377" w:name="Tc_ZBWi2e0ZnEOi7ka1s279rA_14_5"/>
      <w:bookmarkStart w:id="378" w:name="Tc_SCVFNj4KRk6wX2jZptyaNg_14_2"/>
      <w:bookmarkStart w:id="379" w:name="Tc_JonH9VrAa0atFJXi20F2mg_14_0"/>
      <w:bookmarkStart w:id="380" w:name="Tc_aMc4sE_YYUWGmZEsEIXeog_13_0"/>
      <w:bookmarkStart w:id="381" w:name="Tc_eWquhb_zbES_CzudxlTeRw_12_8"/>
      <w:bookmarkStart w:id="382" w:name="Tc_zxkXxZnayk6h5LCMVKYgVg_12_5"/>
      <w:bookmarkStart w:id="383" w:name="Tc_CEhE73xI4EuBl7K1Tx3VZw_12_2"/>
      <w:bookmarkStart w:id="384" w:name="Tc_juU8NlpOR06XXY2FSQFd5Q_12_0"/>
      <w:bookmarkStart w:id="385" w:name="Tc_ylbhl1dIQkiVyHqvzsl9mA_11_11"/>
      <w:bookmarkStart w:id="386" w:name="Tc_jGArYEmaUE-bZOwajLG4ow_11_5"/>
      <w:bookmarkStart w:id="387" w:name="Tc_XkFG4ULFOk2WHLLPWlg41w_11_0"/>
      <w:bookmarkStart w:id="388" w:name="Tc_E44QYuTQOUuZVqE5c_EXWg_10_11"/>
      <w:bookmarkStart w:id="389" w:name="Tc_Ad7DT3eZmU2bdX2GLz1cBw_10_5"/>
      <w:bookmarkStart w:id="390" w:name="Tc_I9U2igFKaEyCP-RuK_fOkQ_10_0"/>
      <w:bookmarkStart w:id="391" w:name="Tc_ux8m6IeXJUudV4eBWxZfRg_9_11"/>
      <w:bookmarkStart w:id="392" w:name="Tc_HDxNlbqczkSjoVSx1IWlpA_9_5"/>
      <w:bookmarkStart w:id="393" w:name="Tc_RVdHi4hgjkeUTRjntqyomQ_9_2"/>
      <w:bookmarkStart w:id="394" w:name="Tc_u1RQt8xpj0qHUfjPuim_MA_9_0"/>
      <w:bookmarkStart w:id="395" w:name="Tc_yZ5Xg6xDpESp7xKjstTpvA_8_14"/>
      <w:bookmarkStart w:id="396" w:name="Tc_fDAQBtgoOUyaZm3w8qEZOg_8_11"/>
      <w:bookmarkStart w:id="397" w:name="Tc_pxJ7G6Tp_0KBauPq_ZyFtQ_8_8"/>
      <w:bookmarkStart w:id="398" w:name="Tc_421JGyQa0U2lQYSYvnTZCg_8_5"/>
      <w:bookmarkStart w:id="399" w:name="Tc_xI7XPqjoO0ai4OjH6BCg1A_8_0"/>
      <w:bookmarkStart w:id="400" w:name="Tc_CYhtQ5UiM0uHp-F6KtoTCw_7_11"/>
      <w:bookmarkStart w:id="401" w:name="Tc_L8Ucun-nFk2fJ1GQOJqR1A_7_5"/>
      <w:bookmarkStart w:id="402" w:name="Tc_pye_Ss0dvUudxhAcyYwWFQ_7_2"/>
      <w:bookmarkStart w:id="403" w:name="Tc_8kVVk85OIECcdFcrAXF-cQ_7_0"/>
      <w:bookmarkStart w:id="404" w:name="Tc_4WhAwEO-RE224caVVyVoqQ_6_11"/>
      <w:bookmarkStart w:id="405" w:name="Tc_lPd9Y-XjSkOXw9Q1NOZOzw_6_5"/>
      <w:bookmarkStart w:id="406" w:name="Tc_XfCvhJyoi0a5-7zTx66nPw_6_2"/>
      <w:bookmarkStart w:id="407" w:name="Tc_RJbVqQ-EIUKANMDJrarDyQ_6_0"/>
      <w:bookmarkStart w:id="408" w:name="Tc_zKuKOjyNUkuZQ-PY0Vlydw_5_11"/>
      <w:bookmarkStart w:id="409" w:name="Tc_1UcVBb2eNk-D-4WFaPec9w_5_5"/>
      <w:bookmarkStart w:id="410" w:name="Tc_QtDW96LwkEmb07YZiEjsdw_5_2"/>
      <w:bookmarkStart w:id="411" w:name="Tc_Kbhk7FdHEEW-il_a13fx-Q_5_0"/>
      <w:bookmarkStart w:id="412" w:name="Tc_dNo9LLRsFEu3mERp0IOZkw_4_13"/>
      <w:bookmarkStart w:id="413" w:name="Tc_zs4wvnoN6k-j7dzsi0iAqw_4_10"/>
      <w:bookmarkStart w:id="414" w:name="Tc_qOvEC5YZO0qK5EjYGSjWGg_4_7"/>
      <w:bookmarkStart w:id="415" w:name="Tc__OZvzsRbH0CHEaOpMo1AmA_4_4"/>
      <w:bookmarkStart w:id="416" w:name="Tc_xpfKzGOWfES4JM-l2cMLmA_4_0"/>
      <w:bookmarkStart w:id="417" w:name="Tc_fEcnFMvzdkW351_Ad4Q2cQ_3_13"/>
      <w:bookmarkStart w:id="418" w:name="Tc_X8UT0RWkm0WIleYTfQduYw_3_10"/>
      <w:bookmarkStart w:id="419" w:name="Tc_6UDHlYzOSUyodl-JLuGUGA_3_7"/>
      <w:bookmarkStart w:id="420" w:name="Tc_pfsrxlHkEk-OPScKi49bWw_3_4"/>
      <w:bookmarkStart w:id="421" w:name="Tc_Qhxq1GP_wEuE1mycYYm66A_3_2"/>
      <w:bookmarkStart w:id="422" w:name="Tc_41xIG7itU0mAeTekb6w07g_2_13"/>
      <w:bookmarkStart w:id="423" w:name="Tc_4fgK9xX4k0qM2cgevR21xw_2_10"/>
      <w:bookmarkStart w:id="424" w:name="Tc_p71IHg1mfk-ClCSpDeCX8Q_2_7"/>
      <w:bookmarkStart w:id="425" w:name="Tc_buaiOAgtIkG0ZxQhu7pEhA_2_2"/>
      <w:bookmarkStart w:id="426" w:name="Tc_kF4xUIjjOUquXCPkqnIeEA_1_13"/>
      <w:bookmarkStart w:id="427" w:name="Tc_taCawWjjMEaUiYGmfArSWQ_1_7"/>
      <w:bookmarkStart w:id="428" w:name="_8e4fee66_3d83_48f5_b872_b96f8be05500"/>
      <w:bookmarkStart w:id="429" w:name="Tc_8wy9ZttKykK3wiEjFyucng_20_13"/>
      <w:bookmarkStart w:id="430" w:name="Tc__rqhe_aw-UO6I7QjnWwnWw_20_10"/>
      <w:bookmarkStart w:id="431" w:name="Tc_NonyShb1z0yduKjDtUIJOA_20_7"/>
      <w:bookmarkStart w:id="432" w:name="Tc_poi8dyZ2rk2AINyGfbpsgw_20_4"/>
      <w:bookmarkStart w:id="433" w:name="Tc_aBnNPnLGLUutaFxD_uYHMA_20_0"/>
      <w:bookmarkStart w:id="434" w:name="Tc_wQAAMo-hVkW7WuSRbluokA_19_8"/>
      <w:bookmarkStart w:id="435" w:name="Tc_xxMyef7XykSeCD7c3Wo1gw_19_5"/>
      <w:bookmarkStart w:id="436" w:name="Tc_LFFPkLu6bUmKwOnsTNtwmQ_19_2"/>
      <w:bookmarkStart w:id="437" w:name="Tc_g9TNR-HYHEGBNhvbiBBDCA_19_0"/>
      <w:bookmarkStart w:id="438" w:name="Tc_Gjsrp9gyVk62Zq7G46yh6w_18_14"/>
      <w:bookmarkStart w:id="439" w:name="Tc__QivmNlYm0O4oDhcXlzNaA_18_11"/>
      <w:bookmarkStart w:id="440" w:name="Tc_hLdyPectA0auRH9q5W9heg_18_8"/>
      <w:bookmarkStart w:id="441" w:name="Tc_47OGVBZGSUCtcRrEx-T3aA_18_5"/>
      <w:bookmarkStart w:id="442" w:name="Tc_2T7udzY83Ei9OckT5QWU_w_18_0"/>
      <w:bookmarkStart w:id="443" w:name="Tc_3z_pOK_XYUKbWLBQROCC_A_17_11"/>
      <w:bookmarkStart w:id="444" w:name="Tc_lxW5fMbSNUmKyRdZyeW0Gw_17_5"/>
      <w:bookmarkStart w:id="445" w:name="Tc_X0T6MTi9FkG0PfVWe-XG1Q_17_0"/>
      <w:bookmarkStart w:id="446" w:name="Tc_8OE3iqTaFUeUrIEafecJUw_16_14"/>
      <w:bookmarkStart w:id="447" w:name="Tc_eqS-4-7LZ0eqHWWZHgZe5A_16_11"/>
      <w:bookmarkStart w:id="448" w:name="Tc_7CkbRp3-jkaMp3pxx45omw_16_8"/>
      <w:bookmarkStart w:id="449" w:name="Tc_BbMZOi4vbUuE-HOSbrJSWA_16_5"/>
      <w:bookmarkStart w:id="450" w:name="Tc_18iJ54Lq8Um_BTql2EHLPg_16_0"/>
      <w:bookmarkStart w:id="451" w:name="Tc_7sHGT7ZEgk-cSseZxwlRhg_15_11"/>
      <w:bookmarkStart w:id="452" w:name="Tc_-VGfzNHT80So0jjLrVJyqg_15_5"/>
      <w:bookmarkStart w:id="453" w:name="Tc_lq-2IzJfhUGGFocSmOluxw_15_2"/>
      <w:bookmarkStart w:id="454" w:name="Tc_NAK1VVthcEWGQg_eXjzENw_15_0"/>
      <w:bookmarkStart w:id="455" w:name="Tc_y6-TZdaW6UKls8A67jnfQg_14_11"/>
      <w:bookmarkStart w:id="456" w:name="Tc_ZBWi2e0ZnEOi7ka1s279rA_14_5"/>
      <w:bookmarkStart w:id="457" w:name="Tc_SCVFNj4KRk6wX2jZptyaNg_14_2"/>
      <w:bookmarkStart w:id="458" w:name="Tc_JonH9VrAa0atFJXi20F2mg_14_0"/>
      <w:bookmarkStart w:id="459" w:name="Tc_aMc4sE_YYUWGmZEsEIXeog_13_0"/>
      <w:bookmarkStart w:id="460" w:name="Tc_eWquhb_zbES_CzudxlTeRw_12_8"/>
      <w:bookmarkStart w:id="461" w:name="Tc_zxkXxZnayk6h5LCMVKYgVg_12_5"/>
      <w:bookmarkStart w:id="462" w:name="Tc_CEhE73xI4EuBl7K1Tx3VZw_12_2"/>
      <w:bookmarkStart w:id="463" w:name="Tc_juU8NlpOR06XXY2FSQFd5Q_12_0"/>
      <w:bookmarkStart w:id="464" w:name="Tc_ylbhl1dIQkiVyHqvzsl9mA_11_11"/>
      <w:bookmarkStart w:id="465" w:name="Tc_jGArYEmaUE-bZOwajLG4ow_11_5"/>
      <w:bookmarkStart w:id="466" w:name="Tc_XkFG4ULFOk2WHLLPWlg41w_11_0"/>
      <w:bookmarkStart w:id="467" w:name="Tc_E44QYuTQOUuZVqE5c_EXWg_10_11"/>
      <w:bookmarkStart w:id="468" w:name="Tc_Ad7DT3eZmU2bdX2GLz1cBw_10_5"/>
      <w:bookmarkStart w:id="469" w:name="Tc_I9U2igFKaEyCP-RuK_fOkQ_10_0"/>
      <w:bookmarkStart w:id="470" w:name="Tc_ux8m6IeXJUudV4eBWxZfRg_9_11"/>
      <w:bookmarkStart w:id="471" w:name="Tc_HDxNlbqczkSjoVSx1IWlpA_9_5"/>
      <w:bookmarkStart w:id="472" w:name="Tc_RVdHi4hgjkeUTRjntqyomQ_9_2"/>
      <w:bookmarkStart w:id="473" w:name="Tc_u1RQt8xpj0qHUfjPuim_MA_9_0"/>
      <w:bookmarkStart w:id="474" w:name="Tc_yZ5Xg6xDpESp7xKjstTpvA_8_14"/>
      <w:bookmarkStart w:id="475" w:name="Tc_fDAQBtgoOUyaZm3w8qEZOg_8_11"/>
      <w:bookmarkStart w:id="476" w:name="Tc_pxJ7G6Tp_0KBauPq_ZyFtQ_8_8"/>
      <w:bookmarkStart w:id="477" w:name="Tc_421JGyQa0U2lQYSYvnTZCg_8_5"/>
      <w:bookmarkStart w:id="478" w:name="Tc_xI7XPqjoO0ai4OjH6BCg1A_8_0"/>
      <w:bookmarkStart w:id="479" w:name="Tc_CYhtQ5UiM0uHp-F6KtoTCw_7_11"/>
      <w:bookmarkStart w:id="480" w:name="Tc_L8Ucun-nFk2fJ1GQOJqR1A_7_5"/>
      <w:bookmarkStart w:id="481" w:name="Tc_pye_Ss0dvUudxhAcyYwWFQ_7_2"/>
      <w:bookmarkStart w:id="482" w:name="Tc_8kVVk85OIECcdFcrAXF-cQ_7_0"/>
      <w:bookmarkStart w:id="483" w:name="Tc_4WhAwEO-RE224caVVyVoqQ_6_11"/>
      <w:bookmarkStart w:id="484" w:name="Tc_lPd9Y-XjSkOXw9Q1NOZOzw_6_5"/>
      <w:bookmarkStart w:id="485" w:name="Tc_XfCvhJyoi0a5-7zTx66nPw_6_2"/>
      <w:bookmarkStart w:id="486" w:name="Tc_RJbVqQ-EIUKANMDJrarDyQ_6_0"/>
      <w:bookmarkStart w:id="487" w:name="Tc_zKuKOjyNUkuZQ-PY0Vlydw_5_11"/>
      <w:bookmarkStart w:id="488" w:name="Tc_1UcVBb2eNk-D-4WFaPec9w_5_5"/>
      <w:bookmarkStart w:id="489" w:name="Tc_QtDW96LwkEmb07YZiEjsdw_5_2"/>
      <w:bookmarkStart w:id="490" w:name="Tc_Kbhk7FdHEEW-il_a13fx-Q_5_0"/>
      <w:bookmarkStart w:id="491" w:name="Tc_dNo9LLRsFEu3mERp0IOZkw_4_13"/>
      <w:bookmarkStart w:id="492" w:name="Tc_zs4wvnoN6k-j7dzsi0iAqw_4_10"/>
      <w:bookmarkStart w:id="493" w:name="Tc_qOvEC5YZO0qK5EjYGSjWGg_4_7"/>
      <w:bookmarkStart w:id="494" w:name="Tc__OZvzsRbH0CHEaOpMo1AmA_4_4"/>
      <w:bookmarkStart w:id="495" w:name="Tc_xpfKzGOWfES4JM-l2cMLmA_4_0"/>
      <w:bookmarkStart w:id="496" w:name="Tc_fEcnFMvzdkW351_Ad4Q2cQ_3_13"/>
      <w:bookmarkStart w:id="497" w:name="Tc_X8UT0RWkm0WIleYTfQduYw_3_10"/>
      <w:bookmarkStart w:id="498" w:name="Tc_6UDHlYzOSUyodl-JLuGUGA_3_7"/>
      <w:bookmarkStart w:id="499" w:name="Tc_pfsrxlHkEk-OPScKi49bWw_3_4"/>
      <w:bookmarkStart w:id="500" w:name="Tc_Qhxq1GP_wEuE1mycYYm66A_3_2"/>
      <w:bookmarkStart w:id="501" w:name="Tc_41xIG7itU0mAeTekb6w07g_2_13"/>
      <w:bookmarkStart w:id="502" w:name="Tc_4fgK9xX4k0qM2cgevR21xw_2_10"/>
      <w:bookmarkStart w:id="503" w:name="Tc_p71IHg1mfk-ClCSpDeCX8Q_2_7"/>
      <w:bookmarkStart w:id="504" w:name="Tc_buaiOAgtIkG0ZxQhu7pEhA_2_2"/>
      <w:bookmarkStart w:id="505" w:name="Tc_kF4xUIjjOUquXCPkqnIeEA_1_13"/>
      <w:bookmarkStart w:id="506" w:name="Tc_taCawWjjMEaUiYGmfArSWQ_1_7"/>
      <w:bookmarkStart w:id="507" w:name="_8e4fee66_3d83_48f5_b872_b96f8be05500"/>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tbl>
      <w:tblPr>
        <w:tblW w:w="10205" w:type="dxa"/>
        <w:jc w:val="left"/>
        <w:tblInd w:w="0" w:type="dxa"/>
        <w:tblLayout w:type="fixed"/>
        <w:tblCellMar>
          <w:top w:w="0" w:type="dxa"/>
          <w:left w:w="0" w:type="dxa"/>
          <w:bottom w:w="0" w:type="dxa"/>
          <w:right w:w="0" w:type="dxa"/>
        </w:tblCellMar>
      </w:tblPr>
      <w:tblGrid>
        <w:gridCol w:w="4385"/>
        <w:gridCol w:w="326"/>
        <w:gridCol w:w="721"/>
        <w:gridCol w:w="326"/>
        <w:gridCol w:w="216"/>
        <w:gridCol w:w="415"/>
        <w:gridCol w:w="326"/>
        <w:gridCol w:w="187"/>
        <w:gridCol w:w="624"/>
        <w:gridCol w:w="326"/>
        <w:gridCol w:w="207"/>
        <w:gridCol w:w="739"/>
        <w:gridCol w:w="326"/>
        <w:gridCol w:w="258"/>
        <w:gridCol w:w="823"/>
      </w:tblGrid>
      <w:tr>
        <w:trPr/>
        <w:tc>
          <w:tcPr>
            <w:tcW w:w="4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84475" cy="175260"/>
                      <wp:effectExtent l="0" t="0" r="0" b="0"/>
                      <wp:wrapNone/>
                      <wp:docPr id="50" name="Frame49"/>
                      <a:graphic xmlns:a="http://schemas.openxmlformats.org/drawingml/2006/main">
                        <a:graphicData uri="http://schemas.microsoft.com/office/word/2010/wordprocessingShape">
                          <wps:wsp>
                            <wps:cNvSpPr txBox="1"/>
                            <wps:spPr>
                              <a:xfrm>
                                <a:off x="0" y="0"/>
                                <a:ext cx="278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57835" cy="175260"/>
                      <wp:effectExtent l="0" t="0" r="0" b="0"/>
                      <wp:wrapNone/>
                      <wp:docPr id="52" name="Frame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7160" cy="175260"/>
                      <wp:effectExtent l="0" t="0" r="0" b="0"/>
                      <wp:wrapNone/>
                      <wp:docPr id="54" name="Frame5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3525" cy="175260"/>
                      <wp:effectExtent l="0" t="0" r="0" b="0"/>
                      <wp:wrapNone/>
                      <wp:docPr id="55" name="Frame5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18745" cy="175260"/>
                      <wp:effectExtent l="0" t="0" r="0" b="0"/>
                      <wp:wrapNone/>
                      <wp:docPr id="57" name="Frame56"/>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96240" cy="175260"/>
                      <wp:effectExtent l="0" t="0" r="0" b="0"/>
                      <wp:wrapNone/>
                      <wp:docPr id="58" name="Frame57"/>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1445" cy="175260"/>
                      <wp:effectExtent l="0" t="0" r="0" b="0"/>
                      <wp:wrapNone/>
                      <wp:docPr id="60" name="Frame59"/>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9265" cy="175260"/>
                      <wp:effectExtent l="0" t="0" r="0" b="0"/>
                      <wp:wrapNone/>
                      <wp:docPr id="61" name="Frame60"/>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3830" cy="175260"/>
                      <wp:effectExtent l="0" t="0" r="0" b="0"/>
                      <wp:wrapNone/>
                      <wp:docPr id="63" name="Frame6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2605" cy="175260"/>
                      <wp:effectExtent l="0" t="0" r="0" b="0"/>
                      <wp:wrapNone/>
                      <wp:docPr id="64" name="Frame63"/>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3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5,471,121</w:t>
            </w:r>
          </w:p>
        </w:tc>
        <w:tc>
          <w:tcPr>
            <w:tcW w:w="326"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393,539</w:t>
            </w:r>
          </w:p>
        </w:tc>
        <w:tc>
          <w:tcPr>
            <w:tcW w:w="326" w:type="dxa"/>
            <w:tcBorders/>
            <w:shd w:fill="CCEEFF" w:val="clear"/>
            <w:vAlign w:val="center"/>
          </w:tcPr>
          <w:p>
            <w:pPr>
              <w:pStyle w:val="TableContents"/>
              <w:bidi w:val="0"/>
              <w:spacing w:before="0" w:after="0"/>
              <w:ind w:left="0" w:right="0" w:hanging="0"/>
              <w:jc w:val="center"/>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(382,042)</w:t>
            </w:r>
          </w:p>
        </w:tc>
        <w:tc>
          <w:tcPr>
            <w:tcW w:w="326"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11,498</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options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employee stock purchase plan (“ESPP”)</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16,775</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$2</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27,870</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 sale of common stock, pre-funded warrants and warrants, net of $230</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570,000</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1,770</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1,770</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(6,599)</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(6,599)</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March 31, 2024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6,085,766</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395,796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(388,641)</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7,156</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14,371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(refunds) from contributions to the ESPP</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3,750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Pre-funded warrants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450,409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r>
      <w:tr>
        <w:trPr/>
        <w:tc>
          <w:tcPr>
            <w:tcW w:w="4385"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(4,258)</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(4,258)</w:t>
            </w:r>
          </w:p>
        </w:tc>
      </w:tr>
      <w:tr>
        <w:trPr/>
        <w:tc>
          <w:tcPr>
            <w:tcW w:w="438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6,554,296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395,906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(392,899)</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3,008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8" w:name="_e430975b_01da_4820_9cfd_0cf0612245e0"/>
      <w:bookmarkEnd w:id="508"/>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9" w:name="Tc_5ff2-UDShUS_N1QP4ShHcw_44_6"/>
      <w:bookmarkStart w:id="510" w:name="Tc_Y7S_hicYyUWgpEZ2sMzggQ_44_5"/>
      <w:bookmarkStart w:id="511" w:name="Tc_3XfZJoswDUqVn6uRJ5N-Kg_44_2"/>
      <w:bookmarkStart w:id="512" w:name="Tc_aiChrA89PEGfvoaUOCQggA_44_0"/>
      <w:bookmarkStart w:id="513" w:name="Tc_u4GbmRs28kSj25Y1g95q_w_43_6"/>
      <w:bookmarkStart w:id="514" w:name="Tc__rmT32db3EyvAXIpZZZO6w_43_5"/>
      <w:bookmarkStart w:id="515" w:name="Tc_38rmQ2XhMkeWN_bVNMf8KA_43_2"/>
      <w:bookmarkStart w:id="516" w:name="Tc_Q_Xare9LX0mhNscIAmx5pQ_43_0"/>
      <w:bookmarkStart w:id="517" w:name="Tc_tw1BeGh9ckewo-xyiAGLwg_42_6"/>
      <w:bookmarkStart w:id="518" w:name="Tc_L76PkLlwuke5Z0b5NV4p1Q_42_5"/>
      <w:bookmarkStart w:id="519" w:name="Tc_03GyKh9OpE2GTVydWRGtaw_42_2"/>
      <w:bookmarkStart w:id="520" w:name="Tc_ZNazTxU3dkmjI0jBIHIg9w_42_0"/>
      <w:bookmarkStart w:id="521" w:name="Tc_DnB4JGiNXEiqA1mNgT9E8A_41_6"/>
      <w:bookmarkStart w:id="522" w:name="Tc_swbxog5Xf0GeqMuqMEBb5Q_41_5"/>
      <w:bookmarkStart w:id="523" w:name="Tc_YXub0twehEqLBjN-4bq9dQ_41_2"/>
      <w:bookmarkStart w:id="524" w:name="Tc_HNa4It9aDUClqr-qxO3a7Q_41_0"/>
      <w:bookmarkStart w:id="525" w:name="Tc_81rQPF-9cEyn59F1mZVZAA_40_5"/>
      <w:bookmarkStart w:id="526" w:name="Tc_3UFUm8NmAUqAdle9Kyc3XA_40_3"/>
      <w:bookmarkStart w:id="527" w:name="Tc_fBO9xSBRMU-47Z-eodca5w_40_2"/>
      <w:bookmarkStart w:id="528" w:name="Tc__03iynzPkkib8GLKkTIR0w_40_0"/>
      <w:bookmarkStart w:id="529" w:name="Tc_ZM7BZ3vG9ES20ZrIAxD7LA_39_0"/>
      <w:bookmarkStart w:id="530" w:name="Tc_gxyieOhFmE2S2Mk4FLsR6Q_38_6"/>
      <w:bookmarkStart w:id="531" w:name="Tc_EXu4EqctHUy3vndBeIIzdw_38_5"/>
      <w:bookmarkStart w:id="532" w:name="Tc_v1AbY1bc9UqdQYim3gvyrQ_38_2"/>
      <w:bookmarkStart w:id="533" w:name="Tc_Ss1_61NajEOH8dP-IpQ3Qw_38_0"/>
      <w:bookmarkStart w:id="534" w:name="Tc_Dvli0kzIikmT697AnoXVcQ_37_0"/>
      <w:bookmarkStart w:id="535" w:name="Tc_h02T2d6np0SfZPkLizeD-A_35_5"/>
      <w:bookmarkStart w:id="536" w:name="Tc_1Vk0ALegdEGeF5r9ZpPd7g_35_2"/>
      <w:bookmarkStart w:id="537" w:name="Tc_OR0ItdeEpUSTCf_bWYLORg_35_0"/>
      <w:bookmarkStart w:id="538" w:name="Tc_ksx2jMxNk0iBSeVnivSGJA_34_0"/>
      <w:bookmarkStart w:id="539" w:name="Tc_TrmHZrcqR0GYXCQ7WbdvWQ_33_0"/>
      <w:bookmarkStart w:id="540" w:name="Tc_aKFbjmqR1kKZIi4UfhHeQw_32_0"/>
      <w:bookmarkStart w:id="541" w:name="Tc_bSPCXrNAKEC0x94BDZLchQ_31_3"/>
      <w:bookmarkStart w:id="542" w:name="Tc_OYhaqStjy0u4ZxO9LdESlA_31_0"/>
      <w:bookmarkStart w:id="543" w:name="Tc_Z0AwBshuDkKisPUYjD-nJg_30_3"/>
      <w:bookmarkStart w:id="544" w:name="Tc_mlEL5qfPjUiDtpe3PLDifw_30_0"/>
      <w:bookmarkStart w:id="545" w:name="Tc_Rziq7eUVckWe_6KeAovDUQ_29_0"/>
      <w:bookmarkStart w:id="546" w:name="Tc_umQLLdwewUSQCvd6w7FfLw_28_6"/>
      <w:bookmarkStart w:id="547" w:name="Tc_vKnkGL618k2aYIZ72y0btw_28_0"/>
      <w:bookmarkStart w:id="548" w:name="Tc_WmIimatL1EitJXHuDpa1bQ_27_6"/>
      <w:bookmarkStart w:id="549" w:name="Tc_IxHtMflgk0C-4kywe5O9hw_27_0"/>
      <w:bookmarkStart w:id="550" w:name="Tc_lue2Dfm18EqCTLOAt3lAmw_26_0"/>
      <w:bookmarkStart w:id="551" w:name="Tc_nmjqye9xwUiyxGoml7uywA_25_0"/>
      <w:bookmarkStart w:id="552" w:name="Tc_Vuw0aDRMC0-M2Gcl-zsldg_24_0"/>
      <w:bookmarkStart w:id="553" w:name="Tc_NmPC-MP-UUWL2zMkymMOnQ_23_0"/>
      <w:bookmarkStart w:id="554" w:name="Tc_IwP1klNI0U279ywSoNgGjg_22_0"/>
      <w:bookmarkStart w:id="555" w:name="Tc_mkN48_Z79E-tXUhyOSdIqA_21_0"/>
      <w:bookmarkStart w:id="556" w:name="Tc_TMEpcOUtokWZyxzkzGT0PQ_20_0"/>
      <w:bookmarkStart w:id="557" w:name="Tc_rPM3fog8UkqhjgJ9HOWVHA_19_0"/>
      <w:bookmarkStart w:id="558" w:name="Tc_pjLN6OvyKEKNS32ILrIxHw_18_0"/>
      <w:bookmarkStart w:id="559" w:name="Tc_bur4AaPW2EKQpjjkYoATgg_17_0"/>
      <w:bookmarkStart w:id="560" w:name="Tc_OrMOgDtMr0GTiBA8TpMiOA_16_0"/>
      <w:bookmarkStart w:id="561" w:name="Tc_HAUrQc4-_0CmxMy_i3KtAw_15_0"/>
      <w:bookmarkStart w:id="562" w:name="Tc_Ki1bdzLM4U6J2__n49-Pyg_14_0"/>
      <w:bookmarkStart w:id="563" w:name="Tc_CXuCcVOUH0WJ7g8aLIhpDg_13_0"/>
      <w:bookmarkStart w:id="564" w:name="Tc_RuOdzVEKPki9wW7Zjpd-0g_12_0"/>
      <w:bookmarkStart w:id="565" w:name="Tc_Kqe8ox7Y7EeZs7e_Tlh3Kg_11_6"/>
      <w:bookmarkStart w:id="566" w:name="Tc_qbnYd6AFkkOVfw-sgtQ2KQ_11_0"/>
      <w:bookmarkStart w:id="567" w:name="Tc_donTajvOy0uWJbl-QGUOVg_10_0"/>
      <w:bookmarkStart w:id="568" w:name="Tc_B4ehb1ZTqk2wVNsXKbrOww_9_6"/>
      <w:bookmarkStart w:id="569" w:name="Tc_h4Z69UxoyEqtwRE9TP9V0Q_9_0"/>
      <w:bookmarkStart w:id="570" w:name="Tc_gFU4OCaKoEOsHp2L-Yd7AA_8_6"/>
      <w:bookmarkStart w:id="571" w:name="Tc_y7XNNix6h0m2AfYlFY7p1g_8_0"/>
      <w:bookmarkStart w:id="572" w:name="Tc_kOk6MXjVtEarwRWEOoDF6w_7_0"/>
      <w:bookmarkStart w:id="573" w:name="Tc_10i30HuRNECaQPRzODM5gw_6_0"/>
      <w:bookmarkStart w:id="574" w:name="Tc_RoA2O8OXVkCPl5FfKpL0zw_5_0"/>
      <w:bookmarkStart w:id="575" w:name="Tc_TKFsj7pLfki07V8sb9RpVg_4_5"/>
      <w:bookmarkStart w:id="576" w:name="Tc_57ZZUbtJkU6s_5LaYZq7bQ_4_2"/>
      <w:bookmarkStart w:id="577" w:name="Tc_gmTmwug_U0e6iA3kExP9XQ_4_0"/>
      <w:bookmarkStart w:id="578" w:name="Tc_RS5LkOVMd0WpgbDEDZAI1A_3_0"/>
      <w:bookmarkStart w:id="579" w:name="Tc_vDiojlw2xU2GSCQf4nPEhQ_2_5"/>
      <w:bookmarkStart w:id="580" w:name="Tc_PjvKzXdX50ammxT_bC7m3g_2_2"/>
      <w:bookmarkStart w:id="581" w:name="Tc_AItBnR4INE6PtwgJFnQdpQ_1_2"/>
      <w:bookmarkStart w:id="582" w:name="_370ee853_1597_4b1f_8514_a52156f65458"/>
      <w:bookmarkStart w:id="583" w:name="Tc_5ff2-UDShUS_N1QP4ShHcw_44_6"/>
      <w:bookmarkStart w:id="584" w:name="Tc_Y7S_hicYyUWgpEZ2sMzggQ_44_5"/>
      <w:bookmarkStart w:id="585" w:name="Tc_3XfZJoswDUqVn6uRJ5N-Kg_44_2"/>
      <w:bookmarkStart w:id="586" w:name="Tc_aiChrA89PEGfvoaUOCQggA_44_0"/>
      <w:bookmarkStart w:id="587" w:name="Tc_u4GbmRs28kSj25Y1g95q_w_43_6"/>
      <w:bookmarkStart w:id="588" w:name="Tc__rmT32db3EyvAXIpZZZO6w_43_5"/>
      <w:bookmarkStart w:id="589" w:name="Tc_38rmQ2XhMkeWN_bVNMf8KA_43_2"/>
      <w:bookmarkStart w:id="590" w:name="Tc_Q_Xare9LX0mhNscIAmx5pQ_43_0"/>
      <w:bookmarkStart w:id="591" w:name="Tc_tw1BeGh9ckewo-xyiAGLwg_42_6"/>
      <w:bookmarkStart w:id="592" w:name="Tc_L76PkLlwuke5Z0b5NV4p1Q_42_5"/>
      <w:bookmarkStart w:id="593" w:name="Tc_03GyKh9OpE2GTVydWRGtaw_42_2"/>
      <w:bookmarkStart w:id="594" w:name="Tc_ZNazTxU3dkmjI0jBIHIg9w_42_0"/>
      <w:bookmarkStart w:id="595" w:name="Tc_DnB4JGiNXEiqA1mNgT9E8A_41_6"/>
      <w:bookmarkStart w:id="596" w:name="Tc_swbxog5Xf0GeqMuqMEBb5Q_41_5"/>
      <w:bookmarkStart w:id="597" w:name="Tc_YXub0twehEqLBjN-4bq9dQ_41_2"/>
      <w:bookmarkStart w:id="598" w:name="Tc_HNa4It9aDUClqr-qxO3a7Q_41_0"/>
      <w:bookmarkStart w:id="599" w:name="Tc_81rQPF-9cEyn59F1mZVZAA_40_5"/>
      <w:bookmarkStart w:id="600" w:name="Tc_3UFUm8NmAUqAdle9Kyc3XA_40_3"/>
      <w:bookmarkStart w:id="601" w:name="Tc_fBO9xSBRMU-47Z-eodca5w_40_2"/>
      <w:bookmarkStart w:id="602" w:name="Tc__03iynzPkkib8GLKkTIR0w_40_0"/>
      <w:bookmarkStart w:id="603" w:name="Tc_ZM7BZ3vG9ES20ZrIAxD7LA_39_0"/>
      <w:bookmarkStart w:id="604" w:name="Tc_gxyieOhFmE2S2Mk4FLsR6Q_38_6"/>
      <w:bookmarkStart w:id="605" w:name="Tc_EXu4EqctHUy3vndBeIIzdw_38_5"/>
      <w:bookmarkStart w:id="606" w:name="Tc_v1AbY1bc9UqdQYim3gvyrQ_38_2"/>
      <w:bookmarkStart w:id="607" w:name="Tc_Ss1_61NajEOH8dP-IpQ3Qw_38_0"/>
      <w:bookmarkStart w:id="608" w:name="Tc_Dvli0kzIikmT697AnoXVcQ_37_0"/>
      <w:bookmarkStart w:id="609" w:name="Tc_h02T2d6np0SfZPkLizeD-A_35_5"/>
      <w:bookmarkStart w:id="610" w:name="Tc_1Vk0ALegdEGeF5r9ZpPd7g_35_2"/>
      <w:bookmarkStart w:id="611" w:name="Tc_OR0ItdeEpUSTCf_bWYLORg_35_0"/>
      <w:bookmarkStart w:id="612" w:name="Tc_ksx2jMxNk0iBSeVnivSGJA_34_0"/>
      <w:bookmarkStart w:id="613" w:name="Tc_TrmHZrcqR0GYXCQ7WbdvWQ_33_0"/>
      <w:bookmarkStart w:id="614" w:name="Tc_aKFbjmqR1kKZIi4UfhHeQw_32_0"/>
      <w:bookmarkStart w:id="615" w:name="Tc_bSPCXrNAKEC0x94BDZLchQ_31_3"/>
      <w:bookmarkStart w:id="616" w:name="Tc_OYhaqStjy0u4ZxO9LdESlA_31_0"/>
      <w:bookmarkStart w:id="617" w:name="Tc_Z0AwBshuDkKisPUYjD-nJg_30_3"/>
      <w:bookmarkStart w:id="618" w:name="Tc_mlEL5qfPjUiDtpe3PLDifw_30_0"/>
      <w:bookmarkStart w:id="619" w:name="Tc_Rziq7eUVckWe_6KeAovDUQ_29_0"/>
      <w:bookmarkStart w:id="620" w:name="Tc_umQLLdwewUSQCvd6w7FfLw_28_6"/>
      <w:bookmarkStart w:id="621" w:name="Tc_vKnkGL618k2aYIZ72y0btw_28_0"/>
      <w:bookmarkStart w:id="622" w:name="Tc_WmIimatL1EitJXHuDpa1bQ_27_6"/>
      <w:bookmarkStart w:id="623" w:name="Tc_IxHtMflgk0C-4kywe5O9hw_27_0"/>
      <w:bookmarkStart w:id="624" w:name="Tc_lue2Dfm18EqCTLOAt3lAmw_26_0"/>
      <w:bookmarkStart w:id="625" w:name="Tc_nmjqye9xwUiyxGoml7uywA_25_0"/>
      <w:bookmarkStart w:id="626" w:name="Tc_Vuw0aDRMC0-M2Gcl-zsldg_24_0"/>
      <w:bookmarkStart w:id="627" w:name="Tc_NmPC-MP-UUWL2zMkymMOnQ_23_0"/>
      <w:bookmarkStart w:id="628" w:name="Tc_IwP1klNI0U279ywSoNgGjg_22_0"/>
      <w:bookmarkStart w:id="629" w:name="Tc_mkN48_Z79E-tXUhyOSdIqA_21_0"/>
      <w:bookmarkStart w:id="630" w:name="Tc_TMEpcOUtokWZyxzkzGT0PQ_20_0"/>
      <w:bookmarkStart w:id="631" w:name="Tc_rPM3fog8UkqhjgJ9HOWVHA_19_0"/>
      <w:bookmarkStart w:id="632" w:name="Tc_pjLN6OvyKEKNS32ILrIxHw_18_0"/>
      <w:bookmarkStart w:id="633" w:name="Tc_bur4AaPW2EKQpjjkYoATgg_17_0"/>
      <w:bookmarkStart w:id="634" w:name="Tc_OrMOgDtMr0GTiBA8TpMiOA_16_0"/>
      <w:bookmarkStart w:id="635" w:name="Tc_HAUrQc4-_0CmxMy_i3KtAw_15_0"/>
      <w:bookmarkStart w:id="636" w:name="Tc_Ki1bdzLM4U6J2__n49-Pyg_14_0"/>
      <w:bookmarkStart w:id="637" w:name="Tc_CXuCcVOUH0WJ7g8aLIhpDg_13_0"/>
      <w:bookmarkStart w:id="638" w:name="Tc_RuOdzVEKPki9wW7Zjpd-0g_12_0"/>
      <w:bookmarkStart w:id="639" w:name="Tc_Kqe8ox7Y7EeZs7e_Tlh3Kg_11_6"/>
      <w:bookmarkStart w:id="640" w:name="Tc_qbnYd6AFkkOVfw-sgtQ2KQ_11_0"/>
      <w:bookmarkStart w:id="641" w:name="Tc_donTajvOy0uWJbl-QGUOVg_10_0"/>
      <w:bookmarkStart w:id="642" w:name="Tc_B4ehb1ZTqk2wVNsXKbrOww_9_6"/>
      <w:bookmarkStart w:id="643" w:name="Tc_h4Z69UxoyEqtwRE9TP9V0Q_9_0"/>
      <w:bookmarkStart w:id="644" w:name="Tc_gFU4OCaKoEOsHp2L-Yd7AA_8_6"/>
      <w:bookmarkStart w:id="645" w:name="Tc_y7XNNix6h0m2AfYlFY7p1g_8_0"/>
      <w:bookmarkStart w:id="646" w:name="Tc_kOk6MXjVtEarwRWEOoDF6w_7_0"/>
      <w:bookmarkStart w:id="647" w:name="Tc_10i30HuRNECaQPRzODM5gw_6_0"/>
      <w:bookmarkStart w:id="648" w:name="Tc_RoA2O8OXVkCPl5FfKpL0zw_5_0"/>
      <w:bookmarkStart w:id="649" w:name="Tc_TKFsj7pLfki07V8sb9RpVg_4_5"/>
      <w:bookmarkStart w:id="650" w:name="Tc_57ZZUbtJkU6s_5LaYZq7bQ_4_2"/>
      <w:bookmarkStart w:id="651" w:name="Tc_gmTmwug_U0e6iA3kExP9XQ_4_0"/>
      <w:bookmarkStart w:id="652" w:name="Tc_RS5LkOVMd0WpgbDEDZAI1A_3_0"/>
      <w:bookmarkStart w:id="653" w:name="Tc_vDiojlw2xU2GSCQf4nPEhQ_2_5"/>
      <w:bookmarkStart w:id="654" w:name="Tc_PjvKzXdX50ammxT_bC7m3g_2_2"/>
      <w:bookmarkStart w:id="655" w:name="Tc_AItBnR4INE6PtwgJFnQdpQ_1_2"/>
      <w:bookmarkStart w:id="656" w:name="_370ee853_1597_4b1f_8514_a52156f65458"/>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tbl>
      <w:tblPr>
        <w:tblW w:w="10205" w:type="dxa"/>
        <w:jc w:val="left"/>
        <w:tblInd w:w="0" w:type="dxa"/>
        <w:tblLayout w:type="fixed"/>
        <w:tblCellMar>
          <w:top w:w="0" w:type="dxa"/>
          <w:left w:w="0" w:type="dxa"/>
          <w:bottom w:w="0" w:type="dxa"/>
          <w:right w:w="0" w:type="dxa"/>
        </w:tblCellMar>
      </w:tblPr>
      <w:tblGrid>
        <w:gridCol w:w="7278"/>
        <w:gridCol w:w="326"/>
        <w:gridCol w:w="241"/>
        <w:gridCol w:w="788"/>
        <w:gridCol w:w="372"/>
        <w:gridCol w:w="241"/>
        <w:gridCol w:w="959"/>
      </w:tblGrid>
      <w:tr>
        <w:trPr/>
        <w:tc>
          <w:tcPr>
            <w:tcW w:w="7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621530" cy="175260"/>
                      <wp:effectExtent l="0" t="0" r="0" b="0"/>
                      <wp:wrapNone/>
                      <wp:docPr id="65" name="Frame64"/>
                      <a:graphic xmlns:a="http://schemas.openxmlformats.org/drawingml/2006/main">
                        <a:graphicData uri="http://schemas.microsoft.com/office/word/2010/wordprocessingShape">
                          <wps:wsp>
                            <wps:cNvSpPr txBox="1"/>
                            <wps:spPr>
                              <a:xfrm>
                                <a:off x="0" y="0"/>
                                <a:ext cx="462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3035" cy="175260"/>
                      <wp:effectExtent l="0" t="0" r="0" b="0"/>
                      <wp:wrapNone/>
                      <wp:docPr id="67" name="Frame6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0380" cy="175260"/>
                      <wp:effectExtent l="0" t="0" r="0" b="0"/>
                      <wp:wrapNone/>
                      <wp:docPr id="68" name="Frame67"/>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6220" cy="175260"/>
                      <wp:effectExtent l="0" t="0" r="0" b="0"/>
                      <wp:wrapNone/>
                      <wp:docPr id="69" name="Frame6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3035" cy="175260"/>
                      <wp:effectExtent l="0" t="0" r="0" b="0"/>
                      <wp:wrapNone/>
                      <wp:docPr id="70" name="Frame6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08965" cy="175260"/>
                      <wp:effectExtent l="0" t="0" r="0" b="0"/>
                      <wp:wrapNone/>
                      <wp:docPr id="71" name="Frame70"/>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72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2" w:type="dxa"/>
            <w:tcBorders/>
            <w:vAlign w:val="center"/>
          </w:tcPr>
          <w:p>
            <w:pPr>
              <w:pStyle w:val="TableContents"/>
              <w:bidi w:val="0"/>
              <w:spacing w:before="0" w:after="1"/>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  </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(10,857)</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short-term loan fees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(“ROU”) assets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(7,546)</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(10,843)</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pPr>
            <w:r>
              <w:rPr/>
              <w:t>​</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short-term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for financed insurance premiums</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an ATM offering</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15,772</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 sale of common stock and warrant issuance</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 </w:t>
            </w:r>
          </w:p>
        </w:tc>
        <w:tc>
          <w:tcPr>
            <w:tcW w:w="9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contributions to the ESPP</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14,892</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7,309</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(9,081)</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beginning</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13,936</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ending</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8,662</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w:t>
            </w:r>
          </w:p>
        </w:tc>
      </w:tr>
      <w:tr>
        <w:trPr/>
        <w:tc>
          <w:tcPr>
            <w:tcW w:w="72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59" w:type="dxa"/>
            <w:tcBorders/>
            <w:vAlign w:val="center"/>
          </w:tcPr>
          <w:p>
            <w:pPr>
              <w:pStyle w:val="TableContents"/>
              <w:bidi w:val="0"/>
              <w:spacing w:before="0" w:after="1"/>
              <w:ind w:left="0" w:right="0" w:hanging="0"/>
              <w:jc w:val="right"/>
              <w:rPr/>
            </w:pPr>
            <w:r>
              <w:rPr/>
              <w:t>​</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 </w:t>
            </w:r>
          </w:p>
        </w:tc>
        <w:tc>
          <w:tcPr>
            <w:tcW w:w="959" w:type="dxa"/>
            <w:tcBorders/>
            <w:shd w:fill="CCEEFF" w:val="cle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operating lease ROU assets and operating lease liabilities from lease amendment</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operating lease ROU assets and operating lease liabilities from lease modification</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ROU assets from shares issued to landlord</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72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in short-term loan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72"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of insurance premiums</w:t>
            </w:r>
          </w:p>
        </w:tc>
        <w:tc>
          <w:tcPr>
            <w:tcW w:w="32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72"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57" w:name="_eb2e373c_4673_4140_9ab0_97503c20aadc"/>
      <w:bookmarkEnd w:id="657"/>
      <w:r>
        <w:rPr>
          <w:rFonts w:ascii="Times New Roman;Times;serif" w:hAnsi="Times New Roman;Times;serif"/>
          <w:b/>
          <w:sz w:val="20"/>
        </w:rPr>
        <w:t>ENERGOUS CORPORATION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the Condensed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Business Organization, Nature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Energous Corporation d/b/a Energous Wireless Power Solutions (the “Company”) has developed scalable, over-the-air Wireless Power Network (“WPN”) technology that integrates advanced semiconductor chipsets, software controls, hardware designs, and antenna systems to enable radio frequency (“RF”)-based charging for Internet of Things (“IoT”) devices. The Company’s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a patent portfolio exceeding 250 patents, the Company’s solutions support both near-field and at-a-distance wireless charging, supplying power at multiple levels across varying distances, as well as expertise in advanced receiver technology. By enabling continuous wireless power transmission, the Company’s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date, the Company has developed and released multiple transmitter and receiver solutions. The Company’s transmitters vary in form factor, power specifications, and operating frequencies, while the Company’s receivers are engineered to support a wide range of wireless charging applications across multiple device categories. including:</w:t>
      </w:r>
    </w:p>
    <w:tbl>
      <w:tblPr>
        <w:tblW w:w="5552" w:type="dxa"/>
        <w:jc w:val="left"/>
        <w:tblInd w:w="0" w:type="dxa"/>
        <w:tblLayout w:type="fixed"/>
        <w:tblCellMar>
          <w:top w:w="0" w:type="dxa"/>
          <w:left w:w="0" w:type="dxa"/>
          <w:bottom w:w="0" w:type="dxa"/>
          <w:right w:w="0" w:type="dxa"/>
        </w:tblCellMar>
      </w:tblPr>
      <w:tblGrid>
        <w:gridCol w:w="2056"/>
        <w:gridCol w:w="3496"/>
      </w:tblGrid>
      <w:tr>
        <w:trPr/>
        <w:tc>
          <w:tcPr>
            <w:tcW w:w="2056" w:type="dxa"/>
            <w:tcBorders/>
            <w:vAlign w:val="center"/>
          </w:tcPr>
          <w:p>
            <w:pPr>
              <w:pStyle w:val="TableContents"/>
              <w:bidi w:val="0"/>
              <w:spacing w:before="0" w:after="0"/>
              <w:ind w:left="0" w:right="0" w:hanging="0"/>
              <w:jc w:val="left"/>
              <w:rPr/>
            </w:pPr>
            <w:r>
              <w:rPr/>
              <w:t>​</w:t>
            </w:r>
          </w:p>
        </w:tc>
        <w:tc>
          <w:tcPr>
            <w:tcW w:w="3496" w:type="dxa"/>
            <w:tcBorders/>
            <w:vAlign w:val="center"/>
          </w:tcPr>
          <w:p>
            <w:pPr>
              <w:pStyle w:val="TableContents"/>
              <w:bidi w:val="0"/>
              <w:spacing w:before="0" w:after="0"/>
              <w:ind w:left="0" w:right="0" w:hanging="0"/>
              <w:jc w:val="left"/>
              <w:rPr/>
            </w:pPr>
            <w:r>
              <w:rPr/>
              <w: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IoT Sensors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WPN-enabled end product featuring the Company’s technology entered the market in 2019. In the fourth quarter of 2021, the Company commenced shipments of its first at-a-distance wireless PowerBridge transmitter systems for commercial IoT applications and proof-of-concept deployments.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and Management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and six months ended June 30, 2025, the Company recorded revenue of $1.0 million and $1.3 million, respectively. During the three and six months ended June 30, 2024, the Company recorded revenue of $46,000 and $110,000, respectively. During the three and six months ended June 30, 2025, the Company recorded net losses of $2.8 million and $6.2 million, respectively. During the three and six months ended June 30, 2024, the Company recorded net losses of $4.3 million and $10.9 million, respectively. Net cash used in operating activities was $7.5 million and $10.8 million for the six months ended June 30, 2025 and 2024,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the Company had cash and cash equivalents of $8.7 million. The Company is currently meeting its liquidity requirements through the collection of accounts receivable supplemented by proceeds of securities offerings, including the ATM Program (as defined in Note 10 – Capital Stock and Warrants below), which the ATM Program generated aggregate net proceeds of $15.8 million during the six months ended June 30, 2025. Based on current operating levels and further cost reductions implemented during the first and second quarters of 2025, the Company believes it has sufficient cash on hand and access to capital to fund operations for the next 12 months.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and Management Plans,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as adoption on this emerging technology by enterprise customers may take longer than expected. Accordingly, the Company may decide to pursue additional financing, which could include offerings of equity or debt securities, bank financing,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 for products using the Company’s technology is broad and evolving, so the Company’s success is dependent upon many factors, including customer acceptance of its existing products, technical feasibility of future products, regulatory approvals, the development of complementary technologies, competition and global market fluctuations.</w:t>
      </w:r>
    </w:p>
    <w:p>
      <w:pPr>
        <w:pStyle w:val="TextBody"/>
        <w:bidi w:val="0"/>
        <w:spacing w:before="0" w:after="240"/>
        <w:ind w:left="0" w:right="0" w:hanging="0"/>
        <w:jc w:val="left"/>
        <w:rPr/>
      </w:pPr>
      <w:r>
        <w:rPr/>
        <w:t>​</w:t>
      </w:r>
    </w:p>
    <w:p>
      <w:pPr>
        <w:pStyle w:val="TextBody"/>
        <w:bidi w:val="0"/>
        <w:spacing w:before="0" w:after="21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 presented. The results of operations for the three and six months ended June 30, 2025 are not necessarily indicative of the results to be expected for the full fiscal year ending December 31, 2025, or for other future periods.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These interim unaudited condensed financial statements should be read in conjunction with the audited financial statements and notes thereto for the fiscal year ended December 31, 2024 included in the Company’s Annual Report on Form 10-K for the fiscal year ended December 31, 2024, filed with the SEC on February 27, 2025 (the “2024 Annual Report”). The accounting policies used in preparing these interim unaudited condensed financial statements are consistent with those described in the 2024 Annual Report</w:t>
      </w:r>
      <w:r>
        <w:rPr>
          <w:rFonts w:ascii="Times New Roman;Times;serif" w:hAnsi="Times New Roman;Times;serif"/>
          <w:i/>
          <w:sz w:val="20"/>
        </w:rPr>
        <w:t>.</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Certain reclassifications have been made to the fiscal year 2024 financial statements to conform to the 2025 presentation. The Company reclassified certain expenses between research and development and general and administrative expenses. The amounts were not considered material to the condensed financial statements. The reclassifications had no impact on total assets, total liabilities, or stockholders’ equity (deficit).</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1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10"/>
        <w:ind w:left="0" w:right="0" w:hanging="0"/>
        <w:jc w:val="left"/>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and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the proceeds received.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820, “Fair Value Measurements”, which establishes a common definition of fair value to be applied when US GAAP requires the use of fair value, establishes a framework for measuring fair value, and requires certain disclosure about such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 for identical assets or liabilities to which the Company has access at a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little or no market data exists and for which the Company must develop its own assumptions regarding the assumptions that market participants would use in pricing the asset or liability, including assumptions regarding risk.</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the Company’s financial assets and liabilities, such as cash, cash equivalents, prepaid expenses and other current assets, and accounts payable and accrued expenses, are an approximate of their fair values because of the short maturity of these instruments. The carrying amounts of the Company’s short-term debt and lease liabilities approximate fair value due to the market interest rates that these obligations bear and interest rates currently available to the Company. The Company’s warrant liability recognized at fair value on a recurring basis is a level 3 measurement (see Note 13 – Fair Value Measurements).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606, “Revenue from Contracts with Customers” (“Topic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Topic 606, the Company recognizes revenue using the following five-step approach:</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revenue consists of its single segment of wireless charging system solutions. The wireless charging system revenue consists of revenue from product development projects and production-level systems. During the three and six months ended June 30, 2025, the Company recognized $1.0 million and $1.3 million in revenue, respectively. During the three and six months ended June 30, 2024, the Company recognized $46,000 and $110,000 in revenue,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records revenue associated the sales of products, such as PowerBridge transmitter systems and with product development projects that it enters into with certain customers. For the sales of products, the Company generally records revenue upon shipment of the products or after the terms of any applicable return policy have elapsed.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Shipping and Handling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reflects the cost of shipping its products to customers as a cost of revenue. Reimbursements received from customers for freight costs are recognized as product revenue.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reviews its receivables for collectibility based on historical loss patterns, aging of the receivables, and assessments of specific identifiable client accounts considered at risk or uncollectible and provides allowances for potential credit losses, as needed. The Company also considers any changes to the financial condition of its clients and any other external market factors that could impact the collectibility of the receivables in the determination of the allowance for credit losses. Based on these assessments, the Company did not record a provision for credit losses on its accounts receivable as of June 30, 2025 and December 31,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Company follows ASC Topic 310, </w:t>
      </w:r>
      <w:r>
        <w:rPr>
          <w:rFonts w:ascii="Times New Roman;Times;serif" w:hAnsi="Times New Roman;Times;serif"/>
          <w:i/>
          <w:sz w:val="20"/>
        </w:rPr>
        <w:t>Receivables,</w:t>
      </w:r>
      <w:r>
        <w:rPr>
          <w:rFonts w:ascii="Times New Roman;Times;serif" w:hAnsi="Times New Roman;Times;serif"/>
          <w:sz w:val="20"/>
        </w:rPr>
        <w:t xml:space="preserve"> to account for transactions related to factoring accounts receivable. The Company did not have a factoring agreement during the three and six months ended June 30, 2025 and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Summary of Significant Accounting Policies,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Inventory is stated at the lower of cost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Research and development expenses are charged to operations as incurred. The Company incurred research and development costs of $1.1 million and $2.3 million during the three and six months ended June 30, 2025, respectively. The Company incurred research and development costs of $2.3 million and $4.5 million during the three and six months ended June 30, 2024,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Under the ESPP, employees purchased a limited number of shares of the Company’s common stock at a 15% discount from the lower of the closing market prices measured on the first and last days of each half-year period. The Company recognized stock-based compensation expense for the fair value of the purchase options, as measured on the grant date. The Company discontinued the ESPP as of January 21,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follows the asset and liability method of accounting for income taxes under ASC Topic 740, Income Taxes (“Topic 740”). Deferred tax assets and liabilities are recognized for the expected future tax consequences of temporary differences between financial statement carrying amounts and the tax basis of existing assets and liabilities and net operating loss and tax credit carryforwards. Deferred tax assets and liabilities are measured using the enacted tax rates expected to apply in the years in which those tax assets and liabilities are expected to be realized. The effect on deferred tax assets and liabilities of a change in tax rates is recognized in the period that includes the enactment date. A valuation allowance is established if it is more likely than not that all or a portion of the deferred tax asset will not be realized.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continues to assess the need for a valuation allowance on the deferred tax assets by evaluating both positive and negative evidence that may exist. Any adjustment to the valuation allowance on deferred tax assets would be recorded in the statements of income for the period that the adjustment is determined to be required.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accounts for uncertain tax position in accordance with Topic 740. 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The guidance from Topic 740, “Income Taxes” also discusses the classification of related interest and penalties on income taxes. The Company’s policy is to record interest and penalties on uncertain tax positions as a component of income tax expense.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58" w:name="Tc_81DvawuxPkS9tWmaMSF4hg_5_0"/>
      <w:bookmarkStart w:id="659" w:name="Tc_4EDE5mQcskK6zwUHF8ABYQ_4_0"/>
      <w:bookmarkStart w:id="660" w:name="Tc_GoZ0z-HZ10aFz4CH_VLP7Q_3_0"/>
      <w:bookmarkStart w:id="661" w:name="Tc_wZXlssvf1UOsplKGdk-QVA_2_4"/>
      <w:bookmarkStart w:id="662" w:name="Tc_6kza4ukFMEKuwalxk_b1TQ_2_2"/>
      <w:bookmarkStart w:id="663" w:name="Tc_6VYdcWlz00-nL4X1AAXQ0A_1_2"/>
      <w:bookmarkEnd w:id="658"/>
      <w:bookmarkEnd w:id="659"/>
      <w:bookmarkEnd w:id="660"/>
      <w:bookmarkEnd w:id="661"/>
      <w:bookmarkEnd w:id="662"/>
      <w:bookmarkEnd w:id="663"/>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and the vesting of RSUs and performance share units (“PSUs”). The computation of diluted loss per share excludes potentially dilutive securities of 1,773,729 shares and 2,010,538 shares for the three and six months ended June 30, 2025 and 2024, respectively, as outlined in the table below, because their inclusion would be anti-dilutive.</w:t>
      </w:r>
    </w:p>
    <w:p>
      <w:pPr>
        <w:pStyle w:val="TextBody"/>
        <w:bidi w:val="0"/>
        <w:spacing w:before="0" w:after="0"/>
        <w:ind w:left="0" w:right="0" w:hanging="0"/>
        <w:jc w:val="left"/>
        <w:rPr/>
      </w:pPr>
      <w:r>
        <w:rPr/>
        <w:t>​</w:t>
      </w:r>
    </w:p>
    <w:tbl>
      <w:tblPr>
        <w:tblW w:w="6686" w:type="dxa"/>
        <w:jc w:val="left"/>
        <w:tblInd w:w="0" w:type="dxa"/>
        <w:tblLayout w:type="fixed"/>
        <w:tblCellMar>
          <w:top w:w="0" w:type="dxa"/>
          <w:left w:w="0" w:type="dxa"/>
          <w:bottom w:w="0" w:type="dxa"/>
          <w:right w:w="0" w:type="dxa"/>
        </w:tblCellMar>
      </w:tblPr>
      <w:tblGrid>
        <w:gridCol w:w="3001"/>
        <w:gridCol w:w="326"/>
        <w:gridCol w:w="1364"/>
        <w:gridCol w:w="477"/>
        <w:gridCol w:w="1518"/>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05635" cy="175260"/>
                      <wp:effectExtent l="0" t="0" r="0" b="0"/>
                      <wp:wrapNone/>
                      <wp:docPr id="72" name="Frame7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866140" cy="175260"/>
                      <wp:effectExtent l="0" t="0" r="0" b="0"/>
                      <wp:wrapNone/>
                      <wp:docPr id="74" name="Frame73"/>
                      <a:graphic xmlns:a="http://schemas.openxmlformats.org/drawingml/2006/main">
                        <a:graphicData uri="http://schemas.microsoft.com/office/word/2010/wordprocessingShape">
                          <wps:wsp>
                            <wps:cNvSpPr txBox="1"/>
                            <wps:spPr>
                              <a:xfrm>
                                <a:off x="0" y="0"/>
                                <a:ext cx="866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02895" cy="175260"/>
                      <wp:effectExtent l="0" t="0" r="0" b="0"/>
                      <wp:wrapNone/>
                      <wp:docPr id="75" name="Frame74"/>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63930" cy="175260"/>
                      <wp:effectExtent l="0" t="0" r="0" b="0"/>
                      <wp:wrapNone/>
                      <wp:docPr id="76" name="Frame75"/>
                      <a:graphic xmlns:a="http://schemas.openxmlformats.org/drawingml/2006/main">
                        <a:graphicData uri="http://schemas.microsoft.com/office/word/2010/wordprocessingShape">
                          <wps:wsp>
                            <wps:cNvSpPr txBox="1"/>
                            <wps:spPr>
                              <a:xfrm>
                                <a:off x="0" y="0"/>
                                <a:ext cx="963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3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 June 30,</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7" w:type="dxa"/>
            <w:tcBorders/>
            <w:vAlign w:val="center"/>
          </w:tcPr>
          <w:p>
            <w:pPr>
              <w:pStyle w:val="TableContents"/>
              <w:bidi w:val="0"/>
              <w:spacing w:before="0" w:after="0"/>
              <w:ind w:left="0" w:right="0" w:hanging="0"/>
              <w:jc w:val="center"/>
              <w:rPr/>
            </w:pPr>
            <w:r>
              <w:rPr/>
              <w:t>    </w:t>
            </w:r>
          </w:p>
        </w:tc>
        <w:tc>
          <w:tcPr>
            <w:tcW w:w="15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issued to investors </w:t>
            </w:r>
          </w:p>
        </w:tc>
        <w:tc>
          <w:tcPr>
            <w:tcW w:w="326" w:type="dxa"/>
            <w:tcBorders/>
            <w:shd w:fill="CCEEFF" w:val="clear"/>
            <w:vAlign w:val="center"/>
          </w:tcPr>
          <w:p>
            <w:pPr>
              <w:pStyle w:val="TableContents"/>
              <w:bidi w:val="0"/>
              <w:spacing w:before="0" w:after="0"/>
              <w:ind w:left="0" w:right="0" w:hanging="0"/>
              <w:jc w:val="center"/>
              <w:rPr/>
            </w:pPr>
            <w:r>
              <w:rPr/>
              <w:t>​</w:t>
            </w:r>
          </w:p>
        </w:tc>
        <w:tc>
          <w:tcPr>
            <w:tcW w:w="13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1,432,909</w:t>
            </w:r>
          </w:p>
        </w:tc>
        <w:tc>
          <w:tcPr>
            <w:tcW w:w="477" w:type="dxa"/>
            <w:tcBorders/>
            <w:shd w:fill="CCEEFF" w:val="clear"/>
            <w:vAlign w:val="center"/>
          </w:tcPr>
          <w:p>
            <w:pPr>
              <w:pStyle w:val="TableContents"/>
              <w:bidi w:val="0"/>
              <w:spacing w:before="0" w:after="0"/>
              <w:ind w:left="0" w:right="0" w:hanging="0"/>
              <w:jc w:val="center"/>
              <w:rPr/>
            </w:pPr>
            <w:r>
              <w:rPr/>
              <w:t>​</w:t>
            </w:r>
          </w:p>
        </w:tc>
        <w:tc>
          <w:tcPr>
            <w:tcW w:w="15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1,432,909</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vAlign w:val="center"/>
          </w:tcPr>
          <w:p>
            <w:pPr>
              <w:pStyle w:val="TableContents"/>
              <w:bidi w:val="0"/>
              <w:spacing w:before="0" w:after="0"/>
              <w:ind w:left="0" w:right="0" w:hanging="0"/>
              <w:jc w:val="left"/>
              <w:rPr/>
            </w:pPr>
            <w:r>
              <w:rPr/>
              <w:t>​</w:t>
            </w:r>
          </w:p>
        </w:tc>
        <w:tc>
          <w:tcPr>
            <w:tcW w:w="13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340,820</w:t>
            </w:r>
          </w:p>
        </w:tc>
        <w:tc>
          <w:tcPr>
            <w:tcW w:w="477" w:type="dxa"/>
            <w:tcBorders/>
            <w:vAlign w:val="center"/>
          </w:tcPr>
          <w:p>
            <w:pPr>
              <w:pStyle w:val="TableContents"/>
              <w:bidi w:val="0"/>
              <w:spacing w:before="0" w:after="0"/>
              <w:ind w:left="0" w:right="0" w:hanging="0"/>
              <w:jc w:val="left"/>
              <w:rPr/>
            </w:pPr>
            <w:r>
              <w:rPr/>
              <w:t>​</w:t>
            </w:r>
          </w:p>
        </w:tc>
        <w:tc>
          <w:tcPr>
            <w:tcW w:w="15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577,629</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potentially dilutive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3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1,773,729</w:t>
            </w:r>
          </w:p>
        </w:tc>
        <w:tc>
          <w:tcPr>
            <w:tcW w:w="477" w:type="dxa"/>
            <w:tcBorders/>
            <w:shd w:fill="CCEEFF" w:val="clear"/>
            <w:vAlign w:val="center"/>
          </w:tcPr>
          <w:p>
            <w:pPr>
              <w:pStyle w:val="TableContents"/>
              <w:bidi w:val="0"/>
              <w:spacing w:before="0" w:after="0"/>
              <w:ind w:left="0" w:right="0" w:hanging="0"/>
              <w:jc w:val="left"/>
              <w:rPr/>
            </w:pPr>
            <w:r>
              <w:rPr/>
              <w:t>​</w:t>
            </w:r>
          </w:p>
        </w:tc>
        <w:tc>
          <w:tcPr>
            <w:tcW w:w="15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2,010,538</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2025, the table above includes 1,020,409 warrants expiring on February 20, 2029, which have an exercise price of $1.84 per share and 412,500 warrants expiring on March 28, 2029, which, as of June 30, 2025, have an exercise price of $0.28 per share. For the three and six months ended June 30, 2024, the table above includes 1,029,409 warrants expiring on February 20, 2029, which have an exercise price of $1.84 per share and 412,500 warrants expiring on March 28, 2029, which, as of June 30, 2024, had an exercise price of $1.66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currently uses the following expected life terms for depreciating property and equipment: computer software – 1-2 years, computer hardware – 3 years, furniture and fixtures – 7 years, leasehold improvements – </w:t>
      </w:r>
      <w:r>
        <w:rPr>
          <w:rFonts w:ascii="Times New Roman;Times;serif" w:hAnsi="Times New Roman;Times;serif"/>
          <w:b w:val="false"/>
          <w:i w:val="false"/>
          <w:caps w:val="false"/>
          <w:smallCaps w:val="false"/>
          <w:sz w:val="20"/>
        </w:rPr>
        <w:t>shorter of estimated life or remaining life of the lease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8 – Commitments and Contingencies, </w:t>
      </w:r>
      <w:r>
        <w:rPr>
          <w:rFonts w:ascii="Times New Roman;Times;serif" w:hAnsi="Times New Roman;Times;serif"/>
          <w:i/>
          <w:sz w:val="20"/>
        </w:rPr>
        <w:t>Operating Leases</w:t>
      </w:r>
      <w:r>
        <w:rPr>
          <w:rFonts w:ascii="Times New Roman;Times;serif" w:hAnsi="Times New Roman;Times;serif"/>
          <w:sz w:val="20"/>
        </w:rPr>
        <w:t xml:space="preserve"> for further discussion of the Company’s operating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one operating segment and one reportable segment as its chief operating decision maker (“CODM”), who is its Chief Executive Officer and Chief Financial Officer, reviews financial information on a regular basis for purposes of allocating resources and evaluating financial performance. The CODM also reviews and utilizes functional expenses, such as cost of revenue, research and development, sales and marketing and general and administrative, to manage the Company’s operations. All long-lived assets are located in the United States and substantially all revenue is attributed to customers based in the United States.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Not Yet Adopted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FASB issued Accounting Standards Update (“ASU”) No. 2023-09, “Income Taxes” (“Topic 740”), Improvements to Income Tax Disclosures. This standard is intended to enhance the transparency and usefulness of income tax disclosures to better assess how an entity’s operations and related tax risks and tax planning and operational opportunities affect its tax rate and prospects for future cash flows. This standard is effective for the Company’s annual fiscal period beginning January 1, 2025. The Company does not believe that the adoption of this standard will have a material impact on the Company’s financial statements and related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(Subtopic 220-40): Disaggregation of Income Statement Expenses.” This ASU requires the disaggregation of certain expenses in the notes to the financial statements, to provide enhanced transparency into the expense captions presented on the face of the income statement. This ASU is effective on a prospective basis for fiscal years beginning after December 15, 2026 and for interim periods beginning after December 15, 2027, with early adoption permitted. This ASU may be applied either prospectively or retrospectively. The Company is currently evaluating the impact of the new standard on the financial statements and related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has reviewed other recently issued accounting pronouncements issued or proposed by the FASB and does not believe any of these accounting pronouncements has or will have a material impact on the condensed financial statements.</w:t>
      </w:r>
    </w:p>
    <w:p>
      <w:pPr>
        <w:pStyle w:val="TextBody"/>
        <w:bidi w:val="0"/>
        <w:spacing w:before="0" w:after="240"/>
        <w:ind w:left="0" w:right="0" w:hanging="0"/>
        <w:jc w:val="left"/>
        <w:rPr>
          <w:rFonts w:ascii="Times New Roman;Times;serif" w:hAnsi="Times New Roman;Times;serif"/>
          <w:b/>
          <w:sz w:val="20"/>
        </w:rPr>
      </w:pPr>
      <w:bookmarkStart w:id="664" w:name="Tc_17UEmu4a30e28Hjtk7fgQg_11_5"/>
      <w:bookmarkStart w:id="665" w:name="Tc_fUMpre0pBUG4QmDZwvMULA_11_2"/>
      <w:bookmarkStart w:id="666" w:name="Tc_keRRPMow8kyyZQjqyMABmQ_11_0"/>
      <w:bookmarkStart w:id="667" w:name="Tc_n8iWxzH8fEO7s5qU3NQ32g_10_0"/>
      <w:bookmarkStart w:id="668" w:name="Tc_YyflkmEtS0mgownHg5QjSQ_9_0"/>
      <w:bookmarkStart w:id="669" w:name="Tc_3uL5xrk0fESn_47CBGuMCA_8_0"/>
      <w:bookmarkStart w:id="670" w:name="Tc_-Q3Vo2VIj0Cg_mUpgN0Igg_7_0"/>
      <w:bookmarkStart w:id="671" w:name="Tc_6zWFCNhco0ePOJwgPC3N0w_6_3"/>
      <w:bookmarkStart w:id="672" w:name="Tc_GfpmyRh7hEOTtQmUh0o1KQ_6_0"/>
      <w:bookmarkStart w:id="673" w:name="Tc_fNpFM4hRfUuZ8-ZMNEouQw_5_6"/>
      <w:bookmarkStart w:id="674" w:name="Tc_2Hq9myvkWkKAO7QYXpSMgQ_5_0"/>
      <w:bookmarkStart w:id="675" w:name="Tc_4FXP74ldREKAo3G4SwBTVg_4_0"/>
      <w:bookmarkStart w:id="676" w:name="Tc_znW-pfYmTUi1dqQg-cm72Q_3_5"/>
      <w:bookmarkStart w:id="677" w:name="Tc_bogCxpA60kuyHY7Go2GlmA_3_2"/>
      <w:bookmarkStart w:id="678" w:name="Tc_HpSWJPA3QUmulo4JbV0xNw_3_0"/>
      <w:bookmarkStart w:id="679" w:name="Tc_BO5YQ3EH-k2lZoMoxwL9Tg_2_5"/>
      <w:bookmarkStart w:id="680" w:name="Tc_RzQX3HRpuE6TZEFgHRE_gQ_2_2"/>
      <w:bookmarkStart w:id="681" w:name="Tc_nNbwoQhD7E2d-HqtyEUZUg_1_2"/>
      <w:bookmarkStart w:id="682" w:name="_19aa7e32_3aae_46b9_a648_4ea9ad81aeed"/>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b/>
          <w:sz w:val="20"/>
        </w:rPr>
        <w:t>Note 4 – Prepaid Expenses and Other Current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tbl>
      <w:tblPr>
        <w:tblW w:w="7014" w:type="dxa"/>
        <w:jc w:val="left"/>
        <w:tblInd w:w="0" w:type="dxa"/>
        <w:tblLayout w:type="fixed"/>
        <w:tblCellMar>
          <w:top w:w="0" w:type="dxa"/>
          <w:left w:w="0" w:type="dxa"/>
          <w:bottom w:w="0" w:type="dxa"/>
          <w:right w:w="0" w:type="dxa"/>
        </w:tblCellMar>
      </w:tblPr>
      <w:tblGrid>
        <w:gridCol w:w="3691"/>
        <w:gridCol w:w="326"/>
        <w:gridCol w:w="374"/>
        <w:gridCol w:w="751"/>
        <w:gridCol w:w="326"/>
        <w:gridCol w:w="442"/>
        <w:gridCol w:w="1104"/>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43785" cy="175260"/>
                      <wp:effectExtent l="0" t="0" r="0" b="0"/>
                      <wp:wrapNone/>
                      <wp:docPr id="77" name="Frame76"/>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37490" cy="175260"/>
                      <wp:effectExtent l="0" t="0" r="0" b="0"/>
                      <wp:wrapNone/>
                      <wp:docPr id="79" name="Frame78"/>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6885" cy="175260"/>
                      <wp:effectExtent l="0" t="0" r="0" b="0"/>
                      <wp:wrapNone/>
                      <wp:docPr id="80" name="Frame7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80670" cy="175260"/>
                      <wp:effectExtent l="0" t="0" r="0" b="0"/>
                      <wp:wrapNone/>
                      <wp:docPr id="82" name="Frame8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1040" cy="175260"/>
                      <wp:effectExtent l="0" t="0" r="0" b="0"/>
                      <wp:wrapNone/>
                      <wp:docPr id="83" name="Frame8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9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3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 with contract manufacturer</w:t>
            </w:r>
          </w:p>
        </w:tc>
        <w:tc>
          <w:tcPr>
            <w:tcW w:w="326" w:type="dxa"/>
            <w:tcBorders/>
            <w:shd w:fill="CCEEFF" w:val="clear"/>
            <w:vAlign w:val="center"/>
          </w:tcPr>
          <w:p>
            <w:pPr>
              <w:pStyle w:val="TableContents"/>
              <w:bidi w:val="0"/>
              <w:spacing w:before="0" w:after="1"/>
              <w:ind w:left="0" w:right="0" w:hanging="0"/>
              <w:jc w:val="left"/>
              <w:rPr/>
            </w:pPr>
            <w:r>
              <w:rPr/>
              <w:t>    </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Refund receivable for stock registration fees</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and deferred financing costs</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subscriptions</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and support</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 </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Tradeshow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deposits</w:t>
            </w:r>
          </w:p>
        </w:tc>
        <w:tc>
          <w:tcPr>
            <w:tcW w:w="326" w:type="dxa"/>
            <w:tcBorders/>
            <w:vAlign w:val="center"/>
          </w:tcPr>
          <w:p>
            <w:pPr>
              <w:pStyle w:val="TableContents"/>
              <w:bidi w:val="0"/>
              <w:spacing w:before="0" w:after="1"/>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shd w:fill="CCEEFF" w:val="clear"/>
            <w:vAlign w:val="center"/>
          </w:tcPr>
          <w:p>
            <w:pPr>
              <w:pStyle w:val="TableContents"/>
              <w:bidi w:val="0"/>
              <w:spacing w:before="0" w:after="1"/>
              <w:ind w:left="0" w:right="0" w:hanging="0"/>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83" w:name="Tc_AXz-cIgoL0aK1mKpMeZMFw_6_5"/>
      <w:bookmarkStart w:id="684" w:name="Tc_97NCzTpMVkmNwYEiKONiHg_6_2"/>
      <w:bookmarkStart w:id="685" w:name="Tc_P5LLByGE2UaYUW283auydA_6_0"/>
      <w:bookmarkStart w:id="686" w:name="Tc_L6cWScdHTUyRk9dfpC9OTw_5_6"/>
      <w:bookmarkStart w:id="687" w:name="Tc_4sGLItfC0kuDxsvTMR4INA_5_0"/>
      <w:bookmarkStart w:id="688" w:name="Tc_mPjFXqwF2UeRIiq7eT13OQ_4_6"/>
      <w:bookmarkStart w:id="689" w:name="Tc_GW4AeGvi90OmKRg0ieceSQ_4_0"/>
      <w:bookmarkStart w:id="690" w:name="Tc_5ScFRWSQJk2DdAIb3naXqg_3_5"/>
      <w:bookmarkStart w:id="691" w:name="Tc_sjM28S8kZU-qPNHFGsLeIg_3_2"/>
      <w:bookmarkStart w:id="692" w:name="Tc_tC8FoZj6TkKVZ59YCHM2ig_3_0"/>
      <w:bookmarkStart w:id="693" w:name="Tc_E3zMPCfHgEO2Sm03W4z06g_2_5"/>
      <w:bookmarkStart w:id="694" w:name="Tc_kLRJpaGOlke-t7TKnEwHug_2_2"/>
      <w:bookmarkStart w:id="695" w:name="Tc_fg4LJrgkmkuqkzZQ9YtukA_1_2"/>
      <w:bookmarkStart w:id="696" w:name="_7fa0163a_2e83_4fa4_a2b0_428ba749d6a7"/>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rPr>
          <w:rFonts w:ascii="Times New Roman;Times;serif" w:hAnsi="Times New Roman;Times;serif"/>
          <w:b/>
          <w:sz w:val="20"/>
        </w:rPr>
        <w:t>Note 5 – Inventory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summary of the Company’s inventory as of June 30, 2025 and December 31, 2024 (in thousands):</w:t>
      </w:r>
    </w:p>
    <w:p>
      <w:pPr>
        <w:pStyle w:val="TextBody"/>
        <w:bidi w:val="0"/>
        <w:spacing w:before="0" w:after="0"/>
        <w:ind w:left="0" w:right="0" w:hanging="0"/>
        <w:jc w:val="left"/>
        <w:rPr/>
      </w:pPr>
      <w:r>
        <w:rPr/>
        <w:t>​</w:t>
      </w:r>
    </w:p>
    <w:tbl>
      <w:tblPr>
        <w:tblW w:w="4780" w:type="dxa"/>
        <w:jc w:val="left"/>
        <w:tblInd w:w="0" w:type="dxa"/>
        <w:tblLayout w:type="fixed"/>
        <w:tblCellMar>
          <w:top w:w="0" w:type="dxa"/>
          <w:left w:w="0" w:type="dxa"/>
          <w:bottom w:w="0" w:type="dxa"/>
          <w:right w:w="0" w:type="dxa"/>
        </w:tblCellMar>
      </w:tblPr>
      <w:tblGrid>
        <w:gridCol w:w="1456"/>
        <w:gridCol w:w="326"/>
        <w:gridCol w:w="375"/>
        <w:gridCol w:w="751"/>
        <w:gridCol w:w="326"/>
        <w:gridCol w:w="442"/>
        <w:gridCol w:w="110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924560" cy="175260"/>
                      <wp:effectExtent l="0" t="0" r="0" b="0"/>
                      <wp:wrapNone/>
                      <wp:docPr id="84" name="Frame8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38125" cy="175260"/>
                      <wp:effectExtent l="0" t="0" r="0" b="0"/>
                      <wp:wrapNone/>
                      <wp:docPr id="86" name="Frame8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76885" cy="175260"/>
                      <wp:effectExtent l="0" t="0" r="0" b="0"/>
                      <wp:wrapNone/>
                      <wp:docPr id="87" name="Frame8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80670" cy="175260"/>
                      <wp:effectExtent l="0" t="0" r="0" b="0"/>
                      <wp:wrapNone/>
                      <wp:docPr id="89" name="Frame8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01040" cy="175260"/>
                      <wp:effectExtent l="0" t="0" r="0" b="0"/>
                      <wp:wrapNone/>
                      <wp:docPr id="90" name="Frame89"/>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vAlign w:val="center"/>
          </w:tcPr>
          <w:p>
            <w:pPr>
              <w:pStyle w:val="TableContents"/>
              <w:bidi w:val="0"/>
              <w:spacing w:before="0" w:after="0"/>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97" w:name="Tc_O6-1cqsZAkqW0DQyaWnCaQ_9_5"/>
      <w:bookmarkStart w:id="698" w:name="Tc_NKaKhtFM20eScX8fr5zeeg_9_2"/>
      <w:bookmarkStart w:id="699" w:name="Tc_es88YbP1NUGTfJjHNAgRfQ_9_0"/>
      <w:bookmarkStart w:id="700" w:name="Tc_9mFCpv9Ch0OMO2g8olLbTA_8_0"/>
      <w:bookmarkStart w:id="701" w:name="Tc_ke1cjYx2QUKwPyNa9vdurg_6_0"/>
      <w:bookmarkStart w:id="702" w:name="Tc_k2RsDQ-PFkim5nBWiKnQgQ_5_0"/>
      <w:bookmarkStart w:id="703" w:name="Tc_1vYnhs4d8E6mzFdprfo7bQ_4_0"/>
      <w:bookmarkStart w:id="704" w:name="Tc_eYe0T40yskSPYTYFcM6t-g_3_5"/>
      <w:bookmarkStart w:id="705" w:name="Tc_ifNM42RhXEuKnDndp3njlA_3_2"/>
      <w:bookmarkStart w:id="706" w:name="Tc_BwiRNPSd4kCnUWzX6CqR_Q_3_0"/>
      <w:bookmarkStart w:id="707" w:name="Tc_kZqYGx8ZQUKaEnxgyAf0ww_2_5"/>
      <w:bookmarkStart w:id="708" w:name="Tc_cuuDLkW36keAB5ottPXQ1Q_2_2"/>
      <w:bookmarkStart w:id="709" w:name="Tc_Z9OrbJagWUysLkfydDFzgQ_1_2"/>
      <w:bookmarkStart w:id="710" w:name="_7736be54_2ed5_46ac_af5c_8e1878ad1c7e"/>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Pr>
          <w:rFonts w:ascii="Times New Roman;Times;serif" w:hAnsi="Times New Roman;Times;serif"/>
          <w:b/>
          <w:sz w:val="20"/>
        </w:rPr>
        <w:t>Note 6 – Property and 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Property and equipment are as follows (in thousands):</w:t>
      </w:r>
    </w:p>
    <w:tbl>
      <w:tblPr>
        <w:tblW w:w="6219" w:type="dxa"/>
        <w:jc w:val="left"/>
        <w:tblInd w:w="0" w:type="dxa"/>
        <w:tblLayout w:type="fixed"/>
        <w:tblCellMar>
          <w:top w:w="0" w:type="dxa"/>
          <w:left w:w="0" w:type="dxa"/>
          <w:bottom w:w="0" w:type="dxa"/>
          <w:right w:w="0" w:type="dxa"/>
        </w:tblCellMar>
      </w:tblPr>
      <w:tblGrid>
        <w:gridCol w:w="2896"/>
        <w:gridCol w:w="326"/>
        <w:gridCol w:w="263"/>
        <w:gridCol w:w="862"/>
        <w:gridCol w:w="326"/>
        <w:gridCol w:w="367"/>
        <w:gridCol w:w="1179"/>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38960" cy="175260"/>
                      <wp:effectExtent l="0" t="0" r="0" b="0"/>
                      <wp:wrapNone/>
                      <wp:docPr id="91" name="Frame90"/>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7005" cy="175260"/>
                      <wp:effectExtent l="0" t="0" r="0" b="0"/>
                      <wp:wrapNone/>
                      <wp:docPr id="93" name="Frame9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47370" cy="175260"/>
                      <wp:effectExtent l="0" t="0" r="0" b="0"/>
                      <wp:wrapNone/>
                      <wp:docPr id="94" name="Frame93"/>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3045" cy="175260"/>
                      <wp:effectExtent l="0" t="0" r="0" b="0"/>
                      <wp:wrapNone/>
                      <wp:docPr id="96" name="Frame9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48665" cy="175260"/>
                      <wp:effectExtent l="0" t="0" r="0" b="0"/>
                      <wp:wrapNone/>
                      <wp:docPr id="97" name="Frame9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2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r>
      <w:tr>
        <w:trPr/>
        <w:tc>
          <w:tcPr>
            <w:tcW w:w="28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3,202</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 accumulated depreciation</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disposed of $1.4 million in aggregate of fully depreciated assets during the three and six months ended June 30, 2025. The Company did not dispose of any assets during the three and six months ended June 30, 2024. Total depreciation and amortization expense of the Company’s property and equipment was $0.1 million for each of the six months ended June 30, 2025 and 2024, of which, $700 and $0 were included in cost of revenue for the six months ended June 30, 2025 and 2024, respectively.</w:t>
      </w:r>
    </w:p>
    <w:p>
      <w:pPr>
        <w:pStyle w:val="TextBody"/>
        <w:bidi w:val="0"/>
        <w:spacing w:before="0" w:after="240"/>
        <w:ind w:left="0" w:right="0" w:hanging="0"/>
        <w:jc w:val="left"/>
        <w:rPr>
          <w:rFonts w:ascii="Times New Roman;Times;serif" w:hAnsi="Times New Roman;Times;serif"/>
          <w:b/>
          <w:sz w:val="20"/>
        </w:rPr>
      </w:pPr>
      <w:bookmarkStart w:id="711" w:name="Tc_X83AMfvtykqOWGUe8ctS4Q_8_5"/>
      <w:bookmarkStart w:id="712" w:name="Tc_fp_andqcoUiTTg1h9tO4zQ_8_2"/>
      <w:bookmarkStart w:id="713" w:name="Tc_KfwwI-GIp0-rVhRwgksYKw_8_0"/>
      <w:bookmarkStart w:id="714" w:name="Tc_vkWTGzCc6US7Fazb1qB4hg_7_0"/>
      <w:bookmarkStart w:id="715" w:name="Tc_SLSzqTUNW0WBt26sefq8eQ_6_0"/>
      <w:bookmarkStart w:id="716" w:name="Tc_0YYMgz_7dE2X9c40nIKkgA_5_6"/>
      <w:bookmarkStart w:id="717" w:name="Tc_6_GbzRAdk0egLGic5fflhQ_5_0"/>
      <w:bookmarkStart w:id="718" w:name="Tc_pwarAVC8HkWssdh14HMC6g_4_0"/>
      <w:bookmarkStart w:id="719" w:name="Tc_FxpuwXvccUGkBObXJ6yNDA_3_5"/>
      <w:bookmarkStart w:id="720" w:name="Tc_BrBis8UQt0-dcuVwvq2ZDQ_3_2"/>
      <w:bookmarkStart w:id="721" w:name="Tc_uKMqmTBIjkuGurnt8BjQHQ_3_0"/>
      <w:bookmarkStart w:id="722" w:name="Tc_3YvCoo3C-EOiqEYcTuLu2A_2_5"/>
      <w:bookmarkStart w:id="723" w:name="Tc_I9ZvIIWmZEmLLJUiqdGxqw_2_2"/>
      <w:bookmarkStart w:id="724" w:name="Tc_FcDzaydfW0-Dg2BEV_gtog_1_2"/>
      <w:bookmarkStart w:id="725" w:name="_85d41a96_51b0_42c0_ab21_2a415919b4e1"/>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Times;serif" w:hAnsi="Times New Roman;Times;serif"/>
          <w:b/>
          <w:sz w:val="20"/>
        </w:rPr>
        <w:t>Note 7 – Accrued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0"/>
        <w:ind w:left="0" w:right="0" w:hanging="0"/>
        <w:jc w:val="left"/>
        <w:rPr/>
      </w:pPr>
      <w:r>
        <w:rPr/>
        <w:t>​</w:t>
      </w:r>
    </w:p>
    <w:tbl>
      <w:tblPr>
        <w:tblW w:w="6310" w:type="dxa"/>
        <w:jc w:val="left"/>
        <w:tblInd w:w="0" w:type="dxa"/>
        <w:tblLayout w:type="fixed"/>
        <w:tblCellMar>
          <w:top w:w="0" w:type="dxa"/>
          <w:left w:w="0" w:type="dxa"/>
          <w:bottom w:w="0" w:type="dxa"/>
          <w:right w:w="0" w:type="dxa"/>
        </w:tblCellMar>
      </w:tblPr>
      <w:tblGrid>
        <w:gridCol w:w="2986"/>
        <w:gridCol w:w="326"/>
        <w:gridCol w:w="303"/>
        <w:gridCol w:w="823"/>
        <w:gridCol w:w="326"/>
        <w:gridCol w:w="367"/>
        <w:gridCol w:w="1179"/>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96110" cy="175260"/>
                      <wp:effectExtent l="0" t="0" r="0" b="0"/>
                      <wp:wrapNone/>
                      <wp:docPr id="98" name="Frame97"/>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2405" cy="175260"/>
                      <wp:effectExtent l="0" t="0" r="0" b="0"/>
                      <wp:wrapNone/>
                      <wp:docPr id="100" name="Frame9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22605" cy="175260"/>
                      <wp:effectExtent l="0" t="0" r="0" b="0"/>
                      <wp:wrapNone/>
                      <wp:docPr id="101" name="Frame10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33045" cy="175260"/>
                      <wp:effectExtent l="0" t="0" r="0" b="0"/>
                      <wp:wrapNone/>
                      <wp:docPr id="103" name="Frame102"/>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48665" cy="175260"/>
                      <wp:effectExtent l="0" t="0" r="0" b="0"/>
                      <wp:wrapNone/>
                      <wp:docPr id="104" name="Frame10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9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expenses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tariffs and value added tax</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 Jose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20, 2022, the Company signed a lease amendment to the existing lease for its office space at its corporate headquarters in San Jose, California, extending the term of the lease for an additional three years.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w:t>
      </w:r>
      <w:r>
        <w:rPr>
          <w:rFonts w:ascii="Times New Roman;Times;serif" w:hAnsi="Times New Roman;Times;serif"/>
          <w:b w:val="false"/>
          <w:i w:val="false"/>
          <w:caps w:val="false"/>
          <w:smallCaps w:val="false"/>
          <w:sz w:val="20"/>
        </w:rPr>
        <w:t>one</w:t>
      </w:r>
      <w:r>
        <w:rPr>
          <w:rFonts w:ascii="Times New Roman;Times;serif" w:hAnsi="Times New Roman;Times;serif"/>
          <w:sz w:val="20"/>
        </w:rPr>
        <w:t>-time reduction to the ROU lease asset and operating lease liability of approximately $51,000. Upon expiration of the original lease on September 30, 2022, the new monthly lease payment starting October 1, 2022 was approximately $59,000, subject to annual escalations up to a maximum monthly lease payment of approximately $62,000. On July 31, 2024, the Company signed an additional lease amendment where the monthly payments through the remainder of 2024 were reduced to approximately $37,000 and the monthly payments from January 2025 through September 2025 were increased to approximately $76,000. As a result of this amendment, the Company revalued its ROU lease asset to $0.8 million and its operating lease liability to $0.8 million on July 31,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26" w:name="Tc_JYMQezMiv0qRAVcrKTn2zg_7_2"/>
      <w:bookmarkStart w:id="727" w:name="Tc_rbPUbILvAUKvIRxJOek6fQ_7_0"/>
      <w:bookmarkStart w:id="728" w:name="Tc_9m0jXkoEPE-SrxiRiA_XQA_6_0"/>
      <w:bookmarkStart w:id="729" w:name="Tc_dtMGfaDhT06y8HDTBe5Zig_5_0"/>
      <w:bookmarkStart w:id="730" w:name="Tc_krYT-ls_BU-CvOud12uuyA_4_0"/>
      <w:bookmarkStart w:id="731" w:name="Tc_eZxl9Oba60uFQp-1393fFw_3_0"/>
      <w:bookmarkStart w:id="732" w:name="Tc_W1DWwBaPckq1rZPQp5rPMQ_2_2"/>
      <w:bookmarkStart w:id="733" w:name="Tc_vTq8xvBBekOe_8JaMP0_-A_2_0"/>
      <w:bookmarkStart w:id="734" w:name="Tc_aVKMxLW_fkSM-lWw72V5WA_1_2"/>
      <w:bookmarkStart w:id="735" w:name="Tc_A0BsFLNllUahOFJJBlDV9w_1_0"/>
      <w:bookmarkStart w:id="736" w:name="_843a28d6_24bb_4b8d_a93d_bfa003dcb94d"/>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b/>
          <w:sz w:val="20"/>
        </w:rPr>
        <w:t>Note 8 – Commitments and Contingencies,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19, 2025, the Company signed an amendment to the existing lease for its office space at its corporate headquarters in San Jose, California, relocating to a smaller suite within the same building and extending the lease through December 31, 2027. The Company agreed to issue 75,000 shares of its common stock to the landlord upon signing the amendment as partial consideration for the amended lease and agreed to new monthly payments beginning October 2025 of approximately $37,000, escalating to approximately $46,000 during 2026 and $51,000 during 2027. As a result of the new lease amendment signed on March 19, 2025, the ROU asset and operating lease liability were both increased by approximately $0.9 million. The Company recorded lease expense of $0.1 million and $0.3 million for the three and six months ended June 30, 2025, respectively. The Company recorded lease expense of $0.2 million and $0.4 million for the three and six months ended June 30, 2024,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Topic 842, “Leases” and recognizes the required ROU assets and operating lease liabilities on its balance sheet. The Company anticipates having future total lease payments of $1.4 million during the period from the third quarter of 2025 to the fourth quarter of 2027. As of June 30, 2025, the Company has total operating lease ROU assets of $1.1 million and operating lease liabilities of $1.3 million. The weighted average remaining lease term is 2.5 years as of June 30,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undiscounted cash flows to lease liabilities recognized as of June 30, 2025 is as follows (in thousands):</w:t>
      </w:r>
    </w:p>
    <w:p>
      <w:pPr>
        <w:pStyle w:val="TextBody"/>
        <w:bidi w:val="0"/>
        <w:spacing w:before="0" w:after="0"/>
        <w:ind w:left="0" w:right="0" w:hanging="0"/>
        <w:jc w:val="left"/>
        <w:rPr/>
      </w:pPr>
      <w:r>
        <w:rPr/>
        <w:t>​</w:t>
      </w:r>
    </w:p>
    <w:tbl>
      <w:tblPr>
        <w:tblW w:w="5219" w:type="dxa"/>
        <w:jc w:val="left"/>
        <w:tblInd w:w="0" w:type="dxa"/>
        <w:tblLayout w:type="fixed"/>
        <w:tblCellMar>
          <w:top w:w="0" w:type="dxa"/>
          <w:left w:w="0" w:type="dxa"/>
          <w:bottom w:w="0" w:type="dxa"/>
          <w:right w:w="0" w:type="dxa"/>
        </w:tblCellMar>
      </w:tblPr>
      <w:tblGrid>
        <w:gridCol w:w="4006"/>
        <w:gridCol w:w="326"/>
        <w:gridCol w:w="211"/>
        <w:gridCol w:w="67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43810" cy="175260"/>
                      <wp:effectExtent l="0" t="0" r="0" b="0"/>
                      <wp:wrapNone/>
                      <wp:docPr id="105" name="Frame104"/>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 ending December 31, </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 six months)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discount (8.0% weighted average)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1,259</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Litigations, Claims and Assessments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MBO Bonus Plan and 2024 Bonus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30, 2024, the Board of Directors (“Board”), on the recommendation of the Compensation Committee, approved the 2024 Corporate Bonus Plan (the “2024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2024 Bonus Plan, the Compensation Committee is responsible for selecting the amounts of potential bonuses for executive officers and vice presidents, the performance metrics used to determine whether any such bonuses will be paid and determining whether those performance metrics have been achieved. The Company did not record any expense during the three and six months ended June 30, 2025 or for the three and six months ended June 30, 2024 under the 2024 Bonus Plan. The Company did not have any outstanding amount accrued as of June 30, 2025 under the 2024 Bonus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21, 2025, the Board, on the recommendation of the Compensation Committee, approved the 2025 Corporate Bonus Plan (the “2025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Commitments and Contingencies,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2025 Bonus Plan, the Compensation Committee is responsible for selecting the amounts of potential bonuses for executive officers and vice presidents and defining the annual performance metrics against which the bonus compensation will be measured. The level of achievement against pre-defined performance metrics is used to determine whether any such bonuses will be paid and whether those performance metrics have been satisfactorily achieved. The Company accrued $0.5 million in bonus expense under the 2025 Bonus Plan as of June 30, 2025, which the Company plans to pay during the first quarter of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and Change in Control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30, 2024, the Compensation Committee approved a new form of Severance Agreement and Change in Control Agreement (“Severance Agreement”) that the Company may enter into with executive officers and vice presidents (each, an “Executive”). Under the Severance Agreement, if an Executive party thereto is terminated without cause or in a qualifying change in control termination, the Company agrees to pay the Executive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twelve months of that Executive’s monthly base salary and 25% to 100% of the Executive’s target bonus, and to accelerate the vesting of 25% to 100% of the Executive’s unvested equity awards.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w:t>
      </w:r>
      <w:r>
        <w:rPr>
          <w:rFonts w:ascii="Times New Roman;Times;serif" w:hAnsi="Times New Roman;Times;serif"/>
          <w:b w:val="false"/>
          <w:i w:val="false"/>
          <w:caps w:val="false"/>
          <w:smallCaps w:val="false"/>
          <w:sz w:val="20"/>
        </w:rPr>
        <w:t>three</w:t>
      </w:r>
      <w:r>
        <w:rPr>
          <w:rFonts w:ascii="Times New Roman;Times;serif" w:hAnsi="Times New Roman;Times;serif"/>
          <w:sz w:val="20"/>
        </w:rPr>
        <w:t>-to-twelve-month period, as applicable, following the Executive’s termination.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 Cesar Johnston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26, 2024, the Company announced that Cesar Johnston was no longer serving as President and Chief Executive Officer of the Company effective March 24, 2024. In connection with his cessation as an officer of the Company, Mr. Johnston was entitled to receive the benefits and payments set forth in the Amended and Restated Severance and Change in Control Agreement, dated December 6, 2021 (“Johnston Severance Agreement”), between the Company and Mr. Johnston. Accordingly, Mr. Johnston received (a) 18 months of his monthly salary plus the amount equal to 100% of his target bonus, (b) any outstanding unvested equity awards held by Mr. Johnston that were scheduled to vest during the next 18 months following the termination date, and (c) reimbursement for continued COBRA payments, if elected by Mr. Johnston, during the 18 months following the termination date. The Company recorded $1.5 million in total severance expense pertaining to Mr. Johnston’s departure during the three months ended March 31, 2024, including $0.1 million in stock-based compensation as a result of accelerated vesting of RSUs and options (see Note 11 – Stock-Based Compensation for additional details). The Company reversed $0.3 million in accrued severance during the three months ended June 30, 2024, as a result of a negotiated settlement and payroll taxes. The Company, therefore, recorded expense of $1.2 million in total severance expense pertaining to Mr. Johnston’s departure during the six months ended June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the Company had accrued unpaid severance expense related to COBRA reimbursements of approximately $10,000 pertaining to the Johnston Severance Agreement, which is due to be paid through September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Short-term Debt</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Financing for Insurance Premiums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29, 2025, the Company financed approximately $308,000 in business insurance premiums to be repaid in nine installments of approximately $35,000 with a borrowing rate of 6.99%. As of June 30, 2025, the Company had an outstanding balance of approximately $241,000 on the financing for its insurance premiums.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Agile Subordinated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October 1, 2024, the Company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“Original Term Loan”). Principal and interest on the Original Term Loan in the aggregate amount of $756,000 was to be repaid in weekly payments of $27,000 commencing on October 14, 2024 and fully repaid on or before the maturity date of April 21, 2025.</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Short-term Debt,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November 5, 2024, the Company entered into an amended subordinated business loan agreement with the Lender (the “Amended Loan Agreement”) to refinance the Original Term Loan. The Amended Loan Agreement provided for a new term loan of $997,000, with the ability to receive additional term loans of up to $1.6 million, subject to certain conditions (such new loans, the “New Term Loan”). Principal and interest on the New Term Loan in the aggregate amount of $1,415,740 was repaid in weekly payments of approximately $39,000 and fully repaid before the maturity date of July 17, 2025 on July 7, 2025. The proceeds of the New Term Loan were allocated to cover the administrative fee of $48,000 and to repay in full the Original Term Loan as described above, which had a carrying amount of $429,000 and settlement value of $648,000 on November 5, 2024. The New Term Loan was expressly subordinated to the Company’s obligations on certain senior indebtedness of the Company as provided in the Amended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the Company had a short-term loan payable balance of approximately $0.1 million. The Company recorded interest expense of approximately $0.1 million and $0.2 million related to the Amended Loan Agreement during the three and six months ended June 30, 2025. The payment multiplier on the current loan was 1.42. An administrative fee of $25,000 was paid on the Original Loan agreement, and an administrative fee of $48,000 was paid on the Amended Loan Agreement. These fees were recorded as a debt discount against the proceeds received. As of June 30, 2025, the unamortized debt discount was $5,000. On July 7, 2025, the Company paid off the remaining balance of its short-term loan (see Note 15 – Subsequent Events).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Authorized Capital</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Financing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November 15, 2021, the Company filed a shelf registration statement on Form S-3 with the SEC, which became effective on December 16, 2021. This shelf registration statement allowed the Company to sell, from time to time, any combination of debt or equity securities described in the registration statement up to aggregate proceeds of $100 million. Pursuant to this registration statement, on March 28, 2023, the Company completed an underwritten offering pursuant to which it issued and sold an aggregate of (i)  412,500 shares of its common stock and (ii) warrants to purchase up to 412,500 shares of its common stock (the “2023 Warrants”), for net proceeds of $2.7 million, after deducting underwriting discounts, commission and expenses payable by the Company. The 2023 Warrants were immediately exercisable upon issuance and have a term of six years and had an initial exercise price of $8.00.</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allocated the proceeds received first to the 2023 Warrants based on the fair value of the 2023 Warrants as determined at initial measurement, with the remaining proceeds allocated to the shares of common stock (see Note 12 – Warrant Liability and Note 13 – Fair Value Measurements). Pursuant to the terms of the 2023 Warrants, the exercise price was adjusted to $1.66 and $0.30 during 2023 and 2024, respectively, and was further adjusted to $0.28 as of June 30,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February 15, 2024, the Company entered into a securities purchase agreement with an institutional investor, providing for the issuance and sale by the Company in a registered direct offering (the “2024 Offering ”) of (i) 570,000 shares of the Company’s common stock, (ii) pre-funded warrants to purchase up to 450,409 shares of common stock (referred to individually as a “Pre-Funded Warrant” and collectively as the “Pre-Funded Warrants”), and (iii) warrants to purchase an aggregate of 1,020,409 shares of common stock (referred to individually as a “Warrant” and collectively as the “2024 Warrants”). Each share of common stock and Pre-Funded Warrant was offered and sold, together with an accompanying 2024 Warrant at a combined price of $1.96 per share of common stock or Pre-Funded Warrant, as applicable, and the accompanying 2024 Warrant. Each Pre-Funded Warrant and 2024 Warrant is exercisable at any time on or after the date of issuance to purchase one share of common stock at a price of either $0.001 per share, in the case of Pre-Funded Warrants, or $1.84 per share, in the case of 2024 Warrants. The Pre-Funded Warrants expired upon full exercise in April 2024, and the 2024 Warrants expire five years from the date of issuance. The 2024 Offering closed on February 20, 2024. The Company received net proceeds of approximately $1.8 million (net of $0.2 million in issuance costs) in the 2024 Offering.</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Capital Stock and Warrants,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June 21, 2024, the Company filed a prospectus supplement covering the offering, issuance and sale of up to $3.4 million in shares of the Company’s common stock pursuant to an At the Market Offering Agreement, dated June 21, 2024, between the Company and H.C. Wainwright &amp; Co., LLC (the “ATM Program”). Prior to the commencement of the ATM Program, the Company sold 27,870 shares of its common stock under for proceeds of $47,000 (net of commissions and fees of $2,000) during the year ended December 31, 2024 under the preceding ATM program. During the year ended December 31, 2024, the Company sold 6,851,753 shares of its common stock under the ATM Program for net proceeds of approximately $3.1 million (net of commissions and other related offering expenses of approximately $0.3 million).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December 30, 2024, the Company filed a prospectus supplement for the issuance and sale of an additional $7.46 million in shares of common stock under the ATM Program. During January 2025, the Company sold 6,280,436 shares of its common stock under the ATM Program for net proceeds of approximately $7.0 million (net of commissions and other related offering expenses of approximately $0.4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January 6, 2025, the Company filed a prospectus supplement for the issuance and sale of an additional $6.6 million in shares of common stock under the ATM Program. During January and February 2025, the Company sold 10,303,969 shares of its common stock under the ATM Program for net proceeds of approximately $6.3 million (net of commissions and other related offering expenses of approximately $0.3 million) under this prospectus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13, 2025, the Company filed a prospectus supplement for the issuance and sale of an additional $80.0 million in shares of common stock under the ATM Program. During the three months ended June 30, 2025, the Company sold 6,793,371 shares of its common stock for net proceeds of approximately $2.0 million (net of commissions and related offering expenses of approximately $0.1 million) under the ATM Program. During the six months ended June 30, 2025, the Company sold 8,912,271 shares of its common stock under the ATM Program for net proceeds of approximately $2.5 million (net of commissions and other related offering expenses of approximately $0.3 million) under the ATM Program. As of June 30, 2025, approximately $77.2 million in shares of common stock remained available for issuance under the ATM Program, subject to availability of authorized shares.</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Regulation A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11, 2024, the Company filed a Regulation A Offering Statement on Form 1-A with an offering of a maximum of 5,000,000 Units (the “Regulation A Offering”), with each Unit consisting of one share of Series A Convertible Preferred Stock (initially convertible into two shares of common stock) and three common stock purchase warrants, two to each purchase one share of common stock at an exercise price of $1.50 per share and one to purchase one share of common stock at $2.00 per share, for an aggregate of 5,000,000 shares of Series A Convertible Preferred Stock (and 10,000,000 shares of common stock underlying the shares of Series A Convertible Preferred Stock) and warrants to purchase up to an aggregate of 10,000,000 shares of common stock at an exercise price of $1.50 per share and 5,000,000 shares of common stock at an exercise price of $2.00 per share, at an offering price of $1.50 per Unit, for a maximum offering amount of $7,500,000. The Regulation A Offering was qualified by the SEC on November 22,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11, 2025, the Company withdrew the Regulation A Offering. No sales of Units were made pursuant to the Regulation A Offering. The Company’s prepaid expenses and other current assets as of December 31, 2024 included approximately $0.3 million in prepaid financing expenses related to the Regulation A Offering. An additional $0.4 million in expenses related to the Regulation A Offering was recorded during the three months ended March 31, 2025. Upon termination of the Regulation A Offering, the Company recorded a one-time total write-off of $0.7 million as expenses related to an abandoned financing transaction during the three months ended March 31, 2025.</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7" w:name="Tc_DDOipz3RY0iAUPglOyMfyQ_7_0"/>
      <w:bookmarkStart w:id="738" w:name="Tc_4RMBNjvsbkOP0N5508zlNQ_6_3"/>
      <w:bookmarkStart w:id="739" w:name="Tc_4G6uhfOpKEyPYqlFDcktmA_6_0"/>
      <w:bookmarkStart w:id="740" w:name="Tc_BV4p65pCWUCWlLtzrsAehg_5_0"/>
      <w:bookmarkStart w:id="741" w:name="Tc_BCxkErVV8UiKbrA6JnbtwQ_4_3"/>
      <w:bookmarkStart w:id="742" w:name="Tc_4en1IGf-dUSPZaAgLmS9Gg_4_0"/>
      <w:bookmarkStart w:id="743" w:name="Tc_j-u9Ok5IwUOGWfrNp_fSvQ_3_0"/>
      <w:bookmarkStart w:id="744" w:name="Tc_k041QMD59kGG-OAY_pCuAg_2_0"/>
      <w:bookmarkStart w:id="745" w:name="Tc_Opj3J00hc0-bxEaLoKQ7tw_1_5"/>
      <w:bookmarkStart w:id="746" w:name="Tc_8A5SPaE4YUux0th9OHH6Sw_1_2"/>
      <w:bookmarkEnd w:id="737"/>
      <w:bookmarkEnd w:id="738"/>
      <w:bookmarkEnd w:id="739"/>
      <w:bookmarkEnd w:id="740"/>
      <w:bookmarkEnd w:id="741"/>
      <w:bookmarkEnd w:id="742"/>
      <w:bookmarkEnd w:id="743"/>
      <w:bookmarkEnd w:id="744"/>
      <w:bookmarkEnd w:id="745"/>
      <w:bookmarkEnd w:id="746"/>
      <w:r>
        <w:rPr>
          <w:rFonts w:ascii="Times New Roman;Times;serif" w:hAnsi="Times New Roman;Times;serif"/>
          <w:b/>
          <w:sz w:val="20"/>
        </w:rPr>
        <w:t>Note 10 – Capital Stock and Warrants,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Reserved for Future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reserved the following shares of common stock for future issuance:</w:t>
      </w:r>
    </w:p>
    <w:p>
      <w:pPr>
        <w:pStyle w:val="TextBody"/>
        <w:bidi w:val="0"/>
        <w:spacing w:before="0" w:after="0"/>
        <w:ind w:left="0" w:right="0" w:hanging="0"/>
        <w:jc w:val="left"/>
        <w:rPr/>
      </w:pPr>
      <w:r>
        <w:rPr/>
        <w:t>​</w:t>
      </w:r>
    </w:p>
    <w:tbl>
      <w:tblPr>
        <w:tblW w:w="8766" w:type="dxa"/>
        <w:jc w:val="left"/>
        <w:tblInd w:w="0" w:type="dxa"/>
        <w:tblLayout w:type="fixed"/>
        <w:tblCellMar>
          <w:top w:w="0" w:type="dxa"/>
          <w:left w:w="0" w:type="dxa"/>
          <w:bottom w:w="0" w:type="dxa"/>
          <w:right w:w="0" w:type="dxa"/>
        </w:tblCellMar>
      </w:tblPr>
      <w:tblGrid>
        <w:gridCol w:w="5806"/>
        <w:gridCol w:w="326"/>
        <w:gridCol w:w="152"/>
        <w:gridCol w:w="974"/>
        <w:gridCol w:w="326"/>
        <w:gridCol w:w="146"/>
        <w:gridCol w:w="1036"/>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86810" cy="175260"/>
                      <wp:effectExtent l="0" t="0" r="0" b="0"/>
                      <wp:wrapNone/>
                      <wp:docPr id="109" name="Frame108"/>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6520" cy="175260"/>
                      <wp:effectExtent l="0" t="0" r="0" b="0"/>
                      <wp:wrapNone/>
                      <wp:docPr id="111" name="Frame110"/>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18490" cy="175260"/>
                      <wp:effectExtent l="0" t="0" r="0" b="0"/>
                      <wp:wrapNone/>
                      <wp:docPr id="112" name="Frame111"/>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2710" cy="175260"/>
                      <wp:effectExtent l="0" t="0" r="0" b="0"/>
                      <wp:wrapNone/>
                      <wp:docPr id="114" name="Frame1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57860" cy="175260"/>
                      <wp:effectExtent l="0" t="0" r="0" b="0"/>
                      <wp:wrapNone/>
                      <wp:docPr id="115" name="Frame1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1"/>
              <w:ind w:left="0" w:right="0" w:hanging="0"/>
              <w:jc w:val="left"/>
              <w:rPr/>
            </w:pPr>
            <w:r>
              <w:rPr/>
              <w:t>    </w:t>
            </w:r>
          </w:p>
        </w:tc>
        <w:tc>
          <w:tcPr>
            <w:tcW w:w="11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152" w:type="dxa"/>
            <w:tcBorders/>
            <w:shd w:fill="CCEEFF" w:val="clear"/>
            <w:vAlign w:val="center"/>
          </w:tcPr>
          <w:p>
            <w:pPr>
              <w:pStyle w:val="TableContents"/>
              <w:bidi w:val="0"/>
              <w:spacing w:before="0" w:after="1"/>
              <w:ind w:left="0" w:right="0" w:hanging="0"/>
              <w:jc w:val="left"/>
              <w:rPr/>
            </w:pPr>
            <w:r>
              <w:rPr/>
              <w:t> </w:t>
            </w:r>
          </w:p>
        </w:tc>
        <w:tc>
          <w:tcPr>
            <w:tcW w:w="9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340,820</w:t>
            </w:r>
          </w:p>
        </w:tc>
        <w:tc>
          <w:tcPr>
            <w:tcW w:w="3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577,629</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w:t>
            </w:r>
          </w:p>
        </w:tc>
        <w:tc>
          <w:tcPr>
            <w:tcW w:w="326"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 </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1,432,909</w:t>
            </w:r>
          </w:p>
        </w:tc>
        <w:tc>
          <w:tcPr>
            <w:tcW w:w="3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1,432,909</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2017 Equity Inducement Plan</w:t>
            </w:r>
          </w:p>
        </w:tc>
        <w:tc>
          <w:tcPr>
            <w:tcW w:w="326" w:type="dxa"/>
            <w:tcBorders/>
            <w:shd w:fill="CCEEFF" w:val="clear"/>
            <w:vAlign w:val="center"/>
          </w:tcPr>
          <w:p>
            <w:pPr>
              <w:pStyle w:val="TableContents"/>
              <w:bidi w:val="0"/>
              <w:spacing w:before="0" w:after="1"/>
              <w:ind w:left="0" w:right="0" w:hanging="0"/>
              <w:jc w:val="left"/>
              <w:rPr/>
            </w:pPr>
            <w:r>
              <w:rPr/>
              <w:t>​</w:t>
            </w:r>
          </w:p>
        </w:tc>
        <w:tc>
          <w:tcPr>
            <w:tcW w:w="152" w:type="dxa"/>
            <w:tcBorders/>
            <w:shd w:fill="CCEEFF" w:val="clear"/>
            <w:vAlign w:val="center"/>
          </w:tcPr>
          <w:p>
            <w:pPr>
              <w:pStyle w:val="TableContents"/>
              <w:bidi w:val="0"/>
              <w:spacing w:before="0" w:after="1"/>
              <w:ind w:left="0" w:right="0" w:hanging="0"/>
              <w:jc w:val="left"/>
              <w:rPr/>
            </w:pPr>
            <w:r>
              <w:rPr/>
              <w:t> </w:t>
            </w:r>
          </w:p>
        </w:tc>
        <w:tc>
          <w:tcPr>
            <w:tcW w:w="97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133,612</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2024 Equity Incentive Plan</w:t>
            </w:r>
          </w:p>
        </w:tc>
        <w:tc>
          <w:tcPr>
            <w:tcW w:w="326"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9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2,345,081</w:t>
            </w:r>
          </w:p>
        </w:tc>
        <w:tc>
          <w:tcPr>
            <w:tcW w:w="32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233,570</w:t>
            </w:r>
          </w:p>
        </w:tc>
      </w:tr>
      <w:tr>
        <w:trPr/>
        <w:tc>
          <w:tcPr>
            <w:tcW w:w="5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17,166</w:t>
            </w:r>
          </w:p>
        </w:tc>
      </w:tr>
      <w:tr>
        <w:trPr/>
        <w:tc>
          <w:tcPr>
            <w:tcW w:w="5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152"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4,118,810</w:t>
            </w:r>
          </w:p>
        </w:tc>
        <w:tc>
          <w:tcPr>
            <w:tcW w:w="326" w:type="dxa"/>
            <w:tcBorders/>
            <w:vAlign w:val="center"/>
          </w:tcPr>
          <w:p>
            <w:pPr>
              <w:pStyle w:val="TableContents"/>
              <w:bidi w:val="0"/>
              <w:spacing w:before="0" w:after="1"/>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2,394,886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28, 2017, the Board approved the 2017 Equity Inducement Plan. Under the 2017 Equity Inducement Plan, the Board reserved 30,000 shares for the grant of RSUs. These grants will be administered by the Board or a committee of the Board. Under the 2017 Equity Inducement Plan, awards could be granted to individuals who (a) were being hired as an employee by the Company or any subsidiary and such award is a material inducement to such person being hired; (b) were being rehired as an employee following a bona fide period of interruption of employment with the Company or any subsidiary; or (c) would become an employee of the Company or any subsidiary in connection with a merger or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20, 2022, the Board increased the number of shares of common stock reserved and available for issuance under the 2017 Equity Inducement Plan by 100,000 shares. On March 28, 2024, the Board increased the number of shares of common stock reserved and available for issuance under the 2017 Equity Inducement Plan by 121,510 shares. As of June 30, 2025, there are 38,262 RSUs granted and outstanding under the 2017 Equity Inducement Plan. No new equity award grants are to be issued from the 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2024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12, 2024, the Energous Corporation 2024 Equity Incentive Plan (the “2024 Equity Incentive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456,000 shares of common stock were approved for issuance under the 2024 Equity Incentive Plan. On June 11, 2025, the Company’s stockholders approved an increase of the available share reserve under the 2024 Equity Incentive Plan by 2,000,000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2025, there are 302,558 unvested RSUs outstanding under the 2024 Equity Incentive Plan. As of June 30, 2025, 2,345,081 shares of common stock remain available for issuance under the 2024 Equity Incentive Plan.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7" w:name="Tc_cYUBM-iPw0SfTY-nZVbWYQ_10_4"/>
      <w:bookmarkStart w:id="748" w:name="Tc_JMpIspKtd0uIgYkB3be74g_10_0"/>
      <w:bookmarkStart w:id="749" w:name="Tc_ndKznCMDUEmzQe9x9lwEzg_9_0"/>
      <w:bookmarkStart w:id="750" w:name="Tc_dvKt40NIsU2k1PIMaGp_gA_8_0"/>
      <w:bookmarkStart w:id="751" w:name="Tc_ahezegRoUkCY39ULITAuqA_7_0"/>
      <w:bookmarkStart w:id="752" w:name="Tc_IbO2nHeVy0uYvz36dmcxJQ_6_4"/>
      <w:bookmarkStart w:id="753" w:name="Tc_QOoG4_z640emerWxOIlviw_6_0"/>
      <w:bookmarkStart w:id="754" w:name="Tc_M5fuKusJD0eEEPYySnQUnQ_5_4"/>
      <w:bookmarkStart w:id="755" w:name="Tc_1F01R0U5CEGaBRaXiGZYSA_5_2"/>
      <w:bookmarkStart w:id="756" w:name="Tc_QgODAhw6W0m7yaBV7U5quA_4_4"/>
      <w:bookmarkStart w:id="757" w:name="Tc_nDJ7roQiY0u_JZvzG28IjA_3_4"/>
      <w:bookmarkStart w:id="758" w:name="Tc_8jhbkoO1mUiZG4eTy5XBZg_2_4"/>
      <w:bookmarkStart w:id="759" w:name="Tc_zNxOh8CI0UCE7aflhvigfg_1_4"/>
      <w:bookmarkEnd w:id="747"/>
      <w:bookmarkEnd w:id="748"/>
      <w:bookmarkEnd w:id="749"/>
      <w:bookmarkEnd w:id="750"/>
      <w:bookmarkEnd w:id="751"/>
      <w:bookmarkEnd w:id="752"/>
      <w:bookmarkEnd w:id="753"/>
      <w:bookmarkEnd w:id="754"/>
      <w:bookmarkEnd w:id="755"/>
      <w:bookmarkEnd w:id="756"/>
      <w:bookmarkEnd w:id="757"/>
      <w:bookmarkEnd w:id="758"/>
      <w:bookmarkEnd w:id="759"/>
      <w:r>
        <w:rPr>
          <w:rFonts w:ascii="Times New Roman;Times;serif" w:hAnsi="Times New Roman;Times;serif"/>
          <w:b/>
          <w:sz w:val="20"/>
        </w:rPr>
        <w:t>Note 11 – Stock-Based Compensation,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stock options were granted during the three or six months ended June 30, 2025 and 2024. There was no stock option activity during the three or six months ended June 30, 2025. As of June 30, 2025, there were no stock options outstanding, and the unamortized fair value of stock options was $0.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2025, the Compensation Committee granted directors an aggregate of 4,750 RSUs for service on the Board. These RSU awards vest on the one-year anniversary of the grant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2025, the Board granted employees an aggregate of 63,000 RSUs, which vest over four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RSU awards were granted during the three months ended June 30,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2025, the unamortized fair value of outstanding RSUs was $0.3 million. The unamortized amount will be expensed over a weighted average period of 2.8 years. A summary of the activity related to RSUs for the six months ended June 30, 2025 is presented below:</w:t>
      </w:r>
    </w:p>
    <w:p>
      <w:pPr>
        <w:pStyle w:val="TextBody"/>
        <w:bidi w:val="0"/>
        <w:spacing w:before="0" w:after="0"/>
        <w:ind w:left="0" w:right="0" w:hanging="0"/>
        <w:jc w:val="left"/>
        <w:rPr/>
      </w:pPr>
      <w:r>
        <w:rPr/>
        <w:t>​</w:t>
      </w:r>
    </w:p>
    <w:tbl>
      <w:tblPr>
        <w:tblW w:w="5334" w:type="dxa"/>
        <w:jc w:val="left"/>
        <w:tblInd w:w="0" w:type="dxa"/>
        <w:tblLayout w:type="fixed"/>
        <w:tblCellMar>
          <w:top w:w="0" w:type="dxa"/>
          <w:left w:w="0" w:type="dxa"/>
          <w:bottom w:w="0" w:type="dxa"/>
          <w:right w:w="0" w:type="dxa"/>
        </w:tblCellMar>
      </w:tblPr>
      <w:tblGrid>
        <w:gridCol w:w="2881"/>
        <w:gridCol w:w="326"/>
        <w:gridCol w:w="901"/>
        <w:gridCol w:w="326"/>
        <w:gridCol w:w="242"/>
        <w:gridCol w:w="658"/>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29435" cy="175260"/>
                      <wp:effectExtent l="0" t="0" r="0" b="0"/>
                      <wp:wrapNone/>
                      <wp:docPr id="116" name="Frame115"/>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72135" cy="175260"/>
                      <wp:effectExtent l="0" t="0" r="0" b="0"/>
                      <wp:wrapNone/>
                      <wp:docPr id="118" name="Frame1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3670" cy="175260"/>
                      <wp:effectExtent l="0" t="0" r="0" b="0"/>
                      <wp:wrapNone/>
                      <wp:docPr id="120" name="Frame11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17830" cy="175260"/>
                      <wp:effectExtent l="0" t="0" r="0" b="0"/>
                      <wp:wrapNone/>
                      <wp:docPr id="121" name="Frame12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Date Fair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2025</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538,506</w:t>
            </w:r>
          </w:p>
        </w:tc>
        <w:tc>
          <w:tcPr>
            <w:tcW w:w="326"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67,750</w:t>
            </w:r>
          </w:p>
        </w:tc>
        <w:tc>
          <w:tcPr>
            <w:tcW w:w="326"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326" w:type="dxa"/>
            <w:tcBorders/>
            <w:shd w:fill="CCEEFF" w:val="clear"/>
            <w:vAlign w:val="center"/>
          </w:tcPr>
          <w:p>
            <w:pPr>
              <w:pStyle w:val="TableContents"/>
              <w:bidi w:val="0"/>
              <w:spacing w:before="0" w:after="0"/>
              <w:ind w:left="0" w:right="0" w:hanging="0"/>
              <w:jc w:val="center"/>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(112,988)</w:t>
            </w:r>
          </w:p>
        </w:tc>
        <w:tc>
          <w:tcPr>
            <w:tcW w:w="326"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(152,448)</w:t>
            </w:r>
          </w:p>
        </w:tc>
        <w:tc>
          <w:tcPr>
            <w:tcW w:w="326"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340,820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2015, the Board approved the Energous Corporation Employee Stock Purchase Plan (“ESPP”), under which 30,000 shares of common stock were reserved for purchase by the Company’s employees, subject to the approval by the Company’s stockholders. On May 21, 2015, the Company’s stockholders approved the ESPP. On June 12, 2024, the Company’s stockholders approved the amendment and restatement of the ESPP to increase the number of shares reserved for issuance under the ESPP by 6,200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January 21, 2025, the Company terminated its ESPP. No transactions were recorded under the ESPP during 2025. During the year ended December 31, 2024, there were two offering periods. The first offering period began on January 1, 2024 and concluded on June 30, 2024. The second offering period began on July 1, 2024 and concluded on December 31, 2024. The final shares purchased under the ESPP were deemed delivered on December 31, 2024.</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weighted average grant-date fair value of the purchase option for each designated share purchased under the ESPP was approximately $0 per share and $0.85 per share for the six months ended June 30, 2025 and 2024,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did not recognize any compensation expense for the ESPP during the three and six months ended June 30, 2025. The Company recognized compensation expense for the ESPP of approximately $(16,000) and $3,000 for the three and six months ended June 30, 2024, respectively.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60" w:name="Tc_Ouj5SZqqY0GOPsTEzEyCgA_8_11"/>
      <w:bookmarkStart w:id="761" w:name="Tc_fXI8QVoRgESfPbDSr71-2A_8_8"/>
      <w:bookmarkStart w:id="762" w:name="Tc_eeqlIYU5uEKUHftPcUNJyg_8_5"/>
      <w:bookmarkStart w:id="763" w:name="Tc_t0d7zrGJ0ECqjRbVJqfb1g_8_2"/>
      <w:bookmarkStart w:id="764" w:name="Tc_7yooJk32DkefWYN4hBwXng_8_0"/>
      <w:bookmarkStart w:id="765" w:name="Tc__fgsMmmHhEOyPkf1rVk41g_7_12"/>
      <w:bookmarkStart w:id="766" w:name="Tc_f66-rvm7pUas36vaX9lkSA_7_6"/>
      <w:bookmarkStart w:id="767" w:name="Tc_xjPpJEOZmU6WArWRqK3TqQ_7_3"/>
      <w:bookmarkStart w:id="768" w:name="Tc_P2wKecyeYk-01rxxhv5VwA_7_0"/>
      <w:bookmarkStart w:id="769" w:name="Tc_RFuCabSSnkqYYG-oDqedIw_6_6"/>
      <w:bookmarkStart w:id="770" w:name="Tc_phal96dPdk2RWqOQS2s5OA_6_3"/>
      <w:bookmarkStart w:id="771" w:name="Tc_-6j1X39F40OlSV5wr2e2Ug_6_0"/>
      <w:bookmarkStart w:id="772" w:name="Tc_wLPZLuFxUEu_XtzR8_Feig_5_0"/>
      <w:bookmarkStart w:id="773" w:name="Tc_ooYXg-qZKkWHoxLK31FltQ_4_0"/>
      <w:bookmarkStart w:id="774" w:name="Tc_DNkOGmAwwEOxE3nRimK8Tw_3_11"/>
      <w:bookmarkStart w:id="775" w:name="Tc_V-qRs4tZQE605RfRBEUjOQ_3_8"/>
      <w:bookmarkStart w:id="776" w:name="Tc_L9iIgnDqd0WEYVcBfeCxFw_3_5"/>
      <w:bookmarkStart w:id="777" w:name="Tc_1TMiKz5wgkipqUG4O2LLDA_3_2"/>
      <w:bookmarkStart w:id="778" w:name="Tc_a50IOls_rUuHQAg2uLaJlg_3_0"/>
      <w:bookmarkStart w:id="779" w:name="Tc_FnZMvG91FkWRJ4ZtUCOjtw_2_11"/>
      <w:bookmarkStart w:id="780" w:name="Tc_joqVdg-i60Sm_prHrWQrvw_2_8"/>
      <w:bookmarkStart w:id="781" w:name="Tc_aLWGrTKMx0mcKWFhGOCy2Q_2_5"/>
      <w:bookmarkStart w:id="782" w:name="Tc_907hPoWqxEKBElrw0Df65Q_2_2"/>
      <w:bookmarkStart w:id="783" w:name="Tc_BxQdtVThFkO3CZ9rzlQUHw_1_8"/>
      <w:bookmarkStart w:id="784" w:name="Tc_7q9hSR2tmkK9gTmQMbh7dw_1_2"/>
      <w:bookmarkStart w:id="785" w:name="_2cf34ecf_e23e_49e7_81e0_2a24d45659ac"/>
      <w:bookmarkStart w:id="786" w:name="Tc_w3ElllGiRUeXFdqli56iGw_7_2"/>
      <w:bookmarkStart w:id="787" w:name="Tc_LjC7HRieN0mJth2RZ3wvwg_7_0"/>
      <w:bookmarkStart w:id="788" w:name="Tc_esLNfWkaUUKLKWjSDBuzzg_6_6"/>
      <w:bookmarkStart w:id="789" w:name="Tc_gppR0lHpKUSqgaoSXkIMOw_6_2"/>
      <w:bookmarkStart w:id="790" w:name="Tc_rvSzBCvOXkG6BL69-uXsYg_6_0"/>
      <w:bookmarkStart w:id="791" w:name="Tc_vXt68OaNV0mpvdYiUYpkOQ_5_6"/>
      <w:bookmarkStart w:id="792" w:name="Tc_88lEej83CU2dKpqXl2pZRA_5_2"/>
      <w:bookmarkStart w:id="793" w:name="Tc_DRIKkeXmq0OBcLZn_Kw_Lg_5_0"/>
      <w:bookmarkStart w:id="794" w:name="Tc_XAPNgDD5_UiNt_0WBYP9iQ_4_6"/>
      <w:bookmarkStart w:id="795" w:name="Tc_W-nyshabOkmTdFgA24pcgA_4_2"/>
      <w:bookmarkStart w:id="796" w:name="Tc_ht95fjv5eUyCksXHcmaXwA_4_0"/>
      <w:bookmarkStart w:id="797" w:name="Tc_aG-EwMLLC0ya2deGuHGW4w_3_4"/>
      <w:bookmarkStart w:id="798" w:name="Narr_fibjEgb0Y0uy7eDbktC0Ow"/>
      <w:bookmarkStart w:id="799" w:name="Tc__RDjsX9NGEqY8SRhMGlzNQ_3_2"/>
      <w:bookmarkStart w:id="800" w:name="Tc_gNeOvfJW90GhCwZOoTd0sQ_3_0"/>
      <w:bookmarkStart w:id="801" w:name="Tc_9UNAcB_8aE6BJ8MWdY-nnw_2_5"/>
      <w:bookmarkStart w:id="802" w:name="Tc_MBF7SarhNkiLW4A0y9BwgQ_2_2"/>
      <w:bookmarkStart w:id="803" w:name="Tc_x1z5GSVO1EiqFuySMPBOJw_1_2"/>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r>
        <w:rPr>
          <w:rFonts w:ascii="Times New Roman;Times;serif" w:hAnsi="Times New Roman;Times;serif"/>
          <w:b/>
          <w:sz w:val="20"/>
        </w:rPr>
        <w:t>Note 11 – Stock-Based Compensation,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Company estimated the fair value of ESPP purchase options granted during the six months ended June 30, 2024 using the Black-Scholes option pricing model. The fair values of ESPP purchase options granted were estimated using the following assumptions:</w:t>
      </w:r>
    </w:p>
    <w:p>
      <w:pPr>
        <w:pStyle w:val="TextBody"/>
        <w:bidi w:val="0"/>
        <w:spacing w:before="0" w:after="0"/>
        <w:ind w:left="0" w:right="0" w:hanging="0"/>
        <w:jc w:val="left"/>
        <w:rPr/>
      </w:pPr>
      <w:r>
        <w:rPr/>
        <w:t>​</w:t>
      </w:r>
    </w:p>
    <w:tbl>
      <w:tblPr>
        <w:tblW w:w="5066" w:type="dxa"/>
        <w:jc w:val="left"/>
        <w:tblInd w:w="0" w:type="dxa"/>
        <w:tblLayout w:type="fixed"/>
        <w:tblCellMar>
          <w:top w:w="0" w:type="dxa"/>
          <w:left w:w="0" w:type="dxa"/>
          <w:bottom w:w="0" w:type="dxa"/>
          <w:right w:w="0" w:type="dxa"/>
        </w:tblCellMar>
      </w:tblPr>
      <w:tblGrid>
        <w:gridCol w:w="1846"/>
        <w:gridCol w:w="326"/>
        <w:gridCol w:w="646"/>
        <w:gridCol w:w="452"/>
        <w:gridCol w:w="292"/>
        <w:gridCol w:w="1188"/>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72210" cy="175260"/>
                      <wp:effectExtent l="0" t="0" r="0" b="0"/>
                      <wp:wrapNone/>
                      <wp:docPr id="122" name="Frame12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10210" cy="175260"/>
                      <wp:effectExtent l="0" t="0" r="0" b="0"/>
                      <wp:wrapNone/>
                      <wp:docPr id="124" name="Frame12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87020" cy="175260"/>
                      <wp:effectExtent l="0" t="0" r="0" b="0"/>
                      <wp:wrapNone/>
                      <wp:docPr id="125" name="Frame124"/>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5420" cy="175260"/>
                      <wp:effectExtent l="0" t="0" r="0" b="0"/>
                      <wp:wrapNone/>
                      <wp:docPr id="126" name="Frame12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54380" cy="175260"/>
                      <wp:effectExtent l="0" t="0" r="0" b="0"/>
                      <wp:wrapNone/>
                      <wp:docPr id="127" name="Frame126"/>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0660" cy="175260"/>
                      <wp:effectExtent l="0" t="0" r="0" b="0"/>
                      <wp:wrapNone/>
                      <wp:docPr id="128" name="Frame12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2" w:type="dxa"/>
            <w:tcBorders/>
            <w:vAlign w:val="center"/>
          </w:tcPr>
          <w:p>
            <w:pPr>
              <w:pStyle w:val="TableContents"/>
              <w:bidi w:val="0"/>
              <w:spacing w:before="0" w:after="0"/>
              <w:ind w:left="0" w:right="0" w:hanging="0"/>
              <w:jc w:val="center"/>
              <w:rPr/>
            </w:pPr>
            <w:r>
              <w:rPr/>
              <w:t>    </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452"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452"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 months</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amount of stock-based compensation was reflected within the statements of operations as (in thousands):</w:t>
      </w:r>
    </w:p>
    <w:p>
      <w:pPr>
        <w:pStyle w:val="TextBody"/>
        <w:bidi w:val="0"/>
        <w:spacing w:before="0" w:after="0"/>
        <w:ind w:left="0" w:right="0" w:hanging="0"/>
        <w:jc w:val="left"/>
        <w:rPr/>
      </w:pPr>
      <w:r>
        <w:rPr/>
        <w:t>​</w:t>
      </w:r>
    </w:p>
    <w:tbl>
      <w:tblPr>
        <w:tblW w:w="8014" w:type="dxa"/>
        <w:jc w:val="left"/>
        <w:tblInd w:w="0" w:type="dxa"/>
        <w:tblLayout w:type="fixed"/>
        <w:tblCellMar>
          <w:top w:w="0" w:type="dxa"/>
          <w:left w:w="0" w:type="dxa"/>
          <w:bottom w:w="0" w:type="dxa"/>
          <w:right w:w="0" w:type="dxa"/>
        </w:tblCellMar>
      </w:tblPr>
      <w:tblGrid>
        <w:gridCol w:w="2311"/>
        <w:gridCol w:w="386"/>
        <w:gridCol w:w="321"/>
        <w:gridCol w:w="527"/>
        <w:gridCol w:w="497"/>
        <w:gridCol w:w="321"/>
        <w:gridCol w:w="642"/>
        <w:gridCol w:w="386"/>
        <w:gridCol w:w="326"/>
        <w:gridCol w:w="652"/>
        <w:gridCol w:w="505"/>
        <w:gridCol w:w="326"/>
        <w:gridCol w:w="814"/>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67485" cy="175260"/>
                      <wp:effectExtent l="0" t="0" r="0" b="0"/>
                      <wp:wrapNone/>
                      <wp:docPr id="129" name="Frame12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5110" cy="175260"/>
                      <wp:effectExtent l="0" t="0" r="0" b="0"/>
                      <wp:wrapNone/>
                      <wp:docPr id="130" name="Frame12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3835" cy="175260"/>
                      <wp:effectExtent l="0" t="0" r="0" b="0"/>
                      <wp:wrapNone/>
                      <wp:docPr id="131" name="Frame13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34645" cy="175260"/>
                      <wp:effectExtent l="0" t="0" r="0" b="0"/>
                      <wp:wrapNone/>
                      <wp:docPr id="132" name="Frame131"/>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15595" cy="175260"/>
                      <wp:effectExtent l="0" t="0" r="0" b="0"/>
                      <wp:wrapNone/>
                      <wp:docPr id="133" name="Frame132"/>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3835" cy="175260"/>
                      <wp:effectExtent l="0" t="0" r="0" b="0"/>
                      <wp:wrapNone/>
                      <wp:docPr id="134" name="Frame133"/>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07670" cy="175260"/>
                      <wp:effectExtent l="0" t="0" r="0" b="0"/>
                      <wp:wrapNone/>
                      <wp:docPr id="135" name="Frame134"/>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45110" cy="175260"/>
                      <wp:effectExtent l="0" t="0" r="0" b="0"/>
                      <wp:wrapNone/>
                      <wp:docPr id="136" name="Frame13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14020" cy="175260"/>
                      <wp:effectExtent l="0" t="0" r="0" b="0"/>
                      <wp:wrapNone/>
                      <wp:docPr id="138" name="Frame137"/>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20675" cy="175260"/>
                      <wp:effectExtent l="0" t="0" r="0" b="0"/>
                      <wp:wrapNone/>
                      <wp:docPr id="139" name="Frame138"/>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16890" cy="175260"/>
                      <wp:effectExtent l="0" t="0" r="0" b="0"/>
                      <wp:wrapNone/>
                      <wp:docPr id="141" name="Frame140"/>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center"/>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before="0" w:after="0"/>
              <w:ind w:left="0" w:right="0" w:hanging="0"/>
              <w:jc w:val="center"/>
              <w:rPr/>
            </w:pPr>
            <w:r>
              <w:rPr/>
              <w:t>    </w:t>
            </w:r>
          </w:p>
        </w:tc>
        <w:tc>
          <w:tcPr>
            <w:tcW w:w="26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231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center"/>
              <w:rPr/>
            </w:pPr>
            <w:r>
              <w:rPr/>
              <w:t xml:space="preserve">     </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7" w:type="dxa"/>
            <w:tcBorders/>
            <w:vAlign w:val="center"/>
          </w:tcPr>
          <w:p>
            <w:pPr>
              <w:pStyle w:val="TableContents"/>
              <w:bidi w:val="0"/>
              <w:spacing w:before="0" w:after="0"/>
              <w:ind w:left="0" w:right="0" w:hanging="0"/>
              <w:jc w:val="center"/>
              <w:rPr/>
            </w:pPr>
            <w:r>
              <w:rPr/>
              <w:t>    </w:t>
            </w:r>
          </w:p>
        </w:tc>
        <w:tc>
          <w:tcPr>
            <w:tcW w:w="9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0"/>
              <w:ind w:left="0" w:right="0" w:hanging="0"/>
              <w:jc w:val="center"/>
              <w:rPr/>
            </w:pPr>
            <w:r>
              <w:rPr/>
              <w:t xml:space="preserve">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05"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8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9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5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8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9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5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8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9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50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8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pPr>
            <w:r>
              <w:rPr/>
              <w:t>—</w:t>
            </w:r>
          </w:p>
        </w:tc>
        <w:tc>
          <w:tcPr>
            <w:tcW w:w="49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5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86"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97"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05" w:type="dxa"/>
            <w:tcBorders/>
            <w:shd w:fill="CCEEFF" w:val="clear"/>
            <w:vAlign w:val="center"/>
          </w:tcPr>
          <w:p>
            <w:pPr>
              <w:pStyle w:val="TableContents"/>
              <w:bidi w:val="0"/>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8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497"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8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505" w:type="dxa"/>
            <w:tcBorders/>
            <w:vAlign w:val="center"/>
          </w:tcPr>
          <w:p>
            <w:pPr>
              <w:pStyle w:val="TableContents"/>
              <w:bidi w:val="0"/>
              <w:spacing w:before="0" w:after="0"/>
              <w:ind w:left="0" w:right="0" w:hanging="0"/>
              <w:jc w:val="righ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 Warrant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2023, the Company issued 412,500 warrants to purchase up to 412,500 shares of its common stock. The 2023 Warrants have a six-year term and were exercisable upon issuance on March 28, 2023. Each 2023 Warrant was initially exercisable for one share of the Company’s common stock at a price of $8.00 per share. As of June 30, 2025, the exercise price was adjusted to $0.28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of the 2023 Warrants, including sales under the ATM Program, the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 Warrant Liability,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As of June 30, 2025, all 2023 Warrants were outstanding, and the fair value of the warrant liability was $0.1 million. The Company recorded a change in fair value of the warrant liability of a decrease of $0 million and $0.3 million for the three and six months ended June 30, 2025, respectively. The Company recorded a change in fair value of the warrant liability of a decrease of $0.3 million for both the three and six months ended June 30, 2024.</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130"/>
        <w:ind w:left="0" w:right="0" w:hanging="0"/>
        <w:jc w:val="left"/>
        <w:rPr>
          <w:rFonts w:ascii="Times New Roman;Times;serif" w:hAnsi="Times New Roman;Times;serif"/>
          <w:b/>
          <w:sz w:val="20"/>
        </w:rPr>
      </w:pPr>
      <w:bookmarkStart w:id="804" w:name="_e7cdf219_1040_402f_95f9_f97636ee89cb_3"/>
      <w:bookmarkStart w:id="805" w:name="_e7cdf219_1040_402f_95f9_f97636ee89cb_2"/>
      <w:bookmarkStart w:id="806" w:name="_e7cdf219_1040_402f_95f9_f97636ee89cb"/>
      <w:bookmarkStart w:id="807" w:name="_d11abbee_a041_4811_b172_3b7b57603a67_3"/>
      <w:bookmarkStart w:id="808" w:name="_d11abbee_a041_4811_b172_3b7b57603a67_2"/>
      <w:bookmarkStart w:id="809" w:name="_d11abbee_a041_4811_b172_3b7b57603a67"/>
      <w:bookmarkStart w:id="810" w:name="_b56d9a48_a4db_4458_9a5c_350f767d0bfd_3"/>
      <w:bookmarkStart w:id="811" w:name="_b56d9a48_a4db_4458_9a5c_350f767d0bfd_2"/>
      <w:bookmarkStart w:id="812" w:name="_b56d9a48_a4db_4458_9a5c_350f767d0bfd"/>
      <w:bookmarkStart w:id="813" w:name="_757d99f6_1eab_410c_a69f_bb4d887445dd_3"/>
      <w:bookmarkStart w:id="814" w:name="_757d99f6_1eab_410c_a69f_bb4d887445dd_2"/>
      <w:bookmarkStart w:id="815" w:name="_757d99f6_1eab_410c_a69f_bb4d887445dd"/>
      <w:bookmarkStart w:id="816" w:name="_5bfe7b22_f89a_48f3_9a23_f33aef0ee944_3"/>
      <w:bookmarkStart w:id="817" w:name="_5bfe7b22_f89a_48f3_9a23_f33aef0ee944_2"/>
      <w:bookmarkStart w:id="818" w:name="_5bfe7b22_f89a_48f3_9a23_f33aef0ee944"/>
      <w:bookmarkStart w:id="819" w:name="Tc_6ACK6ekHF0GS4kgEfzgEdA_6_11"/>
      <w:bookmarkStart w:id="820" w:name="Tc_n5glP4iiqEKmqGDTzFdDaw_6_8"/>
      <w:bookmarkStart w:id="821" w:name="Tc_jmKmqyPOjkC_ioKSCUkeFw_6_6"/>
      <w:bookmarkStart w:id="822" w:name="Tc_WWKOXlgyFkaBWVmaekNbWg_6_5"/>
      <w:bookmarkStart w:id="823" w:name="Tc_kmVK4uO9rE6Y1Aob2gcSHg_6_3"/>
      <w:bookmarkStart w:id="824" w:name="Tc_LMlaCjGIpUWTEeYuQc1xBw_6_2"/>
      <w:bookmarkStart w:id="825" w:name="Tc_VojzO0zLjUKcKnycSZ7EVg_6_0"/>
      <w:bookmarkStart w:id="826" w:name="Tc_VIW3CTs6fkyQQeKWSBiYWQ_5_0"/>
      <w:bookmarkStart w:id="827" w:name="Tc_CxTA1-CENEe5XasY9CkoCg_4_11"/>
      <w:bookmarkStart w:id="828" w:name="Tc_DA8l5wQcn06u_jt22gIFmg_4_9"/>
      <w:bookmarkStart w:id="829" w:name="Tc_okTZqBErq0WBMTrQuDfFog_4_8"/>
      <w:bookmarkStart w:id="830" w:name="Tc_Cx0s-jVk8UOfqjkP9E80dQ_4_6"/>
      <w:bookmarkStart w:id="831" w:name="Tc_vC1Oo9FpL0yxwi50sYbXXg_4_5"/>
      <w:bookmarkStart w:id="832" w:name="Tc_vE6XjnrdPU-V1h8AKN-Npw_4_2"/>
      <w:bookmarkStart w:id="833" w:name="Tc_oaodn3C4E0uBxQucBpMrBw_4_0"/>
      <w:bookmarkStart w:id="834" w:name="Tc_QXlrHoBe0U2Yd7oH1UB1UA_3_0"/>
      <w:bookmarkStart w:id="835" w:name="Tc_aQccDuuCX0K4JbGySHtYuA_2_11"/>
      <w:bookmarkStart w:id="836" w:name="Tc_CX_13n_qGkqO-nCqMnm6lQ_2_8"/>
      <w:bookmarkStart w:id="837" w:name="Tc_AFwhOKxoQ0K4RxBDOhX2oA_2_5"/>
      <w:bookmarkStart w:id="838" w:name="Tc_Wf2yfAZhA0S2yM4JUWyAXg_2_2"/>
      <w:bookmarkStart w:id="839" w:name="Tc_NlJZzkioNEOK21ZXWuxdHA_1_2"/>
      <w:bookmarkStart w:id="840" w:name="_e74f4021_925c_406b_94e9_331066b8cb9f"/>
      <w:bookmarkStart w:id="841" w:name="Tc_8lUtXbEzz0e9oa56tCA6zA_6_11"/>
      <w:bookmarkStart w:id="842" w:name="Tc_keClka806Uq_CC_J_HOaFQ_6_8"/>
      <w:bookmarkStart w:id="843" w:name="Tc_kBA8dqkanE-DNGYfjCU72Q_6_6"/>
      <w:bookmarkStart w:id="844" w:name="Tc_yGbMLXIx-Ue1p-vAb0caow_6_5"/>
      <w:bookmarkStart w:id="845" w:name="Tc_C9qvAigqV0ueZiEWEHUrrQ_6_3"/>
      <w:bookmarkStart w:id="846" w:name="Tc_q_RjC0cx7EuhrGnaFA5ZSw_6_2"/>
      <w:bookmarkStart w:id="847" w:name="Tc_jmvrvfev_Ee22iFZQUt3Lw_6_0"/>
      <w:bookmarkStart w:id="848" w:name="Tc_hfzB49wODUqKDXgpHYgyKA_5_0"/>
      <w:bookmarkStart w:id="849" w:name="Tc_LV8fo24yDEuvKdB77bg5sQ_4_11"/>
      <w:bookmarkStart w:id="850" w:name="Tc_ILBYBELJq0G8qiKNwAUlCA_4_9"/>
      <w:bookmarkStart w:id="851" w:name="Tc_FhKlSinJ8keLyMIy1q2xoA_4_8"/>
      <w:bookmarkStart w:id="852" w:name="Tc_dSHgPtKg6Ei94KuxCcc5LA_4_6"/>
      <w:bookmarkStart w:id="853" w:name="Tc_2JakYVgJvkita149fVv20Q_4_5"/>
      <w:bookmarkStart w:id="854" w:name="Tc_eUo-IVQ37k2-6s0B_XaRuw_4_2"/>
      <w:bookmarkStart w:id="855" w:name="Tc_bmwkrk3XTk-GoNBkkpQH1g_4_0"/>
      <w:bookmarkStart w:id="856" w:name="Tc_4wOQ81nF4UWtQPO5jpehig_3_0"/>
      <w:bookmarkStart w:id="857" w:name="Tc_TH-UmzApN0uX5BGWOE0XNw_2_11"/>
      <w:bookmarkStart w:id="858" w:name="Tc_DsKQX4FJxUum_00Xtkt3tQ_2_8"/>
      <w:bookmarkStart w:id="859" w:name="Tc_Na1Z-iwHrUuII0RTxUCFTQ_2_5"/>
      <w:bookmarkStart w:id="860" w:name="Tc_7R71BlnDzEW_gYRfNrf_1w_2_2"/>
      <w:bookmarkStart w:id="861" w:name="Tc_PPbtNJE3SE6Z3nXGlSV5XQ_1_2"/>
      <w:bookmarkStart w:id="862" w:name="_b711a831_d0dd_4494_b794_eeaa935a9779"/>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Times New Roman;Times;serif" w:hAnsi="Times New Roman;Times;serif"/>
          <w:b/>
          <w:sz w:val="20"/>
        </w:rPr>
        <w:t>Note 13 – Fair Value Measurements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information about the Company’s assets and liabilities that are measured at fair value on a recurring basis as of June 30, 2025 and December 31, 2024 and indicate the fair value hierarchy of the valuation inputs utilized to determine such fair value (in thousands):</w:t>
      </w:r>
    </w:p>
    <w:p>
      <w:pPr>
        <w:pStyle w:val="TextBody"/>
        <w:bidi w:val="0"/>
        <w:spacing w:before="0" w:after="0"/>
        <w:ind w:left="0" w:right="0" w:hanging="0"/>
        <w:jc w:val="left"/>
        <w:rPr/>
      </w:pPr>
      <w:r>
        <w:rPr/>
        <w:t>​</w:t>
      </w:r>
    </w:p>
    <w:tbl>
      <w:tblPr>
        <w:tblW w:w="5689" w:type="dxa"/>
        <w:jc w:val="left"/>
        <w:tblInd w:w="0" w:type="dxa"/>
        <w:tblLayout w:type="fixed"/>
        <w:tblCellMar>
          <w:top w:w="0" w:type="dxa"/>
          <w:left w:w="0" w:type="dxa"/>
          <w:bottom w:w="0" w:type="dxa"/>
          <w:right w:w="0" w:type="dxa"/>
        </w:tblCellMar>
      </w:tblPr>
      <w:tblGrid>
        <w:gridCol w:w="1516"/>
        <w:gridCol w:w="326"/>
        <w:gridCol w:w="211"/>
        <w:gridCol w:w="571"/>
        <w:gridCol w:w="326"/>
        <w:gridCol w:w="239"/>
        <w:gridCol w:w="391"/>
        <w:gridCol w:w="326"/>
        <w:gridCol w:w="239"/>
        <w:gridCol w:w="391"/>
        <w:gridCol w:w="326"/>
        <w:gridCol w:w="211"/>
        <w:gridCol w:w="61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62660" cy="175260"/>
                      <wp:effectExtent l="0" t="0" r="0" b="0"/>
                      <wp:wrapNone/>
                      <wp:docPr id="142" name="Frame14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62585" cy="175260"/>
                      <wp:effectExtent l="0" t="0" r="0" b="0"/>
                      <wp:wrapNone/>
                      <wp:docPr id="145" name="Frame1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1765" cy="175260"/>
                      <wp:effectExtent l="0" t="0" r="0" b="0"/>
                      <wp:wrapNone/>
                      <wp:docPr id="147" name="Frame14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48285" cy="175260"/>
                      <wp:effectExtent l="0" t="0" r="0" b="0"/>
                      <wp:wrapNone/>
                      <wp:docPr id="148" name="Frame14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1765" cy="175260"/>
                      <wp:effectExtent l="0" t="0" r="0" b="0"/>
                      <wp:wrapNone/>
                      <wp:docPr id="150" name="Frame14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48285" cy="175260"/>
                      <wp:effectExtent l="0" t="0" r="0" b="0"/>
                      <wp:wrapNone/>
                      <wp:docPr id="151" name="Frame15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91160" cy="175260"/>
                      <wp:effectExtent l="0" t="0" r="0" b="0"/>
                      <wp:wrapNone/>
                      <wp:docPr id="154" name="Frame15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4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June 30, 2025</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8,662</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8,662</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0"/>
        <w:ind w:left="0" w:right="0" w:hanging="0"/>
        <w:jc w:val="center"/>
        <w:rPr/>
      </w:pPr>
      <w:r>
        <w:rPr/>
        <w:t>​</w:t>
      </w:r>
    </w:p>
    <w:tbl>
      <w:tblPr>
        <w:tblW w:w="5691" w:type="dxa"/>
        <w:jc w:val="left"/>
        <w:tblInd w:w="0" w:type="dxa"/>
        <w:tblLayout w:type="fixed"/>
        <w:tblCellMar>
          <w:top w:w="0" w:type="dxa"/>
          <w:left w:w="0" w:type="dxa"/>
          <w:bottom w:w="0" w:type="dxa"/>
          <w:right w:w="0" w:type="dxa"/>
        </w:tblCellMar>
      </w:tblPr>
      <w:tblGrid>
        <w:gridCol w:w="1516"/>
        <w:gridCol w:w="326"/>
        <w:gridCol w:w="211"/>
        <w:gridCol w:w="571"/>
        <w:gridCol w:w="326"/>
        <w:gridCol w:w="239"/>
        <w:gridCol w:w="391"/>
        <w:gridCol w:w="326"/>
        <w:gridCol w:w="211"/>
        <w:gridCol w:w="421"/>
        <w:gridCol w:w="326"/>
        <w:gridCol w:w="211"/>
        <w:gridCol w:w="61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962660" cy="175260"/>
                      <wp:effectExtent l="0" t="0" r="0" b="0"/>
                      <wp:wrapNone/>
                      <wp:docPr id="155" name="Frame15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62585" cy="175260"/>
                      <wp:effectExtent l="0" t="0" r="0" b="0"/>
                      <wp:wrapNone/>
                      <wp:docPr id="158" name="Frame1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1765" cy="175260"/>
                      <wp:effectExtent l="0" t="0" r="0" b="0"/>
                      <wp:wrapNone/>
                      <wp:docPr id="160" name="Frame15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8285" cy="175260"/>
                      <wp:effectExtent l="0" t="0" r="0" b="0"/>
                      <wp:wrapNone/>
                      <wp:docPr id="161" name="Frame16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67335" cy="175260"/>
                      <wp:effectExtent l="0" t="0" r="0" b="0"/>
                      <wp:wrapNone/>
                      <wp:docPr id="164" name="Frame16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1160" cy="175260"/>
                      <wp:effectExtent l="0" t="0" r="0" b="0"/>
                      <wp:wrapNone/>
                      <wp:docPr id="167" name="Frame16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84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 December 31, 2024</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358</w:t>
            </w:r>
          </w:p>
        </w:tc>
      </w:tr>
    </w:tbl>
    <w:p>
      <w:pPr>
        <w:pStyle w:val="TextBody"/>
        <w:bidi w:val="0"/>
        <w:spacing w:before="0" w:after="240"/>
        <w:ind w:left="0" w:right="0" w:hanging="0"/>
        <w:jc w:val="left"/>
        <w:rPr/>
      </w:pPr>
      <w:r>
        <w:rPr/>
        <w:t>​</w:t>
      </w:r>
    </w:p>
    <w:p>
      <w:pPr>
        <w:pStyle w:val="TextBody"/>
        <w:bidi w:val="0"/>
        <w:spacing w:before="0" w:after="130"/>
        <w:ind w:left="0" w:right="0" w:hanging="0"/>
        <w:jc w:val="left"/>
        <w:rPr>
          <w:rFonts w:ascii="Times New Roman;Times;serif" w:hAnsi="Times New Roman;Times;serif"/>
          <w:sz w:val="20"/>
        </w:rPr>
      </w:pPr>
      <w:r>
        <w:rPr>
          <w:rFonts w:ascii="Times New Roman;Times;serif" w:hAnsi="Times New Roman;Times;serif"/>
          <w:sz w:val="20"/>
        </w:rPr>
        <w:t>There were no transfers among Level 1, Level 2, or Level 3 categories during the periods presented.</w:t>
      </w:r>
    </w:p>
    <w:p>
      <w:pPr>
        <w:pStyle w:val="TextBody"/>
        <w:bidi w:val="0"/>
        <w:spacing w:before="0" w:after="13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130"/>
        <w:ind w:left="0" w:right="0" w:hanging="0"/>
        <w:jc w:val="left"/>
        <w:rPr>
          <w:rFonts w:ascii="Times New Roman;Times;serif" w:hAnsi="Times New Roman;Times;serif"/>
          <w:sz w:val="20"/>
        </w:rPr>
      </w:pPr>
      <w:r>
        <w:rPr>
          <w:rFonts w:ascii="Times New Roman;Times;serif" w:hAnsi="Times New Roman;Times;serif"/>
          <w:sz w:val="20"/>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3" w:name="Tc_xhgD2kzwE0ukCo394hxXsw_5_5"/>
      <w:bookmarkStart w:id="864" w:name="Tc_TrY24kAovUOoI9_RBRDSGg_5_2"/>
      <w:bookmarkStart w:id="865" w:name="Tc_L8seoD1EoECY9OjPwf7EVQ_5_0"/>
      <w:bookmarkStart w:id="866" w:name="Tc_Sz89rbwxtUSqkiE3tdLxrQ_4_0"/>
      <w:bookmarkStart w:id="867" w:name="Tc_mAWxxS2vtUi3DkcSX7Netw_3_5"/>
      <w:bookmarkStart w:id="868" w:name="Tc_JckMo1Ff20-jOi_kogkuOQ_3_2"/>
      <w:bookmarkStart w:id="869" w:name="Tc_VXjTeA99xUGlhcKtmJm91g_3_0"/>
      <w:bookmarkStart w:id="870" w:name="Tc_sFeAMe9VLE6U32znqy-jiA_2_5"/>
      <w:bookmarkStart w:id="871" w:name="Tc_9gYEqqftP0SWDe0vZVKHoQ_2_2"/>
      <w:bookmarkStart w:id="872" w:name="Tc_ZROfvgcbSEeUAtHLw9CEyw_1_2"/>
      <w:bookmarkStart w:id="873" w:name="Tc_dLG9OifgNUyhKQ5TTHlgrQ_7_7"/>
      <w:bookmarkStart w:id="874" w:name="Tc_HzLyIc1cf0Or6dYDHhRivw_7_4"/>
      <w:bookmarkStart w:id="875" w:name="Tc_XsfcrZQHl0OVsVjKcxPBtQ_7_0"/>
      <w:bookmarkStart w:id="876" w:name="Tc_xs0I4jpkIU65PfZ3qrv0Dg_6_7"/>
      <w:bookmarkStart w:id="877" w:name="Tc_vAv1fre63kyQlgCSFugLJw_6_4"/>
      <w:bookmarkStart w:id="878" w:name="Tc_QFaZsN9Sb0W2IEkOR-Cfnw_6_0"/>
      <w:bookmarkStart w:id="879" w:name="Tc_LCi9nRr__U2VgqY7oQy4CQ_5_7"/>
      <w:bookmarkStart w:id="880" w:name="Tc_qSVS0tymb0GRg4Au4Vb8Lg_5_4"/>
      <w:bookmarkStart w:id="881" w:name="Tc_GCZcM70_0EiF5fsKTKKp4w_5_0"/>
      <w:bookmarkStart w:id="882" w:name="Tc_FGUb2yeqvEukvdHVBlREYg_4_0"/>
      <w:bookmarkStart w:id="883" w:name="Tc_hACp5rptEUC2lB2_rtn4ug_3_5"/>
      <w:bookmarkStart w:id="884" w:name="Tc_amgKNif4V0KP797EgfjYkg_3_2"/>
      <w:bookmarkStart w:id="885" w:name="Tc_sWw2r6NlaUi4EXLDxzofMQ_3_0"/>
      <w:bookmarkStart w:id="886" w:name="Tc_URbitt29Mkq3C3OevzY5kw_2_5"/>
      <w:bookmarkStart w:id="887" w:name="Tc_CIAh3V6ARkW4bBMRVEf1FA_2_2"/>
      <w:bookmarkStart w:id="888" w:name="Tc_upFWdt3nq06883XRA8KfyQ_2_0"/>
      <w:bookmarkStart w:id="889" w:name="Tc_mrlCNfKADkO1k0y8BVq0Kw_1_5"/>
      <w:bookmarkStart w:id="890" w:name="Tc_dZ_NXfeQlkyEcKBHi56ULg_1_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b/>
          <w:sz w:val="20"/>
        </w:rPr>
        <w:t>Note 13 – Fair Value Measurements,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key inputs into the Monte Carlo simulation model for the 2023 Warrants are as follows:</w:t>
      </w:r>
    </w:p>
    <w:p>
      <w:pPr>
        <w:pStyle w:val="TextBody"/>
        <w:bidi w:val="0"/>
        <w:spacing w:before="0" w:after="0"/>
        <w:ind w:left="0" w:right="0" w:hanging="0"/>
        <w:jc w:val="left"/>
        <w:rPr/>
      </w:pPr>
      <w:r>
        <w:rPr/>
        <w:t>​</w:t>
      </w:r>
    </w:p>
    <w:tbl>
      <w:tblPr>
        <w:tblW w:w="5819" w:type="dxa"/>
        <w:jc w:val="left"/>
        <w:tblInd w:w="0" w:type="dxa"/>
        <w:tblLayout w:type="fixed"/>
        <w:tblCellMar>
          <w:top w:w="0" w:type="dxa"/>
          <w:left w:w="0" w:type="dxa"/>
          <w:bottom w:w="0" w:type="dxa"/>
          <w:right w:w="0" w:type="dxa"/>
        </w:tblCellMar>
      </w:tblPr>
      <w:tblGrid>
        <w:gridCol w:w="1351"/>
        <w:gridCol w:w="326"/>
        <w:gridCol w:w="480"/>
        <w:gridCol w:w="1065"/>
        <w:gridCol w:w="361"/>
        <w:gridCol w:w="597"/>
        <w:gridCol w:w="1323"/>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857885" cy="175260"/>
                      <wp:effectExtent l="0" t="0" r="0" b="0"/>
                      <wp:wrapNone/>
                      <wp:docPr id="168" name="Frame16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04800" cy="175260"/>
                      <wp:effectExtent l="0" t="0" r="0" b="0"/>
                      <wp:wrapNone/>
                      <wp:docPr id="170" name="Frame169"/>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76275" cy="175260"/>
                      <wp:effectExtent l="0" t="0" r="0" b="0"/>
                      <wp:wrapNone/>
                      <wp:docPr id="171" name="Frame170"/>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9235" cy="175260"/>
                      <wp:effectExtent l="0" t="0" r="0" b="0"/>
                      <wp:wrapNone/>
                      <wp:docPr id="172" name="Frame1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79095" cy="175260"/>
                      <wp:effectExtent l="0" t="0" r="0" b="0"/>
                      <wp:wrapNone/>
                      <wp:docPr id="173" name="Frame172"/>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40105" cy="175260"/>
                      <wp:effectExtent l="0" t="0" r="0" b="0"/>
                      <wp:wrapNone/>
                      <wp:docPr id="174" name="Frame173"/>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0660" cy="175260"/>
                      <wp:effectExtent l="0" t="0" r="0" b="0"/>
                      <wp:wrapNone/>
                      <wp:docPr id="175" name="Frame1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2025</w:t>
            </w:r>
          </w:p>
        </w:tc>
        <w:tc>
          <w:tcPr>
            <w:tcW w:w="361" w:type="dxa"/>
            <w:tcBorders/>
            <w:vAlign w:val="center"/>
          </w:tcPr>
          <w:p>
            <w:pPr>
              <w:pStyle w:val="TableContents"/>
              <w:bidi w:val="0"/>
              <w:spacing w:before="0" w:after="1"/>
              <w:ind w:left="0" w:right="0" w:hanging="0"/>
              <w:jc w:val="left"/>
              <w:rPr/>
            </w:pPr>
            <w:r>
              <w:rPr/>
              <w:t>    </w:t>
            </w:r>
          </w:p>
        </w:tc>
        <w:tc>
          <w:tcPr>
            <w:tcW w:w="1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6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61"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pPr>
            <w:r>
              <w:rPr/>
              <w:t>​</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361" w:type="dxa"/>
            <w:tcBorders/>
            <w:shd w:fill="CCEEFF" w:val="clear"/>
            <w:vAlign w:val="center"/>
          </w:tcPr>
          <w:p>
            <w:pPr>
              <w:pStyle w:val="TableContents"/>
              <w:bidi w:val="0"/>
              <w:spacing w:before="0" w:after="1"/>
              <w:ind w:left="0" w:right="0" w:hanging="0"/>
              <w:jc w:val="left"/>
              <w:rPr/>
            </w:pPr>
            <w:r>
              <w:rPr/>
              <w:t>​</w:t>
            </w:r>
          </w:p>
        </w:tc>
        <w:tc>
          <w:tcPr>
            <w:tcW w:w="597"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 </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97"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480" w:type="dxa"/>
            <w:tcBorders/>
            <w:shd w:fill="CCEEFF" w:val="clear"/>
            <w:vAlign w:val="center"/>
          </w:tcPr>
          <w:p>
            <w:pPr>
              <w:pStyle w:val="TableContents"/>
              <w:bidi w:val="0"/>
              <w:spacing w:before="0" w:after="1"/>
              <w:ind w:left="0" w:right="0" w:hanging="0"/>
              <w:jc w:val="left"/>
              <w:rPr/>
            </w:pPr>
            <w:r>
              <w:rPr/>
              <w:t>​</w:t>
            </w:r>
          </w:p>
        </w:tc>
        <w:tc>
          <w:tcPr>
            <w:tcW w:w="10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97"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480" w:type="dxa"/>
            <w:tcBorders/>
            <w:vAlign w:val="center"/>
          </w:tcPr>
          <w:p>
            <w:pPr>
              <w:pStyle w:val="TableContents"/>
              <w:bidi w:val="0"/>
              <w:spacing w:before="0" w:after="1"/>
              <w:ind w:left="0" w:right="0" w:hanging="0"/>
              <w:jc w:val="left"/>
              <w:rPr/>
            </w:pPr>
            <w:r>
              <w:rPr/>
              <w:t>​</w:t>
            </w:r>
          </w:p>
        </w:tc>
        <w:tc>
          <w:tcPr>
            <w:tcW w:w="10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97" w:type="dxa"/>
            <w:tcBorders/>
            <w:vAlign w:val="center"/>
          </w:tcPr>
          <w:p>
            <w:pPr>
              <w:pStyle w:val="TableContents"/>
              <w:bidi w:val="0"/>
              <w:spacing w:before="0" w:after="1"/>
              <w:ind w:left="0" w:right="0" w:hanging="0"/>
              <w:jc w:val="left"/>
              <w:rPr/>
            </w:pPr>
            <w:r>
              <w:rPr/>
              <w:t>​</w:t>
            </w:r>
          </w:p>
        </w:tc>
        <w:tc>
          <w:tcPr>
            <w:tcW w:w="13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The change in the fair value of the 2023 Warrant liability was a decrease of $0.3 million during the six months ended June 30, 2025. The change in fair value of the 2023 Warrant liability was $0.3 million during the six months ended June 30, 2024 (see Note 12 – Warrant Liability).</w:t>
      </w:r>
    </w:p>
    <w:p>
      <w:pPr>
        <w:pStyle w:val="TextBody"/>
        <w:bidi w:val="0"/>
        <w:spacing w:before="0" w:after="0"/>
        <w:ind w:left="0" w:right="0" w:hanging="0"/>
        <w:jc w:val="left"/>
        <w:rPr/>
      </w:pPr>
      <w:r>
        <w:rPr/>
        <w:t>​</w:t>
      </w:r>
    </w:p>
    <w:tbl>
      <w:tblPr>
        <w:tblW w:w="6010" w:type="dxa"/>
        <w:jc w:val="left"/>
        <w:tblInd w:w="0" w:type="dxa"/>
        <w:tblLayout w:type="fixed"/>
        <w:tblCellMar>
          <w:top w:w="0" w:type="dxa"/>
          <w:left w:w="0" w:type="dxa"/>
          <w:bottom w:w="0" w:type="dxa"/>
          <w:right w:w="0" w:type="dxa"/>
        </w:tblCellMar>
      </w:tblPr>
      <w:tblGrid>
        <w:gridCol w:w="3016"/>
        <w:gridCol w:w="326"/>
        <w:gridCol w:w="300"/>
        <w:gridCol w:w="770"/>
        <w:gridCol w:w="464"/>
        <w:gridCol w:w="300"/>
        <w:gridCol w:w="834"/>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15160" cy="175260"/>
                      <wp:effectExtent l="0" t="0" r="0" b="0"/>
                      <wp:wrapNone/>
                      <wp:docPr id="176" name="Frame175"/>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90500" cy="175260"/>
                      <wp:effectExtent l="0" t="0" r="0" b="0"/>
                      <wp:wrapNone/>
                      <wp:docPr id="178" name="Frame17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88950" cy="175260"/>
                      <wp:effectExtent l="0" t="0" r="0" b="0"/>
                      <wp:wrapNone/>
                      <wp:docPr id="179" name="Frame178"/>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94640" cy="175260"/>
                      <wp:effectExtent l="0" t="0" r="0" b="0"/>
                      <wp:wrapNone/>
                      <wp:docPr id="180" name="Frame179"/>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0500" cy="175260"/>
                      <wp:effectExtent l="0" t="0" r="0" b="0"/>
                      <wp:wrapNone/>
                      <wp:docPr id="181" name="Frame18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29590" cy="175260"/>
                      <wp:effectExtent l="0" t="0" r="0" b="0"/>
                      <wp:wrapNone/>
                      <wp:docPr id="182" name="Frame18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4" w:type="dxa"/>
            <w:tcBorders/>
            <w:vAlign w:val="center"/>
          </w:tcPr>
          <w:p>
            <w:pPr>
              <w:pStyle w:val="TableContents"/>
              <w:bidi w:val="0"/>
              <w:spacing w:before="0" w:after="0"/>
              <w:ind w:left="0" w:right="0" w:hanging="0"/>
              <w:jc w:val="center"/>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value</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30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value of warrant liability</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464"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301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value</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464"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30"/>
        <w:ind w:left="0" w:right="0" w:hanging="0"/>
        <w:jc w:val="left"/>
        <w:rPr>
          <w:rFonts w:ascii="Times New Roman;Times;serif" w:hAnsi="Times New Roman;Times;serif"/>
          <w:b/>
          <w:sz w:val="20"/>
        </w:rPr>
      </w:pPr>
      <w:r>
        <w:rPr>
          <w:rFonts w:ascii="Times New Roman;Times;serif" w:hAnsi="Times New Roman;Times;serif"/>
          <w:b/>
          <w:sz w:val="20"/>
        </w:rPr>
        <w:t>Note 14 – Customer Concentrations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Two customers accounted for approximately 94% of the Company’s revenue for the three months ended June 30, 2025, and two customers accounted for approximately 88% of the Company’s revenue for the six months ended June 30, 2025. Two customers accounted for approximately 87% of the Company’s revenue for the three months ended June 30, 2024, and three customers accounted for 78% of the Company’s revenue for the six months ended June 30, 2024. Two customers accounted for approximately 89% of the Company’s accounts receivable balance as of June 30, 2025, and two customers accounted for approximately 99% of the Company’s accounts receivable balance as of December 31, 2024.</w:t>
      </w:r>
    </w:p>
    <w:p>
      <w:pPr>
        <w:pStyle w:val="TextBody"/>
        <w:bidi w:val="0"/>
        <w:spacing w:before="0" w:after="0"/>
        <w:ind w:left="0" w:right="0" w:hanging="0"/>
        <w:jc w:val="left"/>
        <w:rPr/>
      </w:pPr>
      <w:r>
        <w:rPr/>
        <w:t>​</w:t>
      </w:r>
    </w:p>
    <w:p>
      <w:pPr>
        <w:pStyle w:val="TextBody"/>
        <w:bidi w:val="0"/>
        <w:spacing w:before="0" w:after="130"/>
        <w:ind w:left="0" w:right="0" w:hanging="0"/>
        <w:jc w:val="left"/>
        <w:rPr>
          <w:rFonts w:ascii="Times New Roman;Times;serif" w:hAnsi="Times New Roman;Times;serif"/>
          <w:b/>
          <w:sz w:val="20"/>
        </w:rPr>
      </w:pPr>
      <w:r>
        <w:rPr>
          <w:rFonts w:ascii="Times New Roman;Times;serif" w:hAnsi="Times New Roman;Times;serif"/>
          <w:b/>
          <w:sz w:val="20"/>
        </w:rPr>
        <w:t>Note 15 – 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July 1, 2025 to July 28, 2025, the Company settled sales of 4,400,169 shares of common stock for net proceeds of approximately $1.7 million under the ATM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7, 2025, the Company made an early pay off its short-term debt with Agile Capital Funding, LLC and Agile Lending, LLC (see Note 9 – Short-term Debt, </w:t>
      </w:r>
      <w:r>
        <w:rPr>
          <w:rFonts w:ascii="Times New Roman;Times;serif" w:hAnsi="Times New Roman;Times;serif"/>
          <w:i/>
          <w:sz w:val="20"/>
        </w:rPr>
        <w:t>Agile Subordinated Loan Agreement</w:t>
      </w:r>
      <w:r>
        <w:rPr>
          <w:rFonts w:ascii="Times New Roman;Times;serif" w:hAnsi="Times New Roman;Times;serif"/>
          <w:sz w:val="20"/>
        </w:rPr>
        <w:t>). No further obligations are due under this loan agreement.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91" w:name="Item2ManagementsDiscussionandAnalysisofF"/>
      <w:bookmarkStart w:id="892" w:name="_4b4e92ad_300c_4a45_b2dc_e1a1c3f85cf2"/>
      <w:bookmarkEnd w:id="891"/>
      <w:bookmarkEnd w:id="89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used in this Quarterly Report on Form 10-Q (this “Report”), unless the context otherwise requires the terms “we,” “us,” “our,” and “Energous” refer to Energous Corporation d/b/a Energous Wireless Power Solutions,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expectations with respect to future financings; expectations for revenues, liquidity, cash flows and financial performance; expectations regarding repayment of our Term Loan (defined below); and expectations regarding the release of additional wireless power-enabled products.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or commercialize such technology; timing of customer implementations of our technology in consumer products; timing and receipt of regulatory approvals in the United States and internationally; our ability to find and maintain contract manufacturing partners; market acceptance of our technology; competition in our industry; our ability to protect our intellectual property; our ability to maintain or improve our financial position, cash flows, and liquidity and our expected financial needs; and other risks and uncertainties described in the Risk Factors and in Management’s Discussion and Analysis sections of our most recently filed Annual Report on Form 10-K and subsequently filed Quarterly Reports on Form 10-Q, including this Report. We undertake no obligation to publicly update any of our forward-looking statements, whether as a result of new information, future developments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developed scalable, over-the-air Wireless Power Network (“WPN”) technology that integrates advanced semiconductor chipsets, software controls, hardware designs, and antenna systems to enable radio frequency (“RF”)-based charging for Internet of Things (“IoT”) devices. Our WPN technology provides a comprehensive suite of capabilities designed to power the next generation of wireless energy networks, seamlessly delivering power and data across diverse, battery-free device ecosystems. This innovation enhances operational visibility, control, and intelligent business automation.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 a patent portfolio exceeding 250 patents, our solutions support both near-field and at-a-distance wireless charging, supplying power at multiple levels across varying distances, as well as expertise in advanced receiver technology. By enabling continuous wireless power transmission, our transmitter and receiver technologies facilitate the use of battery-free IoT devices, transforming asset and inventory tracking across multiple industries. Key applications include retail sensors, electronic shelf labels, asset trackers, air quality monitors, motion detectors, and other smart monitoring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technology represents a breakthrough in wireless power delivery, offering a differentiated approach to charging IoT devices via RF technology. To date, we have developed and released multiple transmitter and receiver solutions. Our transmitters vary in form factor, power specifications, and operating frequencies, while our receivers are engineered to support a wide range of wireless charging applications across multiple device categories. including:</w:t>
      </w:r>
    </w:p>
    <w:tbl>
      <w:tblPr>
        <w:tblW w:w="5552" w:type="dxa"/>
        <w:jc w:val="left"/>
        <w:tblInd w:w="0" w:type="dxa"/>
        <w:tblLayout w:type="fixed"/>
        <w:tblCellMar>
          <w:top w:w="0" w:type="dxa"/>
          <w:left w:w="0" w:type="dxa"/>
          <w:bottom w:w="0" w:type="dxa"/>
          <w:right w:w="0" w:type="dxa"/>
        </w:tblCellMar>
      </w:tblPr>
      <w:tblGrid>
        <w:gridCol w:w="2056"/>
        <w:gridCol w:w="3496"/>
      </w:tblGrid>
      <w:tr>
        <w:trPr/>
        <w:tc>
          <w:tcPr>
            <w:tcW w:w="2056" w:type="dxa"/>
            <w:tcBorders/>
            <w:vAlign w:val="center"/>
          </w:tcPr>
          <w:p>
            <w:pPr>
              <w:pStyle w:val="TableContents"/>
              <w:bidi w:val="0"/>
              <w:spacing w:before="0" w:after="0"/>
              <w:ind w:left="0" w:right="0" w:hanging="0"/>
              <w:jc w:val="left"/>
              <w:rPr/>
            </w:pPr>
            <w:r>
              <w:rPr/>
              <w:t>​</w:t>
            </w:r>
          </w:p>
        </w:tc>
        <w:tc>
          <w:tcPr>
            <w:tcW w:w="3496" w:type="dxa"/>
            <w:tcBorders/>
            <w:vAlign w:val="center"/>
          </w:tcPr>
          <w:p>
            <w:pPr>
              <w:pStyle w:val="TableContents"/>
              <w:bidi w:val="0"/>
              <w:spacing w:before="0" w:after="0"/>
              <w:ind w:left="0" w:right="0" w:hanging="0"/>
              <w:jc w:val="left"/>
              <w:rPr/>
            </w:pPr>
            <w:r>
              <w:rPr/>
              <w: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IoT Sensors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WPN-enabled end product featuring our technology entered the market in 2019. In the fourth quarter of 2021, we commenced shipments of its first at-a-distance wireless PowerBridge transmitter systems for commercial IoT applications and proof-of-concept deployments. As we continue to innovate our technology applications, we anticipate the release of additional wireless power-enabled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Nasdaq Market Compliance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previously reported. on August 29, 2024, we received a notification letter from the Listing Qualifications Department (the “Staff”) of The Nasdaq Stock Market LLC (“Nasdaq”) advising that for 30 consecutive trading days preceding the date of the notice, the bid price of our common stock had closed below the $1.00 per share minimum required for continued listing on the Nasdaq Capital Market pursuant to Nasdaq Marketplace Rule 5550(a)(2) (the “Bid Price Rule”). We were provided an initial 180 calendar days, or until February 25, 2025, to regain compliance with the Bid Price Rule. On February 27, 2025, we received a letter from the Staff granting an additional 180 calendar days, or until August 25, 2025, to regain compliance with Bid Price Rule. The Nasdaq determination to grant the second compliance period was based on our compliance with the continued listing requirement for market value of publicly held shares and all other applicable requirements for initial listing on the Nasdaq Capital Market, with the exception of the Bid Price Rule, and written notice of our intention to cure the deficiency during the second compliance period by effecting a reverse stock split, if necessary. To regain compliance with the Big Price Rule, our common stock must close at or above $1.00 per share for a minimum of ten consecutive business days at any time during the second 180-day compliance period, or August 25,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our 2025 Annual Meeting of Stockholders held on June 11, 2025, our stockholders approved a proposal for an amendment to the our second amended and restated certificate of incorporation, as amended, to effect a reverse stock split of our common stock at a ratio ranging from any whole number between 1-for-5 and 1-for-50, as determined by the Board of Directors in its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Subject to market conditions, our Board of Directors may need to implement a reverse stock split prior to August 25, 2025 in order to regain compliance with the Bid Price Rule.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Use of Estimates. </w:t>
      </w:r>
      <w:r>
        <w:rPr>
          <w:rFonts w:ascii="Times New Roman;Times;serif" w:hAnsi="Times New Roman;Times;serif"/>
          <w:sz w:val="20"/>
        </w:rPr>
        <w:t>The preparation of financial statements in conformity with generally accepted accounting principles in the United States of America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Some of these judgments can be subjective and complex, and, consequently, actual results may differ from these estimates. Although we believe that its estimates and assumptions are reasonable, they are based upon information available at the time the estimates and assumptions were made. Actual results could differ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Going Concern.</w:t>
      </w:r>
      <w:r>
        <w:rPr>
          <w:rFonts w:ascii="Times New Roman;Times;serif" w:hAnsi="Times New Roman;Times;serif"/>
          <w:sz w:val="20"/>
        </w:rPr>
        <w:t xml:space="preserve"> Accounting Standards Codification (“ASC”) 205-40 </w:t>
      </w:r>
      <w:r>
        <w:rPr>
          <w:rFonts w:ascii="Times New Roman;Times;serif" w:hAnsi="Times New Roman;Times;serif"/>
          <w:i/>
          <w:sz w:val="20"/>
        </w:rPr>
        <w:t>Presentation of Financial Statements - Going Concern</w:t>
      </w:r>
      <w:r>
        <w:rPr>
          <w:rFonts w:ascii="Times New Roman;Times;serif" w:hAnsi="Times New Roman;Times;serif"/>
          <w:sz w:val="20"/>
        </w:rPr>
        <w:t>, requires management to assess our ability to 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 We have determined that there was substantial doubt about our ability to continue as a going concern, but it was alleviated based on financing received in 2025, as well as current operating levels and further cost reductions implemented in the first and second quarters of 2025. We anticipate cash flows generated from operations and our cash and cash equivalents will be sufficient to meet our liquidity needs for at least the next 12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Warrants.</w:t>
      </w:r>
      <w:r>
        <w:rPr>
          <w:rFonts w:ascii="Times New Roman;Times;serif" w:hAnsi="Times New Roman;Times;serif"/>
          <w:sz w:val="20"/>
        </w:rPr>
        <w:t xml:space="preserve"> 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Revenue Recognition. </w:t>
      </w:r>
      <w:r>
        <w:rPr>
          <w:rFonts w:ascii="Times New Roman;Times;serif" w:hAnsi="Times New Roman;Times;serif"/>
          <w:sz w:val="20"/>
        </w:rPr>
        <w:t>We follow ASC 606, “Revenue from Contracts with Customers” (“Topic 606”). In accordance with Topic 606, we recognize revenue using the following five-step approach:</w:t>
      </w:r>
    </w:p>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the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of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revenue consists of its single segment of wireless charging system solutions. The wireless charging system revenue consists of revenue from product development projects and production-level systems.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 revenue associated the sales of products, such as PowerBridge transmitter systems, and with product development projects that we enter into with certain customers. For the sales of products, we generally records revenue upon shipment of the products. For product development projects that are complex, and we do not have certainty about our ability to achieve the project milestones. The achievement of a milestone is dependent on our performance obligation and requires acceptance by the customer. We recognize this revenue at the point in time at which the performance obligation is met. The payment associated with achieving the performance obligation is generally commensurate with our effort or the value of the deliverable and is nonrefundable. Any deferred revenue is recognized upon achievement of the performance obligation or expiration of a support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2025,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June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w:t>
      </w:r>
    </w:p>
    <w:tbl>
      <w:tblPr>
        <w:tblW w:w="9936" w:type="dxa"/>
        <w:jc w:val="left"/>
        <w:tblInd w:w="0" w:type="dxa"/>
        <w:tblLayout w:type="fixed"/>
        <w:tblCellMar>
          <w:top w:w="0" w:type="dxa"/>
          <w:left w:w="0" w:type="dxa"/>
          <w:bottom w:w="0" w:type="dxa"/>
          <w:right w:w="0" w:type="dxa"/>
        </w:tblCellMar>
      </w:tblPr>
      <w:tblGrid>
        <w:gridCol w:w="4021"/>
        <w:gridCol w:w="326"/>
        <w:gridCol w:w="277"/>
        <w:gridCol w:w="910"/>
        <w:gridCol w:w="429"/>
        <w:gridCol w:w="277"/>
        <w:gridCol w:w="910"/>
        <w:gridCol w:w="326"/>
        <w:gridCol w:w="211"/>
        <w:gridCol w:w="691"/>
        <w:gridCol w:w="326"/>
        <w:gridCol w:w="916"/>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553335" cy="175260"/>
                      <wp:effectExtent l="0" t="0" r="0" b="0"/>
                      <wp:wrapNone/>
                      <wp:docPr id="183" name="Frame182"/>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5895" cy="175260"/>
                      <wp:effectExtent l="0" t="0" r="0" b="0"/>
                      <wp:wrapNone/>
                      <wp:docPr id="185" name="Frame18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7850" cy="175260"/>
                      <wp:effectExtent l="0" t="0" r="0" b="0"/>
                      <wp:wrapNone/>
                      <wp:docPr id="186" name="Frame185"/>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72415" cy="175260"/>
                      <wp:effectExtent l="0" t="0" r="0" b="0"/>
                      <wp:wrapNone/>
                      <wp:docPr id="187" name="Frame186"/>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5895" cy="175260"/>
                      <wp:effectExtent l="0" t="0" r="0" b="0"/>
                      <wp:wrapNone/>
                      <wp:docPr id="188" name="Frame18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77850" cy="175260"/>
                      <wp:effectExtent l="0" t="0" r="0" b="0"/>
                      <wp:wrapNone/>
                      <wp:docPr id="189" name="Frame188"/>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2" name="Frame1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81660" cy="175260"/>
                      <wp:effectExtent l="0" t="0" r="0" b="0"/>
                      <wp:wrapNone/>
                      <wp:docPr id="194" name="Frame19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0660" cy="175260"/>
                      <wp:effectExtent l="0" t="0" r="0" b="0"/>
                      <wp:wrapNone/>
                      <wp:docPr id="195" name="Frame1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9"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 Change </w:t>
            </w:r>
          </w:p>
        </w:tc>
        <w:tc>
          <w:tcPr>
            <w:tcW w:w="316" w:type="dxa"/>
            <w:tcBorders/>
            <w:vAlign w:val="center"/>
          </w:tcPr>
          <w:p>
            <w:pPr>
              <w:pStyle w:val="TableContents"/>
              <w:bidi w:val="0"/>
              <w:spacing w:before="0" w:after="0"/>
              <w:ind w:left="0" w:right="0" w:hanging="0"/>
              <w:jc w:val="center"/>
              <w:rPr/>
            </w:pPr>
            <w:r>
              <w:rPr/>
              <w:t> </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429" w:type="dxa"/>
            <w:tcBorders/>
            <w:vAlign w:val="center"/>
          </w:tcPr>
          <w:p>
            <w:pPr>
              <w:pStyle w:val="TableContents"/>
              <w:bidi w:val="0"/>
              <w:spacing w:before="0" w:after="0"/>
              <w:ind w:left="0" w:right="0" w:hanging="0"/>
              <w:jc w:val="righ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c>
          <w:tcPr>
            <w:tcW w:w="429"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429"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29"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3,118</w:t>
            </w:r>
          </w:p>
        </w:tc>
        <w:tc>
          <w:tcPr>
            <w:tcW w:w="429" w:type="dxa"/>
            <w:tcBorders/>
            <w:vAlign w:val="center"/>
          </w:tcPr>
          <w:p>
            <w:pPr>
              <w:pStyle w:val="TableContents"/>
              <w:bidi w:val="0"/>
              <w:spacing w:before="0" w:after="0"/>
              <w:ind w:left="0" w:right="0" w:hanging="0"/>
              <w:jc w:val="righ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c>
          <w:tcPr>
            <w:tcW w:w="429"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9" w:type="dxa"/>
            <w:tcBorders/>
            <w:vAlign w:val="center"/>
          </w:tcPr>
          <w:p>
            <w:pPr>
              <w:pStyle w:val="TableContents"/>
              <w:bidi w:val="0"/>
              <w:spacing w:before="0" w:after="0"/>
              <w:ind w:left="0" w:right="0" w:hanging="0"/>
              <w:jc w:val="right"/>
              <w:rPr/>
            </w:pPr>
            <w:r>
              <w:rPr/>
              <w:t>​</w:t>
            </w:r>
          </w:p>
        </w:tc>
        <w:tc>
          <w:tcPr>
            <w:tcW w:w="277"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29" w:type="dxa"/>
            <w:tcBorders/>
            <w:vAlign w:val="center"/>
          </w:tcPr>
          <w:p>
            <w:pPr>
              <w:pStyle w:val="TableContents"/>
              <w:bidi w:val="0"/>
              <w:spacing w:before="0" w:after="0"/>
              <w:ind w:left="0" w:right="0" w:hanging="0"/>
              <w:jc w:val="righ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w:t>
            </w:r>
          </w:p>
        </w:tc>
        <w:tc>
          <w:tcPr>
            <w:tcW w:w="429" w:type="dxa"/>
            <w:tcBorders/>
            <w:shd w:fill="CCEEFF" w:val="clear"/>
            <w:vAlign w:val="center"/>
          </w:tcPr>
          <w:p>
            <w:pPr>
              <w:pStyle w:val="TableContents"/>
              <w:bidi w:val="0"/>
              <w:spacing w:before="0" w:after="0"/>
              <w:ind w:left="0" w:right="0" w:hanging="0"/>
              <w:jc w:val="righ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three months ended June 30, 2025 and 2024, we recorded revenue of $1.0 million and $46,000, respectively. The 2,020% year over year increase is primarily due to the expansion of commercial applications with multinational enterprise retailers deploying our WPN technology in connection with their infrastructure modernization initiatives.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Costs and Expenses and Loss from Operations.</w:t>
      </w:r>
      <w:r>
        <w:rPr>
          <w:rFonts w:ascii="Times New Roman;Times;serif" w:hAnsi="Times New Roman;Times;serif"/>
          <w:sz w:val="20"/>
        </w:rPr>
        <w:t xml:space="preserve"> Costs and expenses are made up of cost of revenue, research and development, sales and marketing, general and administrative, severance expense and expenses from the abandoned financing transaction. Loss from operations for the three months ended June 30, 2025 and 2024 were $2.8 million and $4.7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tbl>
      <w:tblPr>
        <w:tblW w:w="7796" w:type="dxa"/>
        <w:jc w:val="left"/>
        <w:tblInd w:w="0" w:type="dxa"/>
        <w:tblLayout w:type="fixed"/>
        <w:tblCellMar>
          <w:top w:w="0" w:type="dxa"/>
          <w:left w:w="0" w:type="dxa"/>
          <w:bottom w:w="0" w:type="dxa"/>
          <w:right w:w="0" w:type="dxa"/>
        </w:tblCellMar>
      </w:tblPr>
      <w:tblGrid>
        <w:gridCol w:w="2041"/>
        <w:gridCol w:w="326"/>
        <w:gridCol w:w="358"/>
        <w:gridCol w:w="715"/>
        <w:gridCol w:w="613"/>
        <w:gridCol w:w="358"/>
        <w:gridCol w:w="715"/>
        <w:gridCol w:w="361"/>
        <w:gridCol w:w="265"/>
        <w:gridCol w:w="531"/>
        <w:gridCol w:w="326"/>
        <w:gridCol w:w="286"/>
        <w:gridCol w:w="585"/>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96035" cy="175260"/>
                      <wp:effectExtent l="0" t="0" r="0" b="0"/>
                      <wp:wrapNone/>
                      <wp:docPr id="196" name="Frame195"/>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7330" cy="175260"/>
                      <wp:effectExtent l="0" t="0" r="0" b="0"/>
                      <wp:wrapNone/>
                      <wp:docPr id="198" name="Frame197"/>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54025" cy="175260"/>
                      <wp:effectExtent l="0" t="0" r="0" b="0"/>
                      <wp:wrapNone/>
                      <wp:docPr id="199" name="Frame198"/>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89255" cy="175260"/>
                      <wp:effectExtent l="0" t="0" r="0" b="0"/>
                      <wp:wrapNone/>
                      <wp:docPr id="200" name="Frame199"/>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7330" cy="175260"/>
                      <wp:effectExtent l="0" t="0" r="0" b="0"/>
                      <wp:wrapNone/>
                      <wp:docPr id="201" name="Frame200"/>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4025" cy="175260"/>
                      <wp:effectExtent l="0" t="0" r="0" b="0"/>
                      <wp:wrapNone/>
                      <wp:docPr id="202" name="Frame201"/>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9235" cy="175260"/>
                      <wp:effectExtent l="0" t="0" r="0" b="0"/>
                      <wp:wrapNone/>
                      <wp:docPr id="203" name="Frame20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8275" cy="175260"/>
                      <wp:effectExtent l="0" t="0" r="0" b="0"/>
                      <wp:wrapNone/>
                      <wp:docPr id="204" name="Frame203"/>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37185" cy="175260"/>
                      <wp:effectExtent l="0" t="0" r="0" b="0"/>
                      <wp:wrapNone/>
                      <wp:docPr id="205" name="Frame204"/>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1610" cy="175260"/>
                      <wp:effectExtent l="0" t="0" r="0" b="0"/>
                      <wp:wrapNone/>
                      <wp:docPr id="207" name="Frame20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71475" cy="175260"/>
                      <wp:effectExtent l="0" t="0" r="0" b="0"/>
                      <wp:wrapNone/>
                      <wp:docPr id="208" name="Frame207"/>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0660" cy="175260"/>
                      <wp:effectExtent l="0" t="0" r="0" b="0"/>
                      <wp:wrapNone/>
                      <wp:docPr id="209" name="Frame2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61" w:type="dxa"/>
            <w:tcBorders/>
            <w:vAlign w:val="center"/>
          </w:tcPr>
          <w:p>
            <w:pPr>
              <w:pStyle w:val="TableContents"/>
              <w:bidi w:val="0"/>
              <w:spacing w:before="0" w:after="1"/>
              <w:ind w:left="0" w:right="0" w:hanging="0"/>
              <w:jc w:val="center"/>
              <w:rPr/>
            </w:pPr>
            <w:r>
              <w:rPr/>
              <w:t>​</w:t>
            </w:r>
          </w:p>
        </w:tc>
        <w:tc>
          <w:tcPr>
            <w:tcW w:w="265"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585"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13" w:type="dxa"/>
            <w:tcBorders/>
            <w:vAlign w:val="center"/>
          </w:tcPr>
          <w:p>
            <w:pPr>
              <w:pStyle w:val="TableContents"/>
              <w:bidi w:val="0"/>
              <w:spacing w:before="0" w:after="1"/>
              <w:ind w:left="0" w:right="0" w:hanging="0"/>
              <w:jc w:val="center"/>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613"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61"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2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6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8"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1"/>
              <w:ind w:left="0" w:right="0" w:hanging="0"/>
              <w:jc w:val="left"/>
              <w:rPr/>
            </w:pPr>
            <w:r>
              <w:rPr/>
              <w:t> </w:t>
            </w:r>
          </w:p>
        </w:tc>
        <w:tc>
          <w:tcPr>
            <w:tcW w:w="5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86" w:type="dxa"/>
            <w:tcBorders/>
            <w:vAlign w:val="center"/>
          </w:tcPr>
          <w:p>
            <w:pPr>
              <w:pStyle w:val="TableContents"/>
              <w:bidi w:val="0"/>
              <w:spacing w:before="0" w:after="1"/>
              <w:ind w:left="0" w:right="0" w:hanging="0"/>
              <w:jc w:val="right"/>
              <w:rPr/>
            </w:pPr>
            <w:r>
              <w:rPr/>
              <w:t>  </w:t>
            </w:r>
          </w:p>
        </w:tc>
        <w:tc>
          <w:tcPr>
            <w:tcW w:w="58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$0.6 million and $0.1 million, respectively, for the three months ended June 30, 2025 and 2024. The increase is primarily due to higher sales volume of PowerBridge Pro transmitters that were shipped during the second quarter of 2025. With the ramp up of our volume manufacturing during the first and second quarters of 2025 and other strategic efforts made to optimize operations, product margins improved significantly, transitioning from a gross loss in 2024 of $76,000 to a gross profit in 2025 of approximately $0.3 million, representing a 545% year over year improvement in gross profit for the same quarter last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8170" w:type="dxa"/>
        <w:jc w:val="left"/>
        <w:tblInd w:w="0" w:type="dxa"/>
        <w:tblLayout w:type="fixed"/>
        <w:tblCellMar>
          <w:top w:w="0" w:type="dxa"/>
          <w:left w:w="0" w:type="dxa"/>
          <w:bottom w:w="0" w:type="dxa"/>
          <w:right w:w="0" w:type="dxa"/>
        </w:tblCellMar>
      </w:tblPr>
      <w:tblGrid>
        <w:gridCol w:w="2311"/>
        <w:gridCol w:w="326"/>
        <w:gridCol w:w="302"/>
        <w:gridCol w:w="818"/>
        <w:gridCol w:w="517"/>
        <w:gridCol w:w="302"/>
        <w:gridCol w:w="818"/>
        <w:gridCol w:w="361"/>
        <w:gridCol w:w="211"/>
        <w:gridCol w:w="691"/>
        <w:gridCol w:w="326"/>
        <w:gridCol w:w="308"/>
        <w:gridCol w:w="56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67485" cy="175260"/>
                      <wp:effectExtent l="0" t="0" r="0" b="0"/>
                      <wp:wrapNone/>
                      <wp:docPr id="210" name="Frame20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91770" cy="175260"/>
                      <wp:effectExtent l="0" t="0" r="0" b="0"/>
                      <wp:wrapNone/>
                      <wp:docPr id="212" name="Frame21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19430" cy="175260"/>
                      <wp:effectExtent l="0" t="0" r="0" b="0"/>
                      <wp:wrapNone/>
                      <wp:docPr id="213" name="Frame212"/>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28295" cy="175260"/>
                      <wp:effectExtent l="0" t="0" r="0" b="0"/>
                      <wp:wrapNone/>
                      <wp:docPr id="214" name="Frame213"/>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91770" cy="175260"/>
                      <wp:effectExtent l="0" t="0" r="0" b="0"/>
                      <wp:wrapNone/>
                      <wp:docPr id="215" name="Frame21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19430" cy="175260"/>
                      <wp:effectExtent l="0" t="0" r="0" b="0"/>
                      <wp:wrapNone/>
                      <wp:docPr id="216" name="Frame215"/>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29235" cy="175260"/>
                      <wp:effectExtent l="0" t="0" r="0" b="0"/>
                      <wp:wrapNone/>
                      <wp:docPr id="217" name="Frame2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8785" cy="175260"/>
                      <wp:effectExtent l="0" t="0" r="0" b="0"/>
                      <wp:wrapNone/>
                      <wp:docPr id="219"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95580" cy="175260"/>
                      <wp:effectExtent l="0" t="0" r="0" b="0"/>
                      <wp:wrapNone/>
                      <wp:docPr id="221" name="Frame220"/>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57505" cy="175260"/>
                      <wp:effectExtent l="0" t="0" r="0" b="0"/>
                      <wp:wrapNone/>
                      <wp:docPr id="222" name="Frame221"/>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0660" cy="175260"/>
                      <wp:effectExtent l="0" t="0" r="0" b="0"/>
                      <wp:wrapNone/>
                      <wp:docPr id="223" name="Frame2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08"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17" w:type="dxa"/>
            <w:tcBorders/>
            <w:vAlign w:val="center"/>
          </w:tcPr>
          <w:p>
            <w:pPr>
              <w:pStyle w:val="TableContents"/>
              <w:bidi w:val="0"/>
              <w:spacing w:before="0" w:after="1"/>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517"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1"/>
              <w:ind w:left="0" w:right="0" w:hanging="0"/>
              <w:jc w:val="left"/>
              <w:rPr/>
            </w:pPr>
            <w:r>
              <w:rPr/>
              <w:t> </w:t>
            </w:r>
          </w:p>
        </w:tc>
        <w:tc>
          <w:tcPr>
            <w:tcW w:w="308"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5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2"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08" w:type="dxa"/>
            <w:tcBorders/>
            <w:vAlign w:val="center"/>
          </w:tcPr>
          <w:p>
            <w:pPr>
              <w:pStyle w:val="TableContents"/>
              <w:bidi w:val="0"/>
              <w:spacing w:before="0" w:after="1"/>
              <w:ind w:left="0" w:right="0" w:hanging="0"/>
              <w:jc w:val="right"/>
              <w:rPr/>
            </w:pPr>
            <w:r>
              <w:rPr/>
              <w:t>  </w:t>
            </w:r>
          </w:p>
        </w:tc>
        <w:tc>
          <w:tcPr>
            <w:tcW w:w="563"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were $1.1 million and $2.3 million, respectively, for the three months ended June 30, 2025 and 2024. The decrease of $1.2 million is primarily due to a $0.6 million decrease in engineering components, circuit boards and software, a $0.4 million decrease in payroll costs and a $42,000 decrease in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tbl>
      <w:tblPr>
        <w:tblW w:w="7796" w:type="dxa"/>
        <w:jc w:val="left"/>
        <w:tblInd w:w="0" w:type="dxa"/>
        <w:tblLayout w:type="fixed"/>
        <w:tblCellMar>
          <w:top w:w="0" w:type="dxa"/>
          <w:left w:w="0" w:type="dxa"/>
          <w:bottom w:w="0" w:type="dxa"/>
          <w:right w:w="0" w:type="dxa"/>
        </w:tblCellMar>
      </w:tblPr>
      <w:tblGrid>
        <w:gridCol w:w="2041"/>
        <w:gridCol w:w="326"/>
        <w:gridCol w:w="328"/>
        <w:gridCol w:w="654"/>
        <w:gridCol w:w="561"/>
        <w:gridCol w:w="328"/>
        <w:gridCol w:w="888"/>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96035" cy="175260"/>
                      <wp:effectExtent l="0" t="0" r="0" b="0"/>
                      <wp:wrapNone/>
                      <wp:docPr id="224" name="Frame22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8280" cy="175260"/>
                      <wp:effectExtent l="0" t="0" r="0" b="0"/>
                      <wp:wrapNone/>
                      <wp:docPr id="226" name="Frame22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15290" cy="175260"/>
                      <wp:effectExtent l="0" t="0" r="0" b="0"/>
                      <wp:wrapNone/>
                      <wp:docPr id="227" name="Frame226"/>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56235" cy="175260"/>
                      <wp:effectExtent l="0" t="0" r="0" b="0"/>
                      <wp:wrapNone/>
                      <wp:docPr id="228" name="Frame22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8280" cy="175260"/>
                      <wp:effectExtent l="0" t="0" r="0" b="0"/>
                      <wp:wrapNone/>
                      <wp:docPr id="229" name="Frame22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63880" cy="175260"/>
                      <wp:effectExtent l="0" t="0" r="0" b="0"/>
                      <wp:wrapNone/>
                      <wp:docPr id="230" name="Frame22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9235" cy="175260"/>
                      <wp:effectExtent l="0" t="0" r="0" b="0"/>
                      <wp:wrapNone/>
                      <wp:docPr id="231" name="Frame23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3670" cy="175260"/>
                      <wp:effectExtent l="0" t="0" r="0" b="0"/>
                      <wp:wrapNone/>
                      <wp:docPr id="232" name="Frame23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351790" cy="175260"/>
                      <wp:effectExtent l="0" t="0" r="0" b="0"/>
                      <wp:wrapNone/>
                      <wp:docPr id="233" name="Frame232"/>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53085" cy="175260"/>
                      <wp:effectExtent l="0" t="0" r="0" b="0"/>
                      <wp:wrapNone/>
                      <wp:docPr id="235" name="Frame23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0660" cy="175260"/>
                      <wp:effectExtent l="0" t="0" r="0" b="0"/>
                      <wp:wrapNone/>
                      <wp:docPr id="236" name="Frame2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61"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561"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8"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for the three months ended June 30, 2025 and 2024 were $0.7 million and $0.8 million, respectively. The decrease of $0.1 million is primarily due to a $0.2 million decrease in public relations and consulting fees, partially offset by a $0.1 million increase in payroll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tbl>
      <w:tblPr>
        <w:tblW w:w="8064" w:type="dxa"/>
        <w:jc w:val="left"/>
        <w:tblInd w:w="0" w:type="dxa"/>
        <w:tblLayout w:type="fixed"/>
        <w:tblCellMar>
          <w:top w:w="0" w:type="dxa"/>
          <w:left w:w="0" w:type="dxa"/>
          <w:bottom w:w="0" w:type="dxa"/>
          <w:right w:w="0" w:type="dxa"/>
        </w:tblCellMar>
      </w:tblPr>
      <w:tblGrid>
        <w:gridCol w:w="2311"/>
        <w:gridCol w:w="326"/>
        <w:gridCol w:w="302"/>
        <w:gridCol w:w="818"/>
        <w:gridCol w:w="517"/>
        <w:gridCol w:w="302"/>
        <w:gridCol w:w="818"/>
        <w:gridCol w:w="361"/>
        <w:gridCol w:w="242"/>
        <w:gridCol w:w="554"/>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67485" cy="175260"/>
                      <wp:effectExtent l="0" t="0" r="0" b="0"/>
                      <wp:wrapNone/>
                      <wp:docPr id="237" name="Frame23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91770" cy="175260"/>
                      <wp:effectExtent l="0" t="0" r="0" b="0"/>
                      <wp:wrapNone/>
                      <wp:docPr id="239" name="Frame238"/>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19430" cy="175260"/>
                      <wp:effectExtent l="0" t="0" r="0" b="0"/>
                      <wp:wrapNone/>
                      <wp:docPr id="240" name="Frame239"/>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28295" cy="175260"/>
                      <wp:effectExtent l="0" t="0" r="0" b="0"/>
                      <wp:wrapNone/>
                      <wp:docPr id="241" name="Frame240"/>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91770" cy="175260"/>
                      <wp:effectExtent l="0" t="0" r="0" b="0"/>
                      <wp:wrapNone/>
                      <wp:docPr id="242" name="Frame24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19430" cy="175260"/>
                      <wp:effectExtent l="0" t="0" r="0" b="0"/>
                      <wp:wrapNone/>
                      <wp:docPr id="243" name="Frame242"/>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9235" cy="175260"/>
                      <wp:effectExtent l="0" t="0" r="0" b="0"/>
                      <wp:wrapNone/>
                      <wp:docPr id="244" name="Frame2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53670" cy="175260"/>
                      <wp:effectExtent l="0" t="0" r="0" b="0"/>
                      <wp:wrapNone/>
                      <wp:docPr id="245" name="Frame24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51790" cy="175260"/>
                      <wp:effectExtent l="0" t="0" r="0" b="0"/>
                      <wp:wrapNone/>
                      <wp:docPr id="246" name="Frame24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53085" cy="175260"/>
                      <wp:effectExtent l="0" t="0" r="0" b="0"/>
                      <wp:wrapNone/>
                      <wp:docPr id="248" name="Frame24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0660" cy="175260"/>
                      <wp:effectExtent l="0" t="0" r="0" b="0"/>
                      <wp:wrapNone/>
                      <wp:docPr id="249" name="Frame2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17" w:type="dxa"/>
            <w:tcBorders/>
            <w:vAlign w:val="center"/>
          </w:tcPr>
          <w:p>
            <w:pPr>
              <w:pStyle w:val="TableContents"/>
              <w:bidi w:val="0"/>
              <w:spacing w:before="0" w:after="1"/>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c>
          <w:tcPr>
            <w:tcW w:w="517"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5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2"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three months ended June 30, 2025 and 2024 were $1.3 million and $1.7 million, respectively. The decrease of $0.4 million is primarily due to a $0.2 million decrease in legal fees and a $0.2 million decrease in annual meeting-related expenses, partially offset by a $0.1 million increase in payroll costs accrued as a result of key milestones achieved in the second quarter of 2025 under the 2025 Bonus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tbl>
      <w:tblPr>
        <w:tblW w:w="7795" w:type="dxa"/>
        <w:jc w:val="left"/>
        <w:tblInd w:w="0" w:type="dxa"/>
        <w:tblLayout w:type="fixed"/>
        <w:tblCellMar>
          <w:top w:w="0" w:type="dxa"/>
          <w:left w:w="0" w:type="dxa"/>
          <w:bottom w:w="0" w:type="dxa"/>
          <w:right w:w="0" w:type="dxa"/>
        </w:tblCellMar>
      </w:tblPr>
      <w:tblGrid>
        <w:gridCol w:w="2041"/>
        <w:gridCol w:w="326"/>
        <w:gridCol w:w="355"/>
        <w:gridCol w:w="531"/>
        <w:gridCol w:w="607"/>
        <w:gridCol w:w="355"/>
        <w:gridCol w:w="910"/>
        <w:gridCol w:w="361"/>
        <w:gridCol w:w="265"/>
        <w:gridCol w:w="531"/>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96035" cy="175260"/>
                      <wp:effectExtent l="0" t="0" r="0" b="0"/>
                      <wp:wrapNone/>
                      <wp:docPr id="250" name="Frame249"/>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25425" cy="175260"/>
                      <wp:effectExtent l="0" t="0" r="0" b="0"/>
                      <wp:wrapNone/>
                      <wp:docPr id="252" name="Frame25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37185" cy="175260"/>
                      <wp:effectExtent l="0" t="0" r="0" b="0"/>
                      <wp:wrapNone/>
                      <wp:docPr id="253" name="Frame252"/>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85445" cy="175260"/>
                      <wp:effectExtent l="0" t="0" r="0" b="0"/>
                      <wp:wrapNone/>
                      <wp:docPr id="254" name="Frame25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25425" cy="175260"/>
                      <wp:effectExtent l="0" t="0" r="0" b="0"/>
                      <wp:wrapNone/>
                      <wp:docPr id="255" name="Frame254"/>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77850" cy="175260"/>
                      <wp:effectExtent l="0" t="0" r="0" b="0"/>
                      <wp:wrapNone/>
                      <wp:docPr id="256" name="Frame255"/>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9235" cy="175260"/>
                      <wp:effectExtent l="0" t="0" r="0" b="0"/>
                      <wp:wrapNone/>
                      <wp:docPr id="257"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8275" cy="175260"/>
                      <wp:effectExtent l="0" t="0" r="0" b="0"/>
                      <wp:wrapNone/>
                      <wp:docPr id="258" name="Frame257"/>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37185" cy="175260"/>
                      <wp:effectExtent l="0" t="0" r="0" b="0"/>
                      <wp:wrapNone/>
                      <wp:docPr id="259" name="Frame258"/>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53085" cy="175260"/>
                      <wp:effectExtent l="0" t="0" r="0" b="0"/>
                      <wp:wrapNone/>
                      <wp:docPr id="261" name="Frame26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0660" cy="175260"/>
                      <wp:effectExtent l="0" t="0" r="0" b="0"/>
                      <wp:wrapNone/>
                      <wp:docPr id="262" name="Frame2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61"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07" w:type="dxa"/>
            <w:tcBorders/>
            <w:vAlign w:val="center"/>
          </w:tcPr>
          <w:p>
            <w:pPr>
              <w:pStyle w:val="TableContents"/>
              <w:bidi w:val="0"/>
              <w:spacing w:before="0" w:after="1"/>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607"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61"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 </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6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55"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1"/>
              <w:ind w:left="0" w:right="0" w:hanging="0"/>
              <w:jc w:val="left"/>
              <w:rPr/>
            </w:pPr>
            <w:r>
              <w:rPr/>
              <w:t> </w:t>
            </w:r>
          </w:p>
        </w:tc>
        <w:tc>
          <w:tcPr>
            <w:tcW w:w="5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for the three months ended June 30, 2025 and 2024 was $23,000 and $(0.3) million, respectively. Severance expense for the three months ended June 30, 2025 was related to separation with certain non-executive employees. The credit during the three months ended June 30, 2024 was a result of the finalization of the negotiated settlement and payroll taxes for our former CEO.</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Expenses from Abandoned Financing Transaction:</w:t>
      </w:r>
    </w:p>
    <w:p>
      <w:pPr>
        <w:pStyle w:val="TextBody"/>
        <w:bidi w:val="0"/>
        <w:spacing w:before="0" w:after="240"/>
        <w:ind w:left="0" w:right="0" w:hanging="0"/>
        <w:jc w:val="left"/>
        <w:rPr/>
      </w:pPr>
      <w:r>
        <w:rPr/>
        <w:t>​</w:t>
      </w:r>
    </w:p>
    <w:tbl>
      <w:tblPr>
        <w:tblW w:w="9776" w:type="dxa"/>
        <w:jc w:val="left"/>
        <w:tblInd w:w="0" w:type="dxa"/>
        <w:tblLayout w:type="fixed"/>
        <w:tblCellMar>
          <w:top w:w="0" w:type="dxa"/>
          <w:left w:w="0" w:type="dxa"/>
          <w:bottom w:w="0" w:type="dxa"/>
          <w:right w:w="0" w:type="dxa"/>
        </w:tblCellMar>
      </w:tblPr>
      <w:tblGrid>
        <w:gridCol w:w="4021"/>
        <w:gridCol w:w="326"/>
        <w:gridCol w:w="339"/>
        <w:gridCol w:w="749"/>
        <w:gridCol w:w="580"/>
        <w:gridCol w:w="339"/>
        <w:gridCol w:w="752"/>
        <w:gridCol w:w="361"/>
        <w:gridCol w:w="398"/>
        <w:gridCol w:w="398"/>
        <w:gridCol w:w="32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553335" cy="175260"/>
                      <wp:effectExtent l="0" t="0" r="0" b="0"/>
                      <wp:wrapNone/>
                      <wp:docPr id="263" name="Frame262"/>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5265" cy="175260"/>
                      <wp:effectExtent l="0" t="0" r="0" b="0"/>
                      <wp:wrapNone/>
                      <wp:docPr id="265" name="Frame26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75615" cy="175260"/>
                      <wp:effectExtent l="0" t="0" r="0" b="0"/>
                      <wp:wrapNone/>
                      <wp:docPr id="266" name="Frame265"/>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68300" cy="175260"/>
                      <wp:effectExtent l="0" t="0" r="0" b="0"/>
                      <wp:wrapNone/>
                      <wp:docPr id="267" name="Frame266"/>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5265" cy="175260"/>
                      <wp:effectExtent l="0" t="0" r="0" b="0"/>
                      <wp:wrapNone/>
                      <wp:docPr id="268" name="Frame26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77520" cy="175260"/>
                      <wp:effectExtent l="0" t="0" r="0" b="0"/>
                      <wp:wrapNone/>
                      <wp:docPr id="269" name="Frame268"/>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9235" cy="175260"/>
                      <wp:effectExtent l="0" t="0" r="0" b="0"/>
                      <wp:wrapNone/>
                      <wp:docPr id="270" name="Frame26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52730" cy="175260"/>
                      <wp:effectExtent l="0" t="0" r="0" b="0"/>
                      <wp:wrapNone/>
                      <wp:docPr id="271" name="Frame270"/>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52730" cy="175260"/>
                      <wp:effectExtent l="0" t="0" r="0" b="0"/>
                      <wp:wrapNone/>
                      <wp:docPr id="272" name="Frame271"/>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53085" cy="175260"/>
                      <wp:effectExtent l="0" t="0" r="0" b="0"/>
                      <wp:wrapNone/>
                      <wp:docPr id="274" name="Frame27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0660" cy="175260"/>
                      <wp:effectExtent l="0" t="0" r="0" b="0"/>
                      <wp:wrapNone/>
                      <wp:docPr id="275" name="Frame2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61"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center"/>
              <w:rPr/>
            </w:pPr>
            <w:r>
              <w:rPr/>
              <w:t>​</w:t>
            </w:r>
          </w:p>
        </w:tc>
        <w:tc>
          <w:tcPr>
            <w:tcW w:w="3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80" w:type="dxa"/>
            <w:tcBorders/>
            <w:vAlign w:val="center"/>
          </w:tcPr>
          <w:p>
            <w:pPr>
              <w:pStyle w:val="TableContents"/>
              <w:bidi w:val="0"/>
              <w:spacing w:before="0" w:after="1"/>
              <w:ind w:left="0" w:right="0" w:hanging="0"/>
              <w:jc w:val="left"/>
              <w:rPr/>
            </w:pPr>
            <w:r>
              <w:rPr/>
              <w:t>    </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580"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39" w:type="dxa"/>
            <w:tcBorders/>
            <w:vAlign w:val="center"/>
          </w:tcPr>
          <w:p>
            <w:pPr>
              <w:pStyle w:val="TableContents"/>
              <w:bidi w:val="0"/>
              <w:spacing w:before="0" w:after="1"/>
              <w:ind w:left="0" w:right="0" w:hanging="0"/>
              <w:jc w:val="left"/>
              <w:rPr/>
            </w:pPr>
            <w:r>
              <w:rPr/>
              <w:t> </w:t>
            </w:r>
          </w:p>
        </w:tc>
        <w:tc>
          <w:tcPr>
            <w:tcW w:w="7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98" w:type="dxa"/>
            <w:tcBorders/>
            <w:vAlign w:val="center"/>
          </w:tcPr>
          <w:p>
            <w:pPr>
              <w:pStyle w:val="TableContents"/>
              <w:bidi w:val="0"/>
              <w:spacing w:before="0" w:after="1"/>
              <w:ind w:left="0" w:right="0" w:hanging="0"/>
              <w:jc w:val="left"/>
              <w:rPr/>
            </w:pPr>
            <w:r>
              <w:rPr/>
              <w:t> </w:t>
            </w:r>
          </w:p>
        </w:tc>
        <w:tc>
          <w:tcPr>
            <w:tcW w:w="39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Expenses related to our abandoned financing transaction were $5,000 for the three months ended June 30, 2025, primarily attributable to our decision to terminate the previously announced convertible preferred equity offering under Regulation A. There was no such expense during the three months ended June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tbl>
      <w:tblPr>
        <w:tblW w:w="9051" w:type="dxa"/>
        <w:jc w:val="left"/>
        <w:tblInd w:w="0" w:type="dxa"/>
        <w:tblLayout w:type="fixed"/>
        <w:tblCellMar>
          <w:top w:w="0" w:type="dxa"/>
          <w:left w:w="0" w:type="dxa"/>
          <w:bottom w:w="0" w:type="dxa"/>
          <w:right w:w="0" w:type="dxa"/>
        </w:tblCellMar>
      </w:tblPr>
      <w:tblGrid>
        <w:gridCol w:w="3331"/>
        <w:gridCol w:w="326"/>
        <w:gridCol w:w="384"/>
        <w:gridCol w:w="630"/>
        <w:gridCol w:w="594"/>
        <w:gridCol w:w="384"/>
        <w:gridCol w:w="767"/>
        <w:gridCol w:w="326"/>
        <w:gridCol w:w="242"/>
        <w:gridCol w:w="554"/>
        <w:gridCol w:w="326"/>
        <w:gridCol w:w="871"/>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15185" cy="175260"/>
                      <wp:effectExtent l="0" t="0" r="0" b="0"/>
                      <wp:wrapNone/>
                      <wp:docPr id="276" name="Frame275"/>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43840" cy="175260"/>
                      <wp:effectExtent l="0" t="0" r="0" b="0"/>
                      <wp:wrapNone/>
                      <wp:docPr id="278" name="Frame277"/>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00050" cy="175260"/>
                      <wp:effectExtent l="0" t="0" r="0" b="0"/>
                      <wp:wrapNone/>
                      <wp:docPr id="279" name="Frame278"/>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77190" cy="175260"/>
                      <wp:effectExtent l="0" t="0" r="0" b="0"/>
                      <wp:wrapNone/>
                      <wp:docPr id="280" name="Frame279"/>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3840" cy="175260"/>
                      <wp:effectExtent l="0" t="0" r="0" b="0"/>
                      <wp:wrapNone/>
                      <wp:docPr id="281" name="Frame280"/>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87045" cy="175260"/>
                      <wp:effectExtent l="0" t="0" r="0" b="0"/>
                      <wp:wrapNone/>
                      <wp:docPr id="282" name="Frame28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53670" cy="175260"/>
                      <wp:effectExtent l="0" t="0" r="0" b="0"/>
                      <wp:wrapNone/>
                      <wp:docPr id="284" name="Frame28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51790" cy="175260"/>
                      <wp:effectExtent l="0" t="0" r="0" b="0"/>
                      <wp:wrapNone/>
                      <wp:docPr id="285" name="Frame284"/>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53085" cy="175260"/>
                      <wp:effectExtent l="0" t="0" r="0" b="0"/>
                      <wp:wrapNone/>
                      <wp:docPr id="287" name="Frame2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0660" cy="175260"/>
                      <wp:effectExtent l="0" t="0" r="0" b="0"/>
                      <wp:wrapNone/>
                      <wp:docPr id="288" name="Frame28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4" w:type="dxa"/>
            <w:tcBorders/>
            <w:vAlign w:val="center"/>
          </w:tcPr>
          <w:p>
            <w:pPr>
              <w:pStyle w:val="TableContents"/>
              <w:bidi w:val="0"/>
              <w:spacing w:before="0" w:after="1"/>
              <w:ind w:left="0" w:right="0" w:hanging="0"/>
              <w:jc w:val="center"/>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 </w:t>
            </w:r>
          </w:p>
        </w:tc>
        <w:tc>
          <w:tcPr>
            <w:tcW w:w="3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1"/>
              <w:ind w:left="0" w:right="0" w:hanging="0"/>
              <w:jc w:val="right"/>
              <w:rPr/>
            </w:pPr>
            <w:r>
              <w:rPr/>
              <w:t>—</w:t>
            </w:r>
          </w:p>
        </w:tc>
        <w:tc>
          <w:tcPr>
            <w:tcW w:w="594" w:type="dxa"/>
            <w:tcBorders/>
            <w:shd w:fill="CCEEFF" w:val="clear"/>
            <w:vAlign w:val="center"/>
          </w:tcPr>
          <w:p>
            <w:pPr>
              <w:pStyle w:val="TableContents"/>
              <w:bidi w:val="0"/>
              <w:spacing w:before="0" w:after="1"/>
              <w:ind w:left="0" w:right="0" w:hanging="0"/>
              <w:jc w:val="left"/>
              <w:rPr/>
            </w:pPr>
            <w:r>
              <w:rPr/>
              <w:t> </w:t>
            </w:r>
          </w:p>
        </w:tc>
        <w:tc>
          <w:tcPr>
            <w:tcW w:w="3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594" w:type="dxa"/>
            <w:tcBorders/>
            <w:vAlign w:val="center"/>
          </w:tcPr>
          <w:p>
            <w:pPr>
              <w:pStyle w:val="TableContents"/>
              <w:bidi w:val="0"/>
              <w:spacing w:before="0" w:after="1"/>
              <w:ind w:left="0" w:right="0" w:hanging="0"/>
              <w:jc w:val="left"/>
              <w:rPr/>
            </w:pPr>
            <w:r>
              <w:rPr/>
              <w:t>​</w:t>
            </w:r>
          </w:p>
        </w:tc>
        <w:tc>
          <w:tcPr>
            <w:tcW w:w="384"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fixed asset</w:t>
            </w:r>
          </w:p>
        </w:tc>
        <w:tc>
          <w:tcPr>
            <w:tcW w:w="326" w:type="dxa"/>
            <w:tcBorders/>
            <w:shd w:fill="CCEEFF" w:val="clear"/>
            <w:vAlign w:val="center"/>
          </w:tcPr>
          <w:p>
            <w:pPr>
              <w:pStyle w:val="TableContents"/>
              <w:bidi w:val="0"/>
              <w:spacing w:before="0" w:after="1"/>
              <w:ind w:left="0" w:right="0" w:hanging="0"/>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94" w:type="dxa"/>
            <w:tcBorders/>
            <w:shd w:fill="CCEEFF" w:val="clear"/>
            <w:vAlign w:val="center"/>
          </w:tcPr>
          <w:p>
            <w:pPr>
              <w:pStyle w:val="TableContents"/>
              <w:bidi w:val="0"/>
              <w:spacing w:before="0" w:after="1"/>
              <w:ind w:left="0" w:right="0" w:hanging="0"/>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1"/>
              <w:ind w:left="0" w:right="0" w:hanging="0"/>
              <w:jc w:val="left"/>
              <w:rPr/>
            </w:pPr>
            <w:r>
              <w:rPr/>
              <w:t> </w:t>
            </w:r>
          </w:p>
        </w:tc>
        <w:tc>
          <w:tcPr>
            <w:tcW w:w="3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94" w:type="dxa"/>
            <w:tcBorders/>
            <w:vAlign w:val="center"/>
          </w:tcPr>
          <w:p>
            <w:pPr>
              <w:pStyle w:val="TableContents"/>
              <w:bidi w:val="0"/>
              <w:spacing w:before="0" w:after="1"/>
              <w:ind w:left="0" w:right="0" w:hanging="0"/>
              <w:jc w:val="left"/>
              <w:rPr/>
            </w:pPr>
            <w:r>
              <w:rPr/>
              <w:t> </w:t>
            </w:r>
          </w:p>
        </w:tc>
        <w:tc>
          <w:tcPr>
            <w:tcW w:w="3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resulting from the change in fair value of the warrant liability was $0 for the three months ended June 30, 2025, compared to $0.3 million in income for the three months ended June 30, 2024. The change during the three months ended June 30, 2024 is due to a lower market value of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interest expense for the three months ended June 30, 2025 was $7,000, as we incurred $97,000 in interest expense from a short-term loan, partially offset by $89,000 in interest earned from our money market account. Interest income for the three months ended June 30, 2024 was $62,000 from interest earned on our money market account, and we had approximately $5,000 in interest expense from a short-term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Net Loss. </w:t>
      </w:r>
      <w:r>
        <w:rPr>
          <w:rFonts w:ascii="Times New Roman;Times;serif" w:hAnsi="Times New Roman;Times;serif"/>
          <w:sz w:val="20"/>
        </w:rPr>
        <w:t>As a result of the above, net loss for the three months ended June 30, 2025 was $2.8 million as compared to $4.3 million for the three months ended June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Six Months Ended June 30,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w:t>
      </w:r>
    </w:p>
    <w:tbl>
      <w:tblPr>
        <w:tblW w:w="9666" w:type="dxa"/>
        <w:jc w:val="left"/>
        <w:tblInd w:w="0" w:type="dxa"/>
        <w:tblLayout w:type="fixed"/>
        <w:tblCellMar>
          <w:top w:w="0" w:type="dxa"/>
          <w:left w:w="0" w:type="dxa"/>
          <w:bottom w:w="0" w:type="dxa"/>
          <w:right w:w="0" w:type="dxa"/>
        </w:tblCellMar>
      </w:tblPr>
      <w:tblGrid>
        <w:gridCol w:w="4021"/>
        <w:gridCol w:w="326"/>
        <w:gridCol w:w="243"/>
        <w:gridCol w:w="797"/>
        <w:gridCol w:w="376"/>
        <w:gridCol w:w="243"/>
        <w:gridCol w:w="919"/>
        <w:gridCol w:w="326"/>
        <w:gridCol w:w="211"/>
        <w:gridCol w:w="691"/>
        <w:gridCol w:w="32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553335" cy="175260"/>
                      <wp:effectExtent l="0" t="0" r="0" b="0"/>
                      <wp:wrapNone/>
                      <wp:docPr id="289" name="Frame288"/>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54305" cy="175260"/>
                      <wp:effectExtent l="0" t="0" r="0" b="0"/>
                      <wp:wrapNone/>
                      <wp:docPr id="291" name="Frame29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06095" cy="175260"/>
                      <wp:effectExtent l="0" t="0" r="0" b="0"/>
                      <wp:wrapNone/>
                      <wp:docPr id="292" name="Frame29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38760" cy="175260"/>
                      <wp:effectExtent l="0" t="0" r="0" b="0"/>
                      <wp:wrapNone/>
                      <wp:docPr id="293" name="Frame29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54305" cy="175260"/>
                      <wp:effectExtent l="0" t="0" r="0" b="0"/>
                      <wp:wrapNone/>
                      <wp:docPr id="294" name="Frame29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83565" cy="175260"/>
                      <wp:effectExtent l="0" t="0" r="0" b="0"/>
                      <wp:wrapNone/>
                      <wp:docPr id="295" name="Frame294"/>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8785" cy="175260"/>
                      <wp:effectExtent l="0" t="0" r="0" b="0"/>
                      <wp:wrapNone/>
                      <wp:docPr id="298" name="Frame2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53085" cy="175260"/>
                      <wp:effectExtent l="0" t="0" r="0" b="0"/>
                      <wp:wrapNone/>
                      <wp:docPr id="300" name="Frame29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0660" cy="175260"/>
                      <wp:effectExtent l="0" t="0" r="0" b="0"/>
                      <wp:wrapNone/>
                      <wp:docPr id="301" name="Frame3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40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1"/>
              <w:ind w:left="0" w:right="0" w:hanging="0"/>
              <w:jc w:val="left"/>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c>
          <w:tcPr>
            <w:tcW w:w="376" w:type="dxa"/>
            <w:tcBorders/>
            <w:shd w:fill="CCEEFF" w:val="clear"/>
            <w:vAlign w:val="center"/>
          </w:tcPr>
          <w:p>
            <w:pPr>
              <w:pStyle w:val="TableContents"/>
              <w:bidi w:val="0"/>
              <w:spacing w:before="0" w:after="1"/>
              <w:ind w:left="0" w:right="0" w:hanging="0"/>
              <w:jc w:val="center"/>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1,208</w:t>
            </w:r>
          </w:p>
        </w:tc>
        <w:tc>
          <w:tcPr>
            <w:tcW w:w="326" w:type="dxa"/>
            <w:tcBorders/>
            <w:shd w:fill="CCEEFF" w:val="clear"/>
            <w:vAlign w:val="center"/>
          </w:tcPr>
          <w:p>
            <w:pPr>
              <w:pStyle w:val="TableContents"/>
              <w:bidi w:val="0"/>
              <w:spacing w:before="0" w:after="1"/>
              <w:ind w:left="0" w:right="0" w:hanging="0"/>
              <w:jc w:val="center"/>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7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37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797" w:type="dxa"/>
            <w:tcBorders/>
            <w:vAlign w:val="center"/>
          </w:tcPr>
          <w:p>
            <w:pPr>
              <w:pStyle w:val="TableContents"/>
              <w:bidi w:val="0"/>
              <w:spacing w:before="0" w:after="1"/>
              <w:ind w:left="0" w:right="0" w:hanging="0"/>
              <w:jc w:val="right"/>
              <w:rPr/>
            </w:pPr>
            <w:r>
              <w:rPr/>
              <w:t>  </w:t>
            </w:r>
          </w:p>
        </w:tc>
        <w:tc>
          <w:tcPr>
            <w:tcW w:w="37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righ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37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righ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4,488</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7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righ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c>
          <w:tcPr>
            <w:tcW w:w="37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righ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7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7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6,822</w:t>
            </w:r>
          </w:p>
        </w:tc>
        <w:tc>
          <w:tcPr>
            <w:tcW w:w="37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11,195</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w:t>
            </w:r>
          </w:p>
        </w:tc>
        <w:tc>
          <w:tcPr>
            <w:tcW w:w="37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(11,316)</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797" w:type="dxa"/>
            <w:tcBorders/>
            <w:vAlign w:val="center"/>
          </w:tcPr>
          <w:p>
            <w:pPr>
              <w:pStyle w:val="TableContents"/>
              <w:bidi w:val="0"/>
              <w:spacing w:before="0" w:after="1"/>
              <w:ind w:left="0" w:right="0" w:hanging="0"/>
              <w:jc w:val="right"/>
              <w:rPr/>
            </w:pPr>
            <w:r>
              <w:rPr/>
              <w:t>  </w:t>
            </w:r>
          </w:p>
        </w:tc>
        <w:tc>
          <w:tcPr>
            <w:tcW w:w="37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righ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76" w:type="dxa"/>
            <w:tcBorders/>
            <w:shd w:fill="CCEEFF" w:val="clear"/>
            <w:vAlign w:val="center"/>
          </w:tcPr>
          <w:p>
            <w:pPr>
              <w:pStyle w:val="TableContents"/>
              <w:bidi w:val="0"/>
              <w:spacing w:before="0" w:after="1"/>
              <w:ind w:left="0" w:right="0" w:hanging="0"/>
              <w:jc w:val="left"/>
              <w:rPr/>
            </w:pPr>
            <w:r>
              <w:rPr/>
              <w:t> </w:t>
            </w:r>
          </w:p>
        </w:tc>
        <w:tc>
          <w:tcPr>
            <w:tcW w:w="243" w:type="dxa"/>
            <w:tcBorders/>
            <w:shd w:fill="CCEEFF" w:val="clear"/>
            <w:vAlign w:val="center"/>
          </w:tcPr>
          <w:p>
            <w:pPr>
              <w:pStyle w:val="TableContents"/>
              <w:bidi w:val="0"/>
              <w:spacing w:before="0" w:after="1"/>
              <w:ind w:left="0" w:right="0" w:hanging="0"/>
              <w:jc w:val="righ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76" w:type="dxa"/>
            <w:tcBorders/>
            <w:vAlign w:val="center"/>
          </w:tcPr>
          <w:p>
            <w:pPr>
              <w:pStyle w:val="TableContents"/>
              <w:bidi w:val="0"/>
              <w:spacing w:before="0" w:after="1"/>
              <w:ind w:left="0" w:right="0" w:hanging="0"/>
              <w:jc w:val="left"/>
              <w:rPr/>
            </w:pPr>
            <w:r>
              <w:rPr/>
              <w:t> </w:t>
            </w:r>
          </w:p>
        </w:tc>
        <w:tc>
          <w:tcPr>
            <w:tcW w:w="243" w:type="dxa"/>
            <w:tcBorders/>
            <w:vAlign w:val="center"/>
          </w:tcPr>
          <w:p>
            <w:pPr>
              <w:pStyle w:val="TableContents"/>
              <w:bidi w:val="0"/>
              <w:spacing w:before="0" w:after="1"/>
              <w:ind w:left="0" w:right="0" w:hanging="0"/>
              <w:jc w:val="right"/>
              <w:rPr/>
            </w:pPr>
            <w:r>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retirement of property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6" w:type="dxa"/>
            <w:tcBorders/>
            <w:shd w:fill="CCEEFF" w:val="clear"/>
            <w:vAlign w:val="center"/>
          </w:tcPr>
          <w:p>
            <w:pPr>
              <w:pStyle w:val="TableContents"/>
              <w:bidi w:val="0"/>
              <w:spacing w:before="0" w:after="1"/>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76" w:type="dxa"/>
            <w:tcBorders/>
            <w:vAlign w:val="center"/>
          </w:tcPr>
          <w:p>
            <w:pPr>
              <w:pStyle w:val="TableContents"/>
              <w:bidi w:val="0"/>
              <w:spacing w:before="0" w:after="1"/>
              <w:ind w:left="0" w:right="0" w:hanging="0"/>
              <w:jc w:val="left"/>
              <w:rPr/>
            </w:pPr>
            <w:r>
              <w:rPr/>
              <w:t> </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w:t>
            </w:r>
          </w:p>
        </w:tc>
        <w:tc>
          <w:tcPr>
            <w:tcW w:w="37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4,703</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six months ended June 30, 2025 and 2024, we recorded revenue of $1.3 million and $0.1 million, respectively. The 1,098% year over year increase is primarily due to the expansion of commercial applications with multinational enterprise retailers deploying our WPN technology in connection with their infrastructure modernization initiatives.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Costs and Expenses and Loss from Operations.</w:t>
      </w:r>
      <w:r>
        <w:rPr>
          <w:rFonts w:ascii="Times New Roman;Times;serif" w:hAnsi="Times New Roman;Times;serif"/>
          <w:sz w:val="20"/>
        </w:rPr>
        <w:t xml:space="preserve"> Costs and expenses are made up of cost of revenue, research and development, sales and marketing, general and administrative, severance expense and expenses from the abandoned financing transaction. Loss from operations for the six months ended June 30, 2025 and 2024 were $6.4 million and $11.3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tbl>
      <w:tblPr>
        <w:tblW w:w="7616" w:type="dxa"/>
        <w:jc w:val="left"/>
        <w:tblInd w:w="0" w:type="dxa"/>
        <w:tblLayout w:type="fixed"/>
        <w:tblCellMar>
          <w:top w:w="0" w:type="dxa"/>
          <w:left w:w="0" w:type="dxa"/>
          <w:bottom w:w="0" w:type="dxa"/>
          <w:right w:w="0" w:type="dxa"/>
        </w:tblCellMar>
      </w:tblPr>
      <w:tblGrid>
        <w:gridCol w:w="2041"/>
        <w:gridCol w:w="326"/>
        <w:gridCol w:w="335"/>
        <w:gridCol w:w="668"/>
        <w:gridCol w:w="573"/>
        <w:gridCol w:w="335"/>
        <w:gridCol w:w="668"/>
        <w:gridCol w:w="361"/>
        <w:gridCol w:w="265"/>
        <w:gridCol w:w="531"/>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296035" cy="175260"/>
                      <wp:effectExtent l="0" t="0" r="0" b="0"/>
                      <wp:wrapNone/>
                      <wp:docPr id="302" name="Frame30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2725" cy="175260"/>
                      <wp:effectExtent l="0" t="0" r="0" b="0"/>
                      <wp:wrapNone/>
                      <wp:docPr id="304" name="Frame30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24180" cy="175260"/>
                      <wp:effectExtent l="0" t="0" r="0" b="0"/>
                      <wp:wrapNone/>
                      <wp:docPr id="305" name="Frame304"/>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63855" cy="175260"/>
                      <wp:effectExtent l="0" t="0" r="0" b="0"/>
                      <wp:wrapNone/>
                      <wp:docPr id="306" name="Frame305"/>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2725" cy="175260"/>
                      <wp:effectExtent l="0" t="0" r="0" b="0"/>
                      <wp:wrapNone/>
                      <wp:docPr id="307" name="Frame30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24180" cy="175260"/>
                      <wp:effectExtent l="0" t="0" r="0" b="0"/>
                      <wp:wrapNone/>
                      <wp:docPr id="308" name="Frame307"/>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29235" cy="175260"/>
                      <wp:effectExtent l="0" t="0" r="0" b="0"/>
                      <wp:wrapNone/>
                      <wp:docPr id="309" name="Frame30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68275" cy="175260"/>
                      <wp:effectExtent l="0" t="0" r="0" b="0"/>
                      <wp:wrapNone/>
                      <wp:docPr id="310" name="Frame30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37185" cy="175260"/>
                      <wp:effectExtent l="0" t="0" r="0" b="0"/>
                      <wp:wrapNone/>
                      <wp:docPr id="311" name="Frame310"/>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53085" cy="175260"/>
                      <wp:effectExtent l="0" t="0" r="0" b="0"/>
                      <wp:wrapNone/>
                      <wp:docPr id="313" name="Frame31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0660" cy="175260"/>
                      <wp:effectExtent l="0" t="0" r="0" b="0"/>
                      <wp:wrapNone/>
                      <wp:docPr id="314" name="Frame3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1"/>
              <w:ind w:left="0" w:right="0" w:hanging="0"/>
              <w:jc w:val="left"/>
              <w:rPr/>
            </w:pPr>
            <w:r>
              <w:rPr/>
              <w:t>    </w:t>
            </w:r>
          </w:p>
        </w:tc>
        <w:tc>
          <w:tcPr>
            <w:tcW w:w="265"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73" w:type="dxa"/>
            <w:tcBorders/>
            <w:vAlign w:val="center"/>
          </w:tcPr>
          <w:p>
            <w:pPr>
              <w:pStyle w:val="TableContents"/>
              <w:bidi w:val="0"/>
              <w:spacing w:before="0" w:after="1"/>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center"/>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573"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61"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5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35"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$0.9 million and $0.2 million, respectively, for the six months ended June 30, 2025 and 2024. The increase is primarily due to higher sales volume of PowerBridge Pro transmitters that were shipped during the first and second quarters of 2025. With the ramp up of our volume manufacturing during the first and second quarters of 2025 and other strategic efforts made to optimize operations, product margins improved significantly, transitioning from a gross loss in 2025 of $0.1 million to a gross profit in 2025 of approximately $0.4 million, representing a 456% year over year improvement in gross profit.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7991" w:type="dxa"/>
        <w:jc w:val="left"/>
        <w:tblInd w:w="0" w:type="dxa"/>
        <w:tblLayout w:type="fixed"/>
        <w:tblCellMar>
          <w:top w:w="0" w:type="dxa"/>
          <w:left w:w="0" w:type="dxa"/>
          <w:bottom w:w="0" w:type="dxa"/>
          <w:right w:w="0" w:type="dxa"/>
        </w:tblCellMar>
      </w:tblPr>
      <w:tblGrid>
        <w:gridCol w:w="2311"/>
        <w:gridCol w:w="326"/>
        <w:gridCol w:w="282"/>
        <w:gridCol w:w="765"/>
        <w:gridCol w:w="484"/>
        <w:gridCol w:w="282"/>
        <w:gridCol w:w="765"/>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67485" cy="175260"/>
                      <wp:effectExtent l="0" t="0" r="0" b="0"/>
                      <wp:wrapNone/>
                      <wp:docPr id="315" name="Frame31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79070" cy="175260"/>
                      <wp:effectExtent l="0" t="0" r="0" b="0"/>
                      <wp:wrapNone/>
                      <wp:docPr id="317" name="Frame31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85775" cy="175260"/>
                      <wp:effectExtent l="0" t="0" r="0" b="0"/>
                      <wp:wrapNone/>
                      <wp:docPr id="318" name="Frame317"/>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07340" cy="175260"/>
                      <wp:effectExtent l="0" t="0" r="0" b="0"/>
                      <wp:wrapNone/>
                      <wp:docPr id="319" name="Frame31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79070" cy="175260"/>
                      <wp:effectExtent l="0" t="0" r="0" b="0"/>
                      <wp:wrapNone/>
                      <wp:docPr id="320" name="Frame31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85775" cy="175260"/>
                      <wp:effectExtent l="0" t="0" r="0" b="0"/>
                      <wp:wrapNone/>
                      <wp:docPr id="321" name="Frame320"/>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29235" cy="175260"/>
                      <wp:effectExtent l="0" t="0" r="0" b="0"/>
                      <wp:wrapNone/>
                      <wp:docPr id="322" name="Frame3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38785" cy="175260"/>
                      <wp:effectExtent l="0" t="0" r="0" b="0"/>
                      <wp:wrapNone/>
                      <wp:docPr id="324" name="Frame3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53085" cy="175260"/>
                      <wp:effectExtent l="0" t="0" r="0" b="0"/>
                      <wp:wrapNone/>
                      <wp:docPr id="326" name="Frame32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0660" cy="175260"/>
                      <wp:effectExtent l="0" t="0" r="0" b="0"/>
                      <wp:wrapNone/>
                      <wp:docPr id="327" name="Frame3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84"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center"/>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484"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center"/>
              <w:rPr/>
            </w:pPr>
            <w:r>
              <w:rPr/>
              <w:t>​</w:t>
            </w:r>
          </w:p>
        </w:tc>
        <w:tc>
          <w:tcPr>
            <w:tcW w:w="28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4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center"/>
              <w:rPr/>
            </w:pPr>
            <w:r>
              <w:rPr/>
              <w:t>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were $2.3 million and $4.5 million, respectively, for the six months ended June 30, 2025 and 2024. The decrease of $2.2 million is primarily due to a $1.1 million in payroll costs from a lower headcount within the department, a $0.9 million decrease in engineering components, circuit boards and software and a $0.1 million decrease in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tbl>
      <w:tblPr>
        <w:tblW w:w="7615" w:type="dxa"/>
        <w:jc w:val="left"/>
        <w:tblInd w:w="0" w:type="dxa"/>
        <w:tblLayout w:type="fixed"/>
        <w:tblCellMar>
          <w:top w:w="0" w:type="dxa"/>
          <w:left w:w="0" w:type="dxa"/>
          <w:bottom w:w="0" w:type="dxa"/>
          <w:right w:w="0" w:type="dxa"/>
        </w:tblCellMar>
      </w:tblPr>
      <w:tblGrid>
        <w:gridCol w:w="2041"/>
        <w:gridCol w:w="326"/>
        <w:gridCol w:w="282"/>
        <w:gridCol w:w="765"/>
        <w:gridCol w:w="484"/>
        <w:gridCol w:w="282"/>
        <w:gridCol w:w="765"/>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296035" cy="175260"/>
                      <wp:effectExtent l="0" t="0" r="0" b="0"/>
                      <wp:wrapNone/>
                      <wp:docPr id="328" name="Frame327"/>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79070" cy="175260"/>
                      <wp:effectExtent l="0" t="0" r="0" b="0"/>
                      <wp:wrapNone/>
                      <wp:docPr id="330" name="Frame32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85775" cy="175260"/>
                      <wp:effectExtent l="0" t="0" r="0" b="0"/>
                      <wp:wrapNone/>
                      <wp:docPr id="331" name="Frame330"/>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307340" cy="175260"/>
                      <wp:effectExtent l="0" t="0" r="0" b="0"/>
                      <wp:wrapNone/>
                      <wp:docPr id="332" name="Frame331"/>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9070" cy="175260"/>
                      <wp:effectExtent l="0" t="0" r="0" b="0"/>
                      <wp:wrapNone/>
                      <wp:docPr id="333" name="Frame33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85775" cy="175260"/>
                      <wp:effectExtent l="0" t="0" r="0" b="0"/>
                      <wp:wrapNone/>
                      <wp:docPr id="334" name="Frame33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29235" cy="175260"/>
                      <wp:effectExtent l="0" t="0" r="0" b="0"/>
                      <wp:wrapNone/>
                      <wp:docPr id="335" name="Frame3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53670" cy="175260"/>
                      <wp:effectExtent l="0" t="0" r="0" b="0"/>
                      <wp:wrapNone/>
                      <wp:docPr id="336" name="Frame33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51790" cy="175260"/>
                      <wp:effectExtent l="0" t="0" r="0" b="0"/>
                      <wp:wrapNone/>
                      <wp:docPr id="337" name="Frame336"/>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53085" cy="175260"/>
                      <wp:effectExtent l="0" t="0" r="0" b="0"/>
                      <wp:wrapNone/>
                      <wp:docPr id="339" name="Frame33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0660" cy="175260"/>
                      <wp:effectExtent l="0" t="0" r="0" b="0"/>
                      <wp:wrapNone/>
                      <wp:docPr id="340" name="Frame3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84"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center"/>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484"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28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4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for the six months ended June 30, 2025 and 2024 were $1.3 million and $1.7 million, respectively. The decrease of $0.4 million is primarily due to a $0.3 million decrease in public relations, consulting and recruiting fees and a $0.1 million decrease in marketing, promotional and tradeshow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tbl>
      <w:tblPr>
        <w:tblW w:w="7991" w:type="dxa"/>
        <w:jc w:val="left"/>
        <w:tblInd w:w="0" w:type="dxa"/>
        <w:tblLayout w:type="fixed"/>
        <w:tblCellMar>
          <w:top w:w="0" w:type="dxa"/>
          <w:left w:w="0" w:type="dxa"/>
          <w:bottom w:w="0" w:type="dxa"/>
          <w:right w:w="0" w:type="dxa"/>
        </w:tblCellMar>
      </w:tblPr>
      <w:tblGrid>
        <w:gridCol w:w="2311"/>
        <w:gridCol w:w="326"/>
        <w:gridCol w:w="282"/>
        <w:gridCol w:w="765"/>
        <w:gridCol w:w="484"/>
        <w:gridCol w:w="282"/>
        <w:gridCol w:w="765"/>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467485" cy="175260"/>
                      <wp:effectExtent l="0" t="0" r="0" b="0"/>
                      <wp:wrapNone/>
                      <wp:docPr id="341" name="Frame34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79070" cy="175260"/>
                      <wp:effectExtent l="0" t="0" r="0" b="0"/>
                      <wp:wrapNone/>
                      <wp:docPr id="343" name="Frame34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85775" cy="175260"/>
                      <wp:effectExtent l="0" t="0" r="0" b="0"/>
                      <wp:wrapNone/>
                      <wp:docPr id="344" name="Frame34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07340" cy="175260"/>
                      <wp:effectExtent l="0" t="0" r="0" b="0"/>
                      <wp:wrapNone/>
                      <wp:docPr id="345" name="Frame344"/>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79070" cy="175260"/>
                      <wp:effectExtent l="0" t="0" r="0" b="0"/>
                      <wp:wrapNone/>
                      <wp:docPr id="346" name="Frame34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85775" cy="175260"/>
                      <wp:effectExtent l="0" t="0" r="0" b="0"/>
                      <wp:wrapNone/>
                      <wp:docPr id="347" name="Frame346"/>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29235" cy="175260"/>
                      <wp:effectExtent l="0" t="0" r="0" b="0"/>
                      <wp:wrapNone/>
                      <wp:docPr id="348" name="Frame3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8785" cy="175260"/>
                      <wp:effectExtent l="0" t="0" r="0" b="0"/>
                      <wp:wrapNone/>
                      <wp:docPr id="350" name="Frame3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53085" cy="175260"/>
                      <wp:effectExtent l="0" t="0" r="0" b="0"/>
                      <wp:wrapNone/>
                      <wp:docPr id="352" name="Frame35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0660" cy="175260"/>
                      <wp:effectExtent l="0" t="0" r="0" b="0"/>
                      <wp:wrapNone/>
                      <wp:docPr id="353" name="Frame3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84" w:type="dxa"/>
            <w:tcBorders/>
            <w:vAlign w:val="center"/>
          </w:tcPr>
          <w:p>
            <w:pPr>
              <w:pStyle w:val="TableContents"/>
              <w:bidi w:val="0"/>
              <w:spacing w:before="0" w:after="1"/>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center"/>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w:t>
            </w:r>
          </w:p>
        </w:tc>
        <w:tc>
          <w:tcPr>
            <w:tcW w:w="484"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28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4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2" w:type="dxa"/>
            <w:tcBorders/>
            <w:vAlign w:val="center"/>
          </w:tcPr>
          <w:p>
            <w:pPr>
              <w:pStyle w:val="TableContents"/>
              <w:bidi w:val="0"/>
              <w:spacing w:before="0" w:after="1"/>
              <w:ind w:left="0" w:right="0" w:hanging="0"/>
              <w:jc w:val="righ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six months ended June 30, 2025 and 2024 were $2.2 million and $3.7 million, respectively. The decrease of $1.5 million is primarily due to a $0.7 million decrease in legal fees, a $0.3 million decrease in annual meeting-related expenses, a $0.3 million decrease in consulting, investor relations, recruiting and third-party services, a $0.1 million decrease in insurance premiums and a $0.1 million decrease in stock-based compensation, partially offset by a $0.1 million increase in payroll costs accrued as a result of key milestones achieved in the second quarter of 2025 under the 2025 Bonus Plan.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tbl>
      <w:tblPr>
        <w:tblW w:w="7615" w:type="dxa"/>
        <w:jc w:val="left"/>
        <w:tblInd w:w="0" w:type="dxa"/>
        <w:tblLayout w:type="fixed"/>
        <w:tblCellMar>
          <w:top w:w="0" w:type="dxa"/>
          <w:left w:w="0" w:type="dxa"/>
          <w:bottom w:w="0" w:type="dxa"/>
          <w:right w:w="0" w:type="dxa"/>
        </w:tblCellMar>
      </w:tblPr>
      <w:tblGrid>
        <w:gridCol w:w="2041"/>
        <w:gridCol w:w="326"/>
        <w:gridCol w:w="306"/>
        <w:gridCol w:w="612"/>
        <w:gridCol w:w="524"/>
        <w:gridCol w:w="306"/>
        <w:gridCol w:w="830"/>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96035" cy="175260"/>
                      <wp:effectExtent l="0" t="0" r="0" b="0"/>
                      <wp:wrapNone/>
                      <wp:docPr id="354" name="Frame353"/>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94310" cy="175260"/>
                      <wp:effectExtent l="0" t="0" r="0" b="0"/>
                      <wp:wrapNone/>
                      <wp:docPr id="356" name="Frame355"/>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88620" cy="175260"/>
                      <wp:effectExtent l="0" t="0" r="0" b="0"/>
                      <wp:wrapNone/>
                      <wp:docPr id="357" name="Frame356"/>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32740" cy="175260"/>
                      <wp:effectExtent l="0" t="0" r="0" b="0"/>
                      <wp:wrapNone/>
                      <wp:docPr id="358" name="Frame357"/>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94310" cy="175260"/>
                      <wp:effectExtent l="0" t="0" r="0" b="0"/>
                      <wp:wrapNone/>
                      <wp:docPr id="359" name="Frame358"/>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27050" cy="175260"/>
                      <wp:effectExtent l="0" t="0" r="0" b="0"/>
                      <wp:wrapNone/>
                      <wp:docPr id="360" name="Frame35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9235" cy="175260"/>
                      <wp:effectExtent l="0" t="0" r="0" b="0"/>
                      <wp:wrapNone/>
                      <wp:docPr id="361" name="Frame3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53670" cy="175260"/>
                      <wp:effectExtent l="0" t="0" r="0" b="0"/>
                      <wp:wrapNone/>
                      <wp:docPr id="362" name="Frame36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51790" cy="175260"/>
                      <wp:effectExtent l="0" t="0" r="0" b="0"/>
                      <wp:wrapNone/>
                      <wp:docPr id="363" name="Frame362"/>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53085" cy="175260"/>
                      <wp:effectExtent l="0" t="0" r="0" b="0"/>
                      <wp:wrapNone/>
                      <wp:docPr id="365" name="Frame36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0660" cy="175260"/>
                      <wp:effectExtent l="0" t="0" r="0" b="0"/>
                      <wp:wrapNone/>
                      <wp:docPr id="366" name="Frame3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4" w:type="dxa"/>
            <w:tcBorders/>
            <w:vAlign w:val="center"/>
          </w:tcPr>
          <w:p>
            <w:pPr>
              <w:pStyle w:val="TableContents"/>
              <w:bidi w:val="0"/>
              <w:spacing w:before="0" w:after="1"/>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524"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 </w:t>
            </w:r>
          </w:p>
        </w:tc>
        <w:tc>
          <w:tcPr>
            <w:tcW w:w="306"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5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for the six months ended June 30, 2025 and 2024 was $0.4 million and $1.3 million, respectively. Severance expense for the six months ended June 30, 2025 was related to separation with certain non-executive employees. The severance expense for the six months ended June 30, 2024 was primarily due to the departure of our former CEO during 2024 for which $1.2 million in severance expense was recorded.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Expenses from Abandoned Financing Transaction:</w:t>
      </w:r>
    </w:p>
    <w:tbl>
      <w:tblPr>
        <w:tblW w:w="9596" w:type="dxa"/>
        <w:jc w:val="left"/>
        <w:tblInd w:w="0" w:type="dxa"/>
        <w:tblLayout w:type="fixed"/>
        <w:tblCellMar>
          <w:top w:w="0" w:type="dxa"/>
          <w:left w:w="0" w:type="dxa"/>
          <w:bottom w:w="0" w:type="dxa"/>
          <w:right w:w="0" w:type="dxa"/>
        </w:tblCellMar>
      </w:tblPr>
      <w:tblGrid>
        <w:gridCol w:w="4021"/>
        <w:gridCol w:w="326"/>
        <w:gridCol w:w="376"/>
        <w:gridCol w:w="750"/>
        <w:gridCol w:w="643"/>
        <w:gridCol w:w="194"/>
        <w:gridCol w:w="616"/>
        <w:gridCol w:w="361"/>
        <w:gridCol w:w="265"/>
        <w:gridCol w:w="531"/>
        <w:gridCol w:w="326"/>
        <w:gridCol w:w="871"/>
        <w:gridCol w:w="316"/>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553335" cy="175260"/>
                      <wp:effectExtent l="0" t="0" r="0" b="0"/>
                      <wp:wrapNone/>
                      <wp:docPr id="367" name="Frame366"/>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38760" cy="175260"/>
                      <wp:effectExtent l="0" t="0" r="0" b="0"/>
                      <wp:wrapNone/>
                      <wp:docPr id="369" name="Frame368"/>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76250" cy="175260"/>
                      <wp:effectExtent l="0" t="0" r="0" b="0"/>
                      <wp:wrapNone/>
                      <wp:docPr id="370" name="Frame369"/>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08305" cy="175260"/>
                      <wp:effectExtent l="0" t="0" r="0" b="0"/>
                      <wp:wrapNone/>
                      <wp:docPr id="371" name="Frame370"/>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3190" cy="175260"/>
                      <wp:effectExtent l="0" t="0" r="0" b="0"/>
                      <wp:wrapNone/>
                      <wp:docPr id="372" name="Frame371"/>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91160" cy="175260"/>
                      <wp:effectExtent l="0" t="0" r="0" b="0"/>
                      <wp:wrapNone/>
                      <wp:docPr id="373" name="Frame37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29235" cy="175260"/>
                      <wp:effectExtent l="0" t="0" r="0" b="0"/>
                      <wp:wrapNone/>
                      <wp:docPr id="374" name="Frame3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8275" cy="175260"/>
                      <wp:effectExtent l="0" t="0" r="0" b="0"/>
                      <wp:wrapNone/>
                      <wp:docPr id="375" name="Frame37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37185" cy="175260"/>
                      <wp:effectExtent l="0" t="0" r="0" b="0"/>
                      <wp:wrapNone/>
                      <wp:docPr id="376" name="Frame375"/>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53085" cy="175260"/>
                      <wp:effectExtent l="0" t="0" r="0" b="0"/>
                      <wp:wrapNone/>
                      <wp:docPr id="378" name="Frame37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0660" cy="175260"/>
                      <wp:effectExtent l="0" t="0" r="0" b="0"/>
                      <wp:wrapNone/>
                      <wp:docPr id="379" name="Frame3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61"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43" w:type="dxa"/>
            <w:tcBorders/>
            <w:vAlign w:val="center"/>
          </w:tcPr>
          <w:p>
            <w:pPr>
              <w:pStyle w:val="TableContents"/>
              <w:bidi w:val="0"/>
              <w:spacing w:before="0" w:after="0"/>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from abandoned financing 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643"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4"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Expenses related to our abandoned financing transaction were $0.7 million for the six months ended June 30, 2025, primarily attributable to our decision to terminate the previously announced convertible preferred equity offering under Regulation A. There was no such expense during the six months ended June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tbl>
      <w:tblPr>
        <w:tblW w:w="8872" w:type="dxa"/>
        <w:jc w:val="left"/>
        <w:tblInd w:w="0" w:type="dxa"/>
        <w:tblLayout w:type="fixed"/>
        <w:tblCellMar>
          <w:top w:w="0" w:type="dxa"/>
          <w:left w:w="0" w:type="dxa"/>
          <w:bottom w:w="0" w:type="dxa"/>
          <w:right w:w="0" w:type="dxa"/>
        </w:tblCellMar>
      </w:tblPr>
      <w:tblGrid>
        <w:gridCol w:w="3331"/>
        <w:gridCol w:w="326"/>
        <w:gridCol w:w="339"/>
        <w:gridCol w:w="701"/>
        <w:gridCol w:w="524"/>
        <w:gridCol w:w="339"/>
        <w:gridCol w:w="677"/>
        <w:gridCol w:w="326"/>
        <w:gridCol w:w="242"/>
        <w:gridCol w:w="554"/>
        <w:gridCol w:w="326"/>
        <w:gridCol w:w="871"/>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15185" cy="175260"/>
                      <wp:effectExtent l="0" t="0" r="0" b="0"/>
                      <wp:wrapNone/>
                      <wp:docPr id="380" name="Frame37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5265" cy="175260"/>
                      <wp:effectExtent l="0" t="0" r="0" b="0"/>
                      <wp:wrapNone/>
                      <wp:docPr id="382" name="Frame38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45135" cy="175260"/>
                      <wp:effectExtent l="0" t="0" r="0" b="0"/>
                      <wp:wrapNone/>
                      <wp:docPr id="383" name="Frame382"/>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32740" cy="175260"/>
                      <wp:effectExtent l="0" t="0" r="0" b="0"/>
                      <wp:wrapNone/>
                      <wp:docPr id="384" name="Frame383"/>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5265" cy="175260"/>
                      <wp:effectExtent l="0" t="0" r="0" b="0"/>
                      <wp:wrapNone/>
                      <wp:docPr id="385" name="Frame38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29895" cy="175260"/>
                      <wp:effectExtent l="0" t="0" r="0" b="0"/>
                      <wp:wrapNone/>
                      <wp:docPr id="386" name="Frame38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53670" cy="175260"/>
                      <wp:effectExtent l="0" t="0" r="0" b="0"/>
                      <wp:wrapNone/>
                      <wp:docPr id="388" name="Frame38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51790" cy="175260"/>
                      <wp:effectExtent l="0" t="0" r="0" b="0"/>
                      <wp:wrapNone/>
                      <wp:docPr id="389" name="Frame388"/>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53085" cy="175260"/>
                      <wp:effectExtent l="0" t="0" r="0" b="0"/>
                      <wp:wrapNone/>
                      <wp:docPr id="391" name="Frame3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0660" cy="175260"/>
                      <wp:effectExtent l="0" t="0" r="0" b="0"/>
                      <wp:wrapNone/>
                      <wp:docPr id="392" name="Frame3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26" w:type="dxa"/>
            <w:tcBorders/>
            <w:vAlign w:val="center"/>
          </w:tcPr>
          <w:p>
            <w:pPr>
              <w:pStyle w:val="TableContents"/>
              <w:bidi w:val="0"/>
              <w:spacing w:before="0" w:after="0"/>
              <w:ind w:left="0" w:right="0" w:hanging="0"/>
              <w:jc w:val="center"/>
              <w:rPr/>
            </w:pPr>
            <w:r>
              <w:rPr/>
              <w:t>    </w:t>
            </w:r>
          </w:p>
        </w:tc>
        <w:tc>
          <w:tcPr>
            <w:tcW w:w="24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4" w:type="dxa"/>
            <w:tcBorders/>
            <w:vAlign w:val="center"/>
          </w:tcPr>
          <w:p>
            <w:pPr>
              <w:pStyle w:val="TableContents"/>
              <w:bidi w:val="0"/>
              <w:spacing w:before="0" w:after="0"/>
              <w:ind w:left="0" w:right="0" w:hanging="0"/>
              <w:jc w:val="left"/>
              <w:rPr/>
            </w:pPr>
            <w:r>
              <w:rPr/>
              <w:t>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0"/>
              <w:ind w:left="0" w:right="0" w:hanging="0"/>
              <w:jc w:val="center"/>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524"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center"/>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524" w:type="dxa"/>
            <w:tcBorders/>
            <w:vAlign w:val="center"/>
          </w:tcPr>
          <w:p>
            <w:pPr>
              <w:pStyle w:val="TableContents"/>
              <w:bidi w:val="0"/>
              <w:spacing w:before="0" w:after="0"/>
              <w:ind w:left="0" w:right="0" w:hanging="0"/>
              <w:jc w:val="right"/>
              <w:rPr/>
            </w:pPr>
            <w:r>
              <w:rPr/>
              <w:t> </w:t>
            </w:r>
          </w:p>
        </w:tc>
        <w:tc>
          <w:tcPr>
            <w:tcW w:w="339"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retirement of fixed asset</w:t>
            </w:r>
          </w:p>
        </w:tc>
        <w:tc>
          <w:tcPr>
            <w:tcW w:w="326" w:type="dxa"/>
            <w:tcBorders/>
            <w:shd w:fill="CCEEFF" w:val="clear"/>
            <w:vAlign w:val="center"/>
          </w:tcPr>
          <w:p>
            <w:pPr>
              <w:pStyle w:val="TableContents"/>
              <w:bidi w:val="0"/>
              <w:spacing w:before="0" w:after="0"/>
              <w:ind w:left="0" w:right="0" w:hanging="0"/>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24" w:type="dxa"/>
            <w:tcBorders/>
            <w:shd w:fill="CCEEFF" w:val="clear"/>
            <w:vAlign w:val="center"/>
          </w:tcPr>
          <w:p>
            <w:pPr>
              <w:pStyle w:val="TableContents"/>
              <w:bidi w:val="0"/>
              <w:spacing w:before="0" w:after="0"/>
              <w:ind w:left="0" w:right="0" w:hanging="0"/>
              <w:jc w:val="righ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524" w:type="dxa"/>
            <w:tcBorders/>
            <w:vAlign w:val="center"/>
          </w:tcPr>
          <w:p>
            <w:pPr>
              <w:pStyle w:val="TableContents"/>
              <w:bidi w:val="0"/>
              <w:spacing w:before="0" w:after="0"/>
              <w:ind w:left="0" w:right="0" w:hanging="0"/>
              <w:jc w:val="righ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Other income resulting from the change in fair value of the warrant liability was $0.3 million for the six months ended June 30, 2025, consistent with $0.3 million for the six months ended June 30, 2024.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Net interest expense for the six months ended June 30, 2025 was $29,000, as we incurred $284,000 in interest expense from a short-term loan, partially offset by $255,000 in interest earned from our money market account. Interest income for the six months ended June 30, 2024 was $209,000 from interest earned on our money market account, offset by $4,000 in interest expense.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sz w:val="20"/>
        </w:rPr>
        <w:t xml:space="preserve">Net Loss. </w:t>
      </w:r>
      <w:r>
        <w:rPr>
          <w:rFonts w:ascii="Times New Roman;Times;serif" w:hAnsi="Times New Roman;Times;serif"/>
          <w:sz w:val="20"/>
        </w:rPr>
        <w:t>As a result of the above, net loss for the six months ended June 30, 2025 was $6.2 million as compared to $10.9 million for the six months ended June 30, 2024.</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ATM Offering Program</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June 21, 2024, we entered into the At the Market Offering Agreement with H.C. Wainwright &amp; Co., LLC, as sales agent, pursuant to which we could issue and sell of up to $3.45 million in shares of our common stock (as amended to date, the “ATM Program”). During the year ended December 31, 2024, we sold 6,851,753 shares of our common stock under the ATM Program for net proceeds of approximately $3.1 million (net of commissions and other related offering expenses of approximately $0.3 million).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2025, we sold 6,793,371 shares of our common stock under the ATM Program for net proceeds of approximately $2.0 million (net of commissions and other related offering expenses of approximately $0.1 million). During the six months ended June 30, 2025, we sold 25,496,676 shares of our common stock under the ATM Program for net proceeds of approximately $15.8 million (net of commissions and other related offering expenses of approximately $1.0 million). As of June 30, 2025, approximately $77.2 million in shares of common stock remained available for issuance under the ATM Program, subject to availability of authorized shares.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From July 1, 2025 through July 28, 2025, we settled sales of 4,400,469 shares of common stock for net proceeds of approximately $1.7 million under the ATM Program.</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Agile Subordinated Loan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Effective October 1, 2024, we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“Original Term Loan”). Principal and interest on the Original Term Loan in the aggregate amount of $756,000 was to be repaid in weekly payments of $27,000 commencing on October 14, 2024 and fully repaid on or before the maturity date of April 21, 2025.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Effective November 5, 2024, we entered into an amended subordinated business loan agreement with the Lender (the “Amended Loan Agreement”) to refinance the Original Term Loan. The Amended Loan Agreement provided for a new term loan of $997,000, with the ability to receive additional term loans of up to $1.6 million, subject to certain conditions (such new loans, the “New Term Loan”). Principal and interest on the New Term Loan in the aggregate amount of $1,415,740 was repaid in weekly payments of approximately $39,000 and was fully repaid before the maturity date of July 17, 2025 on July 7, 2025. The proceeds of the New Term Loan were used to repay in full the Original Term Loan, which had a settlement value of $648,000 on November 5, 2024. The New Term Loan was expressly subordinated to our obligations on certain senior indebtedness of the Company as provided in the Amended Loan Agreement. As of June 30, 2025, we owed approximately $0.1 million on the “Amended Loan Agreement.”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On July 7, 2025, we paid off all outstanding amounts owed to the Lender. There are no further obligations under the Amended Loan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2025 and 2024, we recorded revenue of $1.3 million and $0.1 million, respectively. We incurred net losses of $6.2 million and $10.9 million for the six months ended June 30, 2025 and 2024, respectively. Net cash used in operating activities was $7.5 million and $10.8 million for the six months ended June 30, 2025 and 2024, respectively. As of June 30, 2025, the Company had cash and cash equivalents of $8.7 million. We are currently meeting our liquidity requirements through the proceeds of the ATM Program (as defined above) that raised net proceeds of $15.8 million during the six months ended June 30,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Accordingly, we expect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our on-going and strategic plans.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Based on current operating levels and further cost reductions implemented during the first half of 2025, the Company believes it has sufficient cash on hand and access to capital to fund operations for the next 12 months.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Operating Activities - </w:t>
      </w:r>
      <w:r>
        <w:rPr>
          <w:rFonts w:ascii="Times New Roman;Times;serif" w:hAnsi="Times New Roman;Times;serif"/>
          <w:sz w:val="20"/>
        </w:rPr>
        <w:t>During the six months ended June 30, 2025, cash flows used in operating activities were $7.5 million, consisting of a net loss of $6.2 million, less adjustments to reconcile net loss to net cash used in operating activities aggregating $0.1 million (principally stock-based compensation of $0.2 million and depreciation and amortization and amortization of short-term loan fees totaling approximately $0.1 million, partially offset by a change in fair value of warrant liability of $0.3 million), a $1.1 million decrease in accounts payable, a $0.6 million increase in accounts receivable, a $0.3 million decrease in operating lease liabilities and a $0.2 million increase in inventory, partially offset by a $0.4 million decrease in operating lease right-of-use assets and a $0.3 million decrease in prepaid expenses and other current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2024, cash flows used in operating activities were $10.8 million, consisting of a net loss of $10.9 million, less adjustments to reconcile net loss to net cash used in operating activities aggregating $0.4 million (principally stock-based compensation of $0.5 million, depreciation and amortization of $0.1 million, partially offset by a change in fair value of warrant liability of $0.3 million), a $0.3 million decrease in accrued expenses, a $0.1 million increase in inventory and a $0.1 million decrease in accounts payable, partially offset by a $0.1 million decrease in prepaid expenses and other current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Investing Activities - </w:t>
      </w:r>
      <w:r>
        <w:rPr>
          <w:rFonts w:ascii="Times New Roman;Times;serif" w:hAnsi="Times New Roman;Times;serif"/>
          <w:sz w:val="20"/>
        </w:rPr>
        <w:t>During the six months ended June 30, 2025 and 2024, cash flows used in investing activities were $37,000 and $58,000, respectively. A small amount of hardware and equipment was purchased during each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Financing Activities - </w:t>
      </w:r>
      <w:r>
        <w:rPr>
          <w:rFonts w:ascii="Times New Roman;Times;serif" w:hAnsi="Times New Roman;Times;serif"/>
          <w:sz w:val="20"/>
        </w:rPr>
        <w:t>During the six months ended June 30, 2025, cash flows provided by financing activities were $14.9 million, which primarily consisted of $15.8 million in net proceeds from the sale of shares of our common stock under the ATM Program, partially offset by $0.8 million in repayments of a short-term loan and $0.1 million in repayments of financed insurance. During the six months ended June 30, 2024, cash flows provided by financing activities were $1.8 million, which primarily consisted of $1.8 million in net proceeds from a registered direct offering that included the sale of common stock, pre-funded warrants and warrants.</w:t>
      </w:r>
    </w:p>
    <w:p>
      <w:pPr>
        <w:pStyle w:val="TextBody"/>
        <w:bidi w:val="0"/>
        <w:spacing w:before="0" w:after="240"/>
        <w:ind w:left="0" w:right="0" w:hanging="0"/>
        <w:jc w:val="left"/>
        <w:rPr>
          <w:rFonts w:ascii="Times New Roman;Times;serif" w:hAnsi="Times New Roman;Times;serif"/>
          <w:b/>
          <w:sz w:val="20"/>
        </w:rPr>
      </w:pPr>
      <w:bookmarkStart w:id="893" w:name="Item3QuantitativeandQualitativeDisclosur"/>
      <w:bookmarkStart w:id="894" w:name="_257c2b30_1e63_42d9_b075_005710fef3ff"/>
      <w:bookmarkEnd w:id="893"/>
      <w:bookmarkEnd w:id="894"/>
      <w:r>
        <w:rPr>
          <w:rFonts w:ascii="Times New Roman;Times;serif" w:hAnsi="Times New Roman;Times;serif"/>
          <w:b/>
          <w:sz w:val="20"/>
        </w:rPr>
        <w:t>Item 3. Quantitative and Qualitative Disclosure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240"/>
        <w:ind w:left="0" w:right="0" w:hanging="0"/>
        <w:jc w:val="left"/>
        <w:rPr>
          <w:rFonts w:ascii="Times New Roman;Times;serif" w:hAnsi="Times New Roman;Times;serif"/>
          <w:b/>
          <w:sz w:val="20"/>
        </w:rPr>
      </w:pPr>
      <w:bookmarkStart w:id="895" w:name="Item4ControlsandProcedures_905555"/>
      <w:bookmarkStart w:id="896" w:name="_e297302f_28c3_4fb6_8c12_ac26bbef38bc"/>
      <w:bookmarkEnd w:id="895"/>
      <w:bookmarkEnd w:id="896"/>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established disclosure controls and procedures to ensure that material information relating to us is made known to the officers who certify our financial reports and the Board. Under the supervision and with the participation of our management, including our principal executive officer and principal financial officer, we conducted an evaluation of our disclosure controls and procedures as such term is defined under Rule 13a-15(e) and 15d-15(e)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evaluation, our principal executive officer and principal financial officer concluded that these disclosure controls and procedures were effective as of June 30, 2025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interim principal executive officer and principal financial officer, as appropriate to allow timely decisions regarding required disclosures.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2025, there were no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97" w:name="PARTIIOTHERINFORMATION_171956"/>
      <w:bookmarkStart w:id="898" w:name="_b970fef9_663b_4928_aac9_5f4e3bd2d8f3"/>
      <w:bookmarkEnd w:id="897"/>
      <w:bookmarkEnd w:id="89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899" w:name="Item1LegalProceedings_899286"/>
      <w:bookmarkEnd w:id="899"/>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may be subject to claims and legal actions arising in the ordinary course of business from time to time. We are not currently party to any pending legal proceedings that we believe will have a material adverse effect on our business, financial condition or cash flows.</w:t>
      </w:r>
    </w:p>
    <w:p>
      <w:pPr>
        <w:pStyle w:val="TextBody"/>
        <w:bidi w:val="0"/>
        <w:spacing w:before="0" w:after="240"/>
        <w:ind w:left="0" w:right="0" w:hanging="0"/>
        <w:jc w:val="left"/>
        <w:rPr>
          <w:rFonts w:ascii="Times New Roman;Times;serif" w:hAnsi="Times New Roman;Times;serif"/>
          <w:b/>
          <w:sz w:val="20"/>
        </w:rPr>
      </w:pPr>
      <w:bookmarkStart w:id="900" w:name="Item1ARiskFactors_566555"/>
      <w:bookmarkStart w:id="901" w:name="_801fdb15_443f_4975_981b_3a8e420afd4f"/>
      <w:bookmarkEnd w:id="900"/>
      <w:bookmarkEnd w:id="901"/>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2024. There have been no material changes to these risks and uncertainties described in our Annual Report on Form 10-K for the year ended December 31, 2024.</w:t>
      </w:r>
    </w:p>
    <w:p>
      <w:pPr>
        <w:pStyle w:val="TextBody"/>
        <w:bidi w:val="0"/>
        <w:spacing w:before="0" w:after="240"/>
        <w:ind w:left="0" w:right="0" w:hanging="0"/>
        <w:jc w:val="left"/>
        <w:rPr>
          <w:rFonts w:ascii="Times New Roman;Times;serif" w:hAnsi="Times New Roman;Times;serif"/>
          <w:b/>
          <w:sz w:val="20"/>
        </w:rPr>
      </w:pPr>
      <w:bookmarkStart w:id="902" w:name="Item2UnregisteredSalesofEquitySecurities"/>
      <w:bookmarkStart w:id="903" w:name="_9727dd1b_647f_4430_a068_9136b7071731"/>
      <w:bookmarkEnd w:id="902"/>
      <w:bookmarkEnd w:id="903"/>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04" w:name="Item3DefaultsUponSeniorSecurities_774055"/>
      <w:bookmarkStart w:id="905" w:name="_e4ba7842_eca3_4c33_b130_a671f868cde3"/>
      <w:bookmarkEnd w:id="904"/>
      <w:bookmarkEnd w:id="905"/>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06" w:name="Item4MineSafetyDisclosures_549213"/>
      <w:bookmarkStart w:id="907" w:name="_fbbcb9fd_5f13_42e3_9ff6_e344d0a15c53"/>
      <w:bookmarkEnd w:id="906"/>
      <w:bookmarkEnd w:id="907"/>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08" w:name="Item5OtherInformation_27695"/>
      <w:bookmarkStart w:id="909" w:name="_8b668447_0c1f_425b_b2c2_e13d6dc03370"/>
      <w:bookmarkEnd w:id="908"/>
      <w:bookmarkEnd w:id="909"/>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2025, no director or officer of the Company adopted or terminated a “Rule 10b5-1 trading arrangement” or non-Rule 10b5-1 trading arrangement,” as each term is defined in Item 408(a) of Regulation S-K.</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0" w:name="Item6Exhibits_285226"/>
      <w:bookmarkStart w:id="911" w:name="_640cc6bb_a920_498e_ac7f_41821f480351"/>
      <w:bookmarkEnd w:id="910"/>
      <w:bookmarkEnd w:id="911"/>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are filed, furnished or incorporated by reference as a part of this Quarterly Report on Form 10-Q:</w:t>
      </w:r>
    </w:p>
    <w:tbl>
      <w:tblPr>
        <w:tblW w:w="15504" w:type="dxa"/>
        <w:jc w:val="left"/>
        <w:tblInd w:w="0" w:type="dxa"/>
        <w:tblLayout w:type="fixed"/>
        <w:tblCellMar>
          <w:top w:w="0" w:type="dxa"/>
          <w:left w:w="0" w:type="dxa"/>
          <w:bottom w:w="0" w:type="dxa"/>
          <w:right w:w="0" w:type="dxa"/>
        </w:tblCellMar>
      </w:tblPr>
      <w:tblGrid>
        <w:gridCol w:w="706"/>
        <w:gridCol w:w="326"/>
        <w:gridCol w:w="14281"/>
        <w:gridCol w:w="191"/>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48310" cy="175260"/>
                      <wp:effectExtent l="0" t="0" r="0" b="0"/>
                      <wp:wrapNone/>
                      <wp:docPr id="393" name="Frame39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5"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1285" cy="175260"/>
                      <wp:effectExtent l="0" t="0" r="0" b="0"/>
                      <wp:wrapNone/>
                      <wp:docPr id="396" name="Frame39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br/>
            </w:r>
            <w:r>
              <w:rPr>
                <w:rFonts w:ascii="Times New Roman;Times;serif" w:hAnsi="Times New Roman;Times;serif"/>
                <w:b/>
                <w:sz w:val="16"/>
              </w:rPr>
              <w:t>Number</w:t>
            </w:r>
          </w:p>
        </w:tc>
        <w:tc>
          <w:tcPr>
            <w:tcW w:w="3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42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70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Certificate of Incorporation of Energous Corporation, as amended (incorporated by reference to Exhibit 3.1 to the Quarterly Report on Form 10-Q filed on August 10, 2020).</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Current Report on Form 8-K filed on August 15, 2023).</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Second Amended and Restated Bylaws of Energous Corporation (incorporated by reference to Exhibit 3.1 to the Current Report on Form 8-K filed on April 11, 2025).</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Energous Corporation Amended and Restated 2024 Equity Incentive Plan (incorporated by reference to Exhibit 10.1 to the Current Report on Form 8-K filed on June 13, 2025).</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w:anchor="watt-20250630xex31d1.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w:anchor="watt-20250630xex32d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contained in Exhibit 101).</w:t>
            </w:r>
          </w:p>
        </w:tc>
        <w:tc>
          <w:tcPr>
            <w:tcW w:w="191" w:type="dxa"/>
            <w:tcBorders/>
            <w:vAlign w:val="center"/>
          </w:tcPr>
          <w:p>
            <w:pPr>
              <w:pStyle w:val="TableContents"/>
              <w:bidi w:val="0"/>
              <w:spacing w:before="0" w:after="0"/>
              <w:ind w:left="0" w:right="0" w:hanging="0"/>
              <w:jc w:val="left"/>
              <w:rPr/>
            </w:pPr>
            <w:r>
              <w:rPr/>
              <w:t>​</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240"/>
              <w:jc w:val="left"/>
              <w:rPr/>
            </w:pPr>
            <w:r>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982" w:type="dxa"/>
        <w:jc w:val="left"/>
        <w:tblInd w:w="0" w:type="dxa"/>
        <w:tblLayout w:type="fixed"/>
        <w:tblCellMar>
          <w:top w:w="0" w:type="dxa"/>
          <w:left w:w="0" w:type="dxa"/>
          <w:bottom w:w="0" w:type="dxa"/>
          <w:right w:w="0" w:type="dxa"/>
        </w:tblCellMar>
      </w:tblPr>
      <w:tblGrid>
        <w:gridCol w:w="226"/>
        <w:gridCol w:w="175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12" w:name="_dbdfb6cc_e367_4899_9ff3_0307569bf877"/>
      <w:bookmarkEnd w:id="912"/>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069" w:type="dxa"/>
        <w:jc w:val="left"/>
        <w:tblInd w:w="0" w:type="dxa"/>
        <w:tblLayout w:type="fixed"/>
        <w:tblCellMar>
          <w:top w:w="0" w:type="dxa"/>
          <w:left w:w="0" w:type="dxa"/>
          <w:bottom w:w="0" w:type="dxa"/>
          <w:right w:w="0" w:type="dxa"/>
        </w:tblCellMar>
      </w:tblPr>
      <w:tblGrid>
        <w:gridCol w:w="1711"/>
        <w:gridCol w:w="203"/>
        <w:gridCol w:w="203"/>
        <w:gridCol w:w="631"/>
        <w:gridCol w:w="4321"/>
      </w:tblGrid>
      <w:tr>
        <w:trPr/>
        <w:tc>
          <w:tcPr>
            <w:tcW w:w="1711"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00685" cy="175260"/>
                      <wp:effectExtent l="0" t="0" r="0" b="0"/>
                      <wp:wrapNone/>
                      <wp:docPr id="397" name="Frame39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743835" cy="175260"/>
                      <wp:effectExtent l="0" t="0" r="0" b="0"/>
                      <wp:wrapNone/>
                      <wp:docPr id="398" name="Frame397"/>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ENERGOUS CORPORATION</w:t>
            </w:r>
          </w:p>
        </w:tc>
      </w:tr>
      <w:tr>
        <w:trPr/>
        <w:tc>
          <w:tcPr>
            <w:tcW w:w="1711"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711"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31, 2025</w:t>
            </w:r>
          </w:p>
        </w:tc>
        <w:tc>
          <w:tcPr>
            <w:tcW w:w="40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5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r>
      <w:tr>
        <w:trPr/>
        <w:tc>
          <w:tcPr>
            <w:tcW w:w="1711"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r>
      <w:tr>
        <w:trPr/>
        <w:tc>
          <w:tcPr>
            <w:tcW w:w="1711"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Executive Officer, Principal Financial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240"/>
        <w:ind w:left="0" w:right="0" w:hanging="0"/>
        <w:jc w:val="right"/>
        <w:rPr>
          <w:rFonts w:ascii="Times New Roman;Times;serif" w:hAnsi="Times New Roman;Times;serif"/>
          <w:b/>
          <w:sz w:val="20"/>
        </w:rPr>
      </w:pPr>
      <w:bookmarkStart w:id="913" w:name="watt-20250630xex31d1.htm"/>
      <w:bookmarkStart w:id="914" w:name="kswatt20250630xex31d1"/>
      <w:bookmarkEnd w:id="913"/>
      <w:bookmarkEnd w:id="914"/>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Mallorie Burak, certify that:</w:t>
      </w:r>
    </w:p>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Energous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8196" w:type="dxa"/>
        <w:jc w:val="left"/>
        <w:tblInd w:w="0" w:type="dxa"/>
        <w:tblLayout w:type="fixed"/>
        <w:tblCellMar>
          <w:top w:w="0" w:type="dxa"/>
          <w:left w:w="0" w:type="dxa"/>
          <w:bottom w:w="0" w:type="dxa"/>
          <w:right w:w="0" w:type="dxa"/>
        </w:tblCellMar>
      </w:tblPr>
      <w:tblGrid>
        <w:gridCol w:w="646"/>
        <w:gridCol w:w="7396"/>
        <w:gridCol w:w="154"/>
      </w:tblGrid>
      <w:tr>
        <w:trPr/>
        <w:tc>
          <w:tcPr>
            <w:tcW w:w="804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July 31, 2025</w:t>
            </w:r>
          </w:p>
        </w:tc>
        <w:tc>
          <w:tcPr>
            <w:tcW w:w="154" w:type="dxa"/>
            <w:tcBorders/>
            <w:vAlign w:val="center"/>
          </w:tcPr>
          <w:p>
            <w:pPr>
              <w:pStyle w:val="TableContents"/>
              <w:bidi w:val="0"/>
              <w:spacing w:before="0" w:after="0"/>
              <w:ind w:left="0" w:right="0" w:hanging="0"/>
              <w:jc w:val="both"/>
              <w:rPr/>
            </w:pPr>
            <w:r>
              <w:rPr/>
              <w:t>​</w:t>
            </w:r>
          </w:p>
        </w:tc>
      </w:tr>
      <w:tr>
        <w:trPr/>
        <w:tc>
          <w:tcPr>
            <w:tcW w:w="804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804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73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 Chief Financial Officer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pBdr/>
              <w:bidi w:val="0"/>
              <w:spacing w:before="0" w:after="0"/>
              <w:ind w:left="0" w:right="0" w:hanging="0"/>
              <w:jc w:val="both"/>
              <w:rPr/>
            </w:pPr>
            <w:r>
              <w:rPr/>
              <w:t>​</w:t>
            </w:r>
          </w:p>
        </w:tc>
        <w:tc>
          <w:tcPr>
            <w:tcW w:w="7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15" w:name="watt-20250630xex32d1.htm"/>
      <w:bookmarkStart w:id="916" w:name="kswatt20250630xex32d1"/>
      <w:bookmarkEnd w:id="915"/>
      <w:bookmarkEnd w:id="916"/>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Energous Corporation (the “Company”) on Form 10-Q for the period ended June 30, 2025 as filed with the Securities and Exchange Commission on the date hereof (the “Report”), I, Mallorie Burak, Chief Executive Officer and Chief Financial Officer, certify, pursuant to 18 U.S.C. § 1350, as adopted pursuant to § 906 of the Sarbanes-Oxley Act of 2002, that:</w:t>
      </w:r>
    </w:p>
    <w:tbl>
      <w:tblPr>
        <w:tblW w:w="9753" w:type="dxa"/>
        <w:jc w:val="left"/>
        <w:tblInd w:w="0" w:type="dxa"/>
        <w:tblLayout w:type="fixed"/>
        <w:tblCellMar>
          <w:top w:w="0" w:type="dxa"/>
          <w:left w:w="0" w:type="dxa"/>
          <w:bottom w:w="0" w:type="dxa"/>
          <w:right w:w="0" w:type="dxa"/>
        </w:tblCellMar>
      </w:tblPr>
      <w:tblGrid>
        <w:gridCol w:w="23"/>
        <w:gridCol w:w="17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Energous Corporation and will be retained by Energous Corporation and furnished to the Securities and Exchange Commission or its staff upon request.</w:t>
      </w:r>
    </w:p>
    <w:tbl>
      <w:tblPr>
        <w:tblW w:w="8196" w:type="dxa"/>
        <w:jc w:val="left"/>
        <w:tblInd w:w="0" w:type="dxa"/>
        <w:tblLayout w:type="fixed"/>
        <w:tblCellMar>
          <w:top w:w="0" w:type="dxa"/>
          <w:left w:w="0" w:type="dxa"/>
          <w:bottom w:w="28" w:type="dxa"/>
          <w:right w:w="0" w:type="dxa"/>
        </w:tblCellMar>
      </w:tblPr>
      <w:tblGrid>
        <w:gridCol w:w="646"/>
        <w:gridCol w:w="7396"/>
        <w:gridCol w:w="154"/>
      </w:tblGrid>
      <w:tr>
        <w:trPr/>
        <w:tc>
          <w:tcPr>
            <w:tcW w:w="8042" w:type="dxa"/>
            <w:gridSpan w:val="2"/>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Mallorie Burak</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64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396" w:type="dxa"/>
            <w:tcBorders>
              <w:top w:val="single" w:sz="2" w:space="0" w:color="000000"/>
            </w:tcBorders>
            <w:tcMar>
              <w:top w:w="28" w:type="dxa"/>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Mallorie Burak</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64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39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Chief Executive Officer and Chief Financial Officer </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646" w:type="dxa"/>
            <w:tcBorders/>
            <w:tcMar>
              <w:bottom w:w="0" w:type="dxa"/>
            </w:tcMar>
            <w:vAlign w:val="center"/>
          </w:tcPr>
          <w:p>
            <w:pPr>
              <w:pStyle w:val="TableContents"/>
              <w:bidi w:val="0"/>
              <w:spacing w:before="0" w:after="0"/>
              <w:ind w:left="0" w:right="0" w:hanging="0"/>
              <w:jc w:val="both"/>
              <w:rPr/>
            </w:pPr>
            <w:r>
              <w:rPr/>
              <w:t>​</w:t>
            </w:r>
          </w:p>
        </w:tc>
        <w:tc>
          <w:tcPr>
            <w:tcW w:w="739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c>
          <w:tcPr>
            <w:tcW w:w="154" w:type="dxa"/>
            <w:tcBorders/>
            <w:tcMar>
              <w:bottom w:w="0" w:type="dxa"/>
            </w:tcMar>
            <w:vAlign w:val="center"/>
          </w:tcPr>
          <w:p>
            <w:pPr>
              <w:pStyle w:val="TableContents"/>
              <w:bidi w:val="0"/>
              <w:spacing w:before="0" w:after="0"/>
              <w:ind w:left="0" w:right="0" w:hanging="0"/>
              <w:jc w:val="both"/>
              <w:rPr/>
            </w:pPr>
            <w:r>
              <w:rPr/>
              <w:t>​</w:t>
            </w:r>
          </w:p>
        </w:tc>
      </w:tr>
      <w:tr>
        <w:trPr/>
        <w:tc>
          <w:tcPr>
            <w:tcW w:w="6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7396"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July 31, 2025</w:t>
            </w:r>
          </w:p>
        </w:tc>
        <w:tc>
          <w:tcPr>
            <w:tcW w:w="154" w:type="dxa"/>
            <w:tcBorders/>
            <w:tcMar>
              <w:bottom w:w="0" w:type="dxa"/>
            </w:tcMar>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5793/000156459020038993/watt-ex31_26.htm" TargetMode="External"/><Relationship Id="rId4" Type="http://schemas.openxmlformats.org/officeDocument/2006/relationships/hyperlink" Target="https://www.sec.gov/Archives/edgar/data/1575793/000119312523213522/d495019dex31.htm" TargetMode="External"/><Relationship Id="rId5" Type="http://schemas.openxmlformats.org/officeDocument/2006/relationships/hyperlink" Target="https://www.sec.gov/Archives/edgar/data/1575793/000110465925034243/tm2511996d1_ex3-1.htm" TargetMode="External"/><Relationship Id="rId6" Type="http://schemas.openxmlformats.org/officeDocument/2006/relationships/hyperlink" Target="https://www.sec.gov/Archives/edgar/data/1575793/000110465925059401/tm2517950d1_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18474</Words>
  <Characters>99408</Characters>
  <CharactersWithSpaces>119161</CharactersWithSpaces>
  <Paragraphs>4422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