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188595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257175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52070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64135</wp:posOffset>
            </wp:positionV>
            <wp:extent cx="15773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19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For the Fiscal Year Ended </w:t>
      </w:r>
      <w:r>
        <w:rPr>
          <w:rFonts w:ascii="Times New Roman" w:cs="Times New Roman" w:eastAsia="Times New Roman" w:hAnsi="Times New Roman"/>
          <w:sz w:val="14"/>
          <w:szCs w:val="14"/>
          <w:b w:val="1"/>
          <w:bCs w:val="1"/>
          <w:u w:val="single" w:color="auto"/>
          <w:color w:val="auto"/>
        </w:rPr>
        <w:t>December 31, 2025</w:t>
      </w:r>
    </w:p>
    <w:p>
      <w:pPr>
        <w:spacing w:after="0" w:line="64"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95" w:lineRule="exact"/>
        <w:rPr>
          <w:sz w:val="24"/>
          <w:szCs w:val="24"/>
          <w:color w:val="auto"/>
        </w:rPr>
      </w:pPr>
    </w:p>
    <w:p>
      <w:pPr>
        <w:ind w:left="3760"/>
        <w:spacing w:after="0"/>
        <w:tabs>
          <w:tab w:leader="none" w:pos="6040" w:val="left"/>
        </w:tabs>
        <w:rPr>
          <w:sz w:val="20"/>
          <w:szCs w:val="20"/>
          <w:color w:val="auto"/>
        </w:rPr>
      </w:pPr>
      <w:r>
        <w:rPr>
          <w:rFonts w:ascii="Times New Roman" w:cs="Times New Roman" w:eastAsia="Times New Roman" w:hAnsi="Times New Roman"/>
          <w:sz w:val="13"/>
          <w:szCs w:val="13"/>
          <w:b w:val="1"/>
          <w:bCs w:val="1"/>
          <w:color w:val="auto"/>
        </w:rPr>
        <w:t>For the transition period from</w:t>
      </w:r>
      <w:r>
        <w:rPr>
          <w:sz w:val="20"/>
          <w:szCs w:val="20"/>
          <w:color w:val="auto"/>
        </w:rPr>
        <w:tab/>
      </w:r>
      <w:r>
        <w:rPr>
          <w:rFonts w:ascii="Times New Roman" w:cs="Times New Roman" w:eastAsia="Times New Roman" w:hAnsi="Times New Roman"/>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3445510</wp:posOffset>
            </wp:positionH>
            <wp:positionV relativeFrom="paragraph">
              <wp:posOffset>-4445</wp:posOffset>
            </wp:positionV>
            <wp:extent cx="3797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9730" cy="8255"/>
                    </a:xfrm>
                    <a:prstGeom prst="rect">
                      <a:avLst/>
                    </a:prstGeom>
                    <a:noFill/>
                  </pic:spPr>
                </pic:pic>
              </a:graphicData>
            </a:graphic>
          </wp:anchor>
        </w:drawing>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 xml:space="preserve">Commission file number: </w:t>
      </w:r>
      <w:r>
        <w:rPr>
          <w:rFonts w:ascii="Times New Roman" w:cs="Times New Roman" w:eastAsia="Times New Roman" w:hAnsi="Times New Roman"/>
          <w:sz w:val="13"/>
          <w:szCs w:val="13"/>
          <w:b w:val="1"/>
          <w:bCs w:val="1"/>
          <w:u w:val="single" w:color="auto"/>
          <w:color w:val="auto"/>
        </w:rPr>
        <w:t>001-36379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46355</wp:posOffset>
            </wp:positionV>
            <wp:extent cx="2811780" cy="788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1178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ENERGOUS 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36195</wp:posOffset>
            </wp:positionV>
            <wp:extent cx="15773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16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180" w:type="dxa"/>
            <w:vAlign w:val="bottom"/>
          </w:tcPr>
          <w:p>
            <w:pPr>
              <w:jc w:val="center"/>
              <w:ind w:left="1697"/>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80" w:type="dxa"/>
            <w:vAlign w:val="bottom"/>
          </w:tcPr>
          <w:p>
            <w:pPr>
              <w:jc w:val="right"/>
              <w:ind w:right="2117"/>
              <w:spacing w:after="0"/>
              <w:rPr>
                <w:sz w:val="20"/>
                <w:szCs w:val="20"/>
                <w:color w:val="auto"/>
              </w:rPr>
            </w:pPr>
            <w:r>
              <w:rPr>
                <w:rFonts w:ascii="Times New Roman" w:cs="Times New Roman" w:eastAsia="Times New Roman" w:hAnsi="Times New Roman"/>
                <w:sz w:val="13"/>
                <w:szCs w:val="13"/>
                <w:b w:val="1"/>
                <w:bCs w:val="1"/>
                <w:color w:val="auto"/>
              </w:rPr>
              <w:t>46-1318953</w:t>
            </w:r>
          </w:p>
        </w:tc>
      </w:tr>
      <w:tr>
        <w:trPr>
          <w:trHeight w:val="166"/>
        </w:trPr>
        <w:tc>
          <w:tcPr>
            <w:tcW w:w="20" w:type="dxa"/>
            <w:vAlign w:val="bottom"/>
          </w:tcPr>
          <w:p>
            <w:pPr>
              <w:spacing w:after="0"/>
              <w:rPr>
                <w:sz w:val="14"/>
                <w:szCs w:val="14"/>
                <w:color w:val="auto"/>
              </w:rPr>
            </w:pPr>
          </w:p>
        </w:tc>
        <w:tc>
          <w:tcPr>
            <w:tcW w:w="4300" w:type="dxa"/>
            <w:vAlign w:val="bottom"/>
            <w:gridSpan w:val="3"/>
          </w:tcPr>
          <w:p>
            <w:pPr>
              <w:jc w:val="center"/>
              <w:ind w:left="557"/>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 Incorporation or Organization)</w:t>
            </w:r>
          </w:p>
        </w:tc>
        <w:tc>
          <w:tcPr>
            <w:tcW w:w="2120" w:type="dxa"/>
            <w:vAlign w:val="bottom"/>
          </w:tcPr>
          <w:p>
            <w:pPr>
              <w:spacing w:after="0"/>
              <w:rPr>
                <w:sz w:val="14"/>
                <w:szCs w:val="14"/>
                <w:color w:val="auto"/>
              </w:rPr>
            </w:pPr>
          </w:p>
        </w:tc>
        <w:tc>
          <w:tcPr>
            <w:tcW w:w="348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(I.R.S. Employer Identification No.)</w:t>
            </w:r>
          </w:p>
        </w:tc>
      </w:tr>
      <w:tr>
        <w:trPr>
          <w:trHeight w:val="185"/>
        </w:trPr>
        <w:tc>
          <w:tcPr>
            <w:tcW w:w="20" w:type="dxa"/>
            <w:vAlign w:val="bottom"/>
          </w:tcPr>
          <w:p>
            <w:pPr>
              <w:spacing w:after="0"/>
              <w:rPr>
                <w:sz w:val="16"/>
                <w:szCs w:val="16"/>
                <w:color w:val="auto"/>
              </w:rPr>
            </w:pPr>
          </w:p>
        </w:tc>
        <w:tc>
          <w:tcPr>
            <w:tcW w:w="4300" w:type="dxa"/>
            <w:vAlign w:val="bottom"/>
            <w:gridSpan w:val="3"/>
          </w:tcPr>
          <w:p>
            <w:pPr>
              <w:jc w:val="center"/>
              <w:ind w:left="577"/>
              <w:spacing w:after="0"/>
              <w:rPr>
                <w:sz w:val="20"/>
                <w:szCs w:val="20"/>
                <w:color w:val="auto"/>
              </w:rPr>
            </w:pPr>
            <w:r>
              <w:rPr>
                <w:rFonts w:ascii="Times New Roman" w:cs="Times New Roman" w:eastAsia="Times New Roman" w:hAnsi="Times New Roman"/>
                <w:sz w:val="13"/>
                <w:szCs w:val="13"/>
                <w:b w:val="1"/>
                <w:bCs w:val="1"/>
                <w:color w:val="auto"/>
                <w:w w:val="96"/>
              </w:rPr>
              <w:t>3590 North First Street, Suite 330, San Jose, CA</w:t>
            </w:r>
          </w:p>
        </w:tc>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80" w:type="dxa"/>
            <w:vAlign w:val="bottom"/>
          </w:tcPr>
          <w:p>
            <w:pPr>
              <w:jc w:val="right"/>
              <w:ind w:right="2257"/>
              <w:spacing w:after="0"/>
              <w:rPr>
                <w:sz w:val="20"/>
                <w:szCs w:val="20"/>
                <w:color w:val="auto"/>
              </w:rPr>
            </w:pPr>
            <w:r>
              <w:rPr>
                <w:rFonts w:ascii="Times New Roman" w:cs="Times New Roman" w:eastAsia="Times New Roman" w:hAnsi="Times New Roman"/>
                <w:sz w:val="13"/>
                <w:szCs w:val="13"/>
                <w:b w:val="1"/>
                <w:bCs w:val="1"/>
                <w:color w:val="auto"/>
              </w:rPr>
              <w:t>95134</w:t>
            </w:r>
          </w:p>
        </w:tc>
      </w:tr>
      <w:tr>
        <w:trPr>
          <w:trHeight w:val="166"/>
        </w:trPr>
        <w:tc>
          <w:tcPr>
            <w:tcW w:w="20" w:type="dxa"/>
            <w:vAlign w:val="bottom"/>
          </w:tcPr>
          <w:p>
            <w:pPr>
              <w:spacing w:after="0"/>
              <w:rPr>
                <w:sz w:val="14"/>
                <w:szCs w:val="14"/>
                <w:color w:val="auto"/>
              </w:rPr>
            </w:pPr>
          </w:p>
        </w:tc>
        <w:tc>
          <w:tcPr>
            <w:tcW w:w="4300" w:type="dxa"/>
            <w:vAlign w:val="bottom"/>
            <w:gridSpan w:val="3"/>
          </w:tcPr>
          <w:p>
            <w:pPr>
              <w:jc w:val="center"/>
              <w:ind w:left="557"/>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80" w:type="dxa"/>
            <w:vAlign w:val="bottom"/>
          </w:tcPr>
          <w:p>
            <w:pPr>
              <w:ind w:left="400"/>
              <w:spacing w:after="0"/>
              <w:rPr>
                <w:sz w:val="20"/>
                <w:szCs w:val="20"/>
                <w:color w:val="auto"/>
              </w:rPr>
            </w:pPr>
            <w:r>
              <w:rPr>
                <w:rFonts w:ascii="Times New Roman" w:cs="Times New Roman" w:eastAsia="Times New Roman" w:hAnsi="Times New Roman"/>
                <w:sz w:val="13"/>
                <w:szCs w:val="13"/>
                <w:b w:val="1"/>
                <w:bCs w:val="1"/>
                <w:color w:val="auto"/>
              </w:rPr>
              <w:t>(Zip Code)</w:t>
            </w:r>
          </w:p>
        </w:tc>
      </w:tr>
      <w:tr>
        <w:trPr>
          <w:trHeight w:val="185"/>
        </w:trPr>
        <w:tc>
          <w:tcPr>
            <w:tcW w:w="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120" w:type="dxa"/>
            <w:vAlign w:val="bottom"/>
          </w:tcPr>
          <w:p>
            <w:pPr>
              <w:jc w:val="center"/>
              <w:ind w:right="757"/>
              <w:spacing w:after="0"/>
              <w:rPr>
                <w:sz w:val="20"/>
                <w:szCs w:val="20"/>
                <w:color w:val="auto"/>
              </w:rPr>
            </w:pPr>
            <w:r>
              <w:rPr>
                <w:rFonts w:ascii="Times New Roman" w:cs="Times New Roman" w:eastAsia="Times New Roman" w:hAnsi="Times New Roman"/>
                <w:sz w:val="13"/>
                <w:szCs w:val="13"/>
                <w:b w:val="1"/>
                <w:bCs w:val="1"/>
                <w:color w:val="auto"/>
                <w:w w:val="95"/>
              </w:rPr>
              <w:t>(408) 963-0200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80" w:type="dxa"/>
            <w:vAlign w:val="bottom"/>
          </w:tcPr>
          <w:p>
            <w:pPr>
              <w:spacing w:after="0"/>
              <w:rPr>
                <w:sz w:val="16"/>
                <w:szCs w:val="16"/>
                <w:color w:val="auto"/>
              </w:rPr>
            </w:pPr>
          </w:p>
        </w:tc>
      </w:tr>
      <w:tr>
        <w:trPr>
          <w:trHeight w:val="166"/>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6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80" w:type="dxa"/>
            <w:vAlign w:val="bottom"/>
          </w:tcPr>
          <w:p>
            <w:pPr>
              <w:spacing w:after="0"/>
              <w:rPr>
                <w:sz w:val="14"/>
                <w:szCs w:val="14"/>
                <w:color w:val="auto"/>
              </w:rPr>
            </w:pPr>
          </w:p>
        </w:tc>
      </w:tr>
      <w:tr>
        <w:trPr>
          <w:trHeight w:val="189"/>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8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2120" w:type="dxa"/>
            <w:vAlign w:val="bottom"/>
          </w:tcPr>
          <w:p>
            <w:pPr>
              <w:jc w:val="center"/>
              <w:ind w:right="737"/>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120" w:type="dxa"/>
            <w:vAlign w:val="bottom"/>
          </w:tcPr>
          <w:p>
            <w:pPr>
              <w:spacing w:after="0"/>
              <w:rPr>
                <w:sz w:val="16"/>
                <w:szCs w:val="16"/>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3180" w:type="dxa"/>
            <w:vAlign w:val="bottom"/>
          </w:tcPr>
          <w:p>
            <w:pPr>
              <w:ind w:left="420"/>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158"/>
        </w:trPr>
        <w:tc>
          <w:tcPr>
            <w:tcW w:w="20" w:type="dxa"/>
            <w:vAlign w:val="bottom"/>
          </w:tcPr>
          <w:p>
            <w:pPr>
              <w:spacing w:after="0"/>
              <w:rPr>
                <w:sz w:val="13"/>
                <w:szCs w:val="13"/>
                <w:color w:val="auto"/>
              </w:rPr>
            </w:pPr>
          </w:p>
        </w:tc>
        <w:tc>
          <w:tcPr>
            <w:tcW w:w="3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Common Stock, $0.00001 par value</w:t>
            </w:r>
          </w:p>
        </w:tc>
        <w:tc>
          <w:tcPr>
            <w:tcW w:w="18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120" w:type="dxa"/>
            <w:vAlign w:val="bottom"/>
            <w:tcBorders>
              <w:top w:val="single" w:sz="8" w:color="auto"/>
            </w:tcBorders>
          </w:tcPr>
          <w:p>
            <w:pPr>
              <w:jc w:val="center"/>
              <w:ind w:right="757"/>
              <w:spacing w:after="0"/>
              <w:rPr>
                <w:sz w:val="20"/>
                <w:szCs w:val="20"/>
                <w:color w:val="auto"/>
              </w:rPr>
            </w:pPr>
            <w:r>
              <w:rPr>
                <w:rFonts w:ascii="Times New Roman" w:cs="Times New Roman" w:eastAsia="Times New Roman" w:hAnsi="Times New Roman"/>
                <w:sz w:val="13"/>
                <w:szCs w:val="13"/>
                <w:color w:val="auto"/>
                <w:w w:val="90"/>
              </w:rPr>
              <w:t>WATT</w:t>
            </w:r>
          </w:p>
        </w:tc>
        <w:tc>
          <w:tcPr>
            <w:tcW w:w="1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318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3"/>
                <w:szCs w:val="13"/>
                <w:color w:val="auto"/>
              </w:rPr>
              <w:t>The Nasdaq Stock Market LLC</w:t>
            </w:r>
          </w:p>
        </w:tc>
      </w:tr>
    </w:tbl>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Securities registered pursuant to Section 12 (g) of the Act: None</w:t>
      </w:r>
    </w:p>
    <w:p>
      <w:pPr>
        <w:spacing w:after="0" w:line="38" w:lineRule="exact"/>
        <w:rPr>
          <w:sz w:val="24"/>
          <w:szCs w:val="24"/>
          <w:color w:val="auto"/>
        </w:rPr>
      </w:pPr>
    </w:p>
    <w:p>
      <w:pPr>
        <w:ind w:left="340" w:right="2880"/>
        <w:spacing w:after="0" w:line="214"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6" w:lineRule="exact"/>
        <w:rPr>
          <w:sz w:val="24"/>
          <w:szCs w:val="24"/>
          <w:color w:val="auto"/>
        </w:rPr>
      </w:pPr>
    </w:p>
    <w:p>
      <w:pPr>
        <w:ind w:right="120" w:firstLine="324"/>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right="280" w:firstLine="324"/>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right="340" w:firstLine="324"/>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9920"/>
          </w:cols>
          <w:pgMar w:left="980" w:top="661" w:right="999" w:bottom="1440" w:gutter="0" w:footer="0" w:header="0"/>
        </w:sectPr>
      </w:pPr>
    </w:p>
    <w:p>
      <w:pPr>
        <w:spacing w:after="0" w:line="79" w:lineRule="exact"/>
        <w:rPr>
          <w:sz w:val="24"/>
          <w:szCs w:val="24"/>
          <w:color w:val="auto"/>
        </w:rPr>
      </w:pPr>
    </w:p>
    <w:p>
      <w:pPr>
        <w:spacing w:after="0" w:line="303" w:lineRule="auto"/>
        <w:rPr>
          <w:sz w:val="20"/>
          <w:szCs w:val="20"/>
          <w:color w:val="auto"/>
        </w:rPr>
      </w:pPr>
      <w:r>
        <w:rPr>
          <w:rFonts w:ascii="Times New Roman" w:cs="Times New Roman" w:eastAsia="Times New Roman" w:hAnsi="Times New Roman"/>
          <w:sz w:val="12"/>
          <w:szCs w:val="12"/>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86"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  Accelerated filer </w:t>
      </w:r>
      <w:r>
        <w:rPr>
          <w:rFonts w:ascii="MS PGothic" w:cs="MS PGothic" w:eastAsia="MS PGothic" w:hAnsi="MS PGothic"/>
          <w:sz w:val="13"/>
          <w:szCs w:val="13"/>
          <w:color w:val="auto"/>
        </w:rPr>
        <w:t>☐</w:t>
      </w:r>
    </w:p>
    <w:p>
      <w:pPr>
        <w:spacing w:after="0" w:line="42" w:lineRule="exact"/>
        <w:rPr>
          <w:sz w:val="24"/>
          <w:szCs w:val="24"/>
          <w:color w:val="auto"/>
        </w:rPr>
      </w:pPr>
    </w:p>
    <w:p>
      <w:pPr>
        <w:ind w:left="180"/>
        <w:spacing w:after="0" w:line="138" w:lineRule="exact"/>
        <w:rPr>
          <w:sz w:val="20"/>
          <w:szCs w:val="20"/>
          <w:color w:val="auto"/>
        </w:rPr>
      </w:pPr>
      <w:r>
        <w:rPr>
          <w:rFonts w:ascii="Times New Roman" w:cs="Times New Roman" w:eastAsia="Times New Roman" w:hAnsi="Times New Roman"/>
          <w:sz w:val="12"/>
          <w:szCs w:val="12"/>
          <w:color w:val="auto"/>
        </w:rPr>
        <w:t xml:space="preserve">Smaller reporting company </w:t>
      </w:r>
      <w:r>
        <w:rPr>
          <w:rFonts w:ascii="MS PGothic" w:cs="MS PGothic" w:eastAsia="MS PGothic" w:hAnsi="MS PGothic"/>
          <w:sz w:val="12"/>
          <w:szCs w:val="12"/>
          <w:color w:val="auto"/>
        </w:rPr>
        <w:t>☒</w:t>
      </w:r>
    </w:p>
    <w:p>
      <w:pPr>
        <w:spacing w:after="0" w:line="11" w:lineRule="exact"/>
        <w:rPr>
          <w:sz w:val="24"/>
          <w:szCs w:val="24"/>
          <w:color w:val="auto"/>
        </w:rPr>
      </w:pPr>
    </w:p>
    <w:p>
      <w:pPr>
        <w:ind w:left="18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64" w:lineRule="exact"/>
        <w:rPr>
          <w:sz w:val="24"/>
          <w:szCs w:val="24"/>
          <w:color w:val="auto"/>
        </w:rPr>
      </w:pPr>
    </w:p>
    <w:p>
      <w:pPr>
        <w:sectPr>
          <w:pgSz w:w="11900" w:h="16838" w:orient="portrait"/>
          <w:cols w:equalWidth="0" w:num="3">
            <w:col w:w="1140" w:space="120"/>
            <w:col w:w="4200" w:space="720"/>
            <w:col w:w="3740"/>
          </w:cols>
          <w:pgMar w:left="980" w:top="661" w:right="999" w:bottom="1440" w:gutter="0" w:footer="0" w:header="0"/>
          <w:type w:val="continuous"/>
        </w:sectPr>
      </w:pPr>
    </w:p>
    <w:p>
      <w:pPr>
        <w:ind w:right="260" w:firstLine="324"/>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5" w:lineRule="exact"/>
        <w:rPr>
          <w:sz w:val="24"/>
          <w:szCs w:val="24"/>
          <w:color w:val="auto"/>
        </w:rPr>
      </w:pPr>
    </w:p>
    <w:p>
      <w:pPr>
        <w:ind w:right="220" w:firstLine="324"/>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3"/>
          <w:szCs w:val="13"/>
          <w:color w:val="auto"/>
        </w:rPr>
        <w:t>☐</w:t>
      </w:r>
    </w:p>
    <w:p>
      <w:pPr>
        <w:spacing w:after="0" w:line="18" w:lineRule="exact"/>
        <w:rPr>
          <w:sz w:val="24"/>
          <w:szCs w:val="24"/>
          <w:color w:val="auto"/>
        </w:rPr>
      </w:pPr>
    </w:p>
    <w:p>
      <w:pPr>
        <w:ind w:right="260" w:firstLine="324"/>
        <w:spacing w:after="0" w:line="167"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8" w:lineRule="exact"/>
        <w:rPr>
          <w:sz w:val="24"/>
          <w:szCs w:val="24"/>
          <w:color w:val="auto"/>
        </w:rPr>
      </w:pPr>
    </w:p>
    <w:p>
      <w:pPr>
        <w:ind w:firstLine="324"/>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ind w:left="34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1" w:lineRule="exact"/>
        <w:rPr>
          <w:sz w:val="24"/>
          <w:szCs w:val="24"/>
          <w:color w:val="auto"/>
        </w:rPr>
      </w:pPr>
    </w:p>
    <w:p>
      <w:pPr>
        <w:ind w:right="20" w:firstLine="324"/>
        <w:spacing w:after="0" w:line="228" w:lineRule="auto"/>
        <w:rPr>
          <w:sz w:val="20"/>
          <w:szCs w:val="20"/>
          <w:color w:val="auto"/>
        </w:rPr>
      </w:pPr>
      <w:r>
        <w:rPr>
          <w:rFonts w:ascii="Times New Roman" w:cs="Times New Roman" w:eastAsia="Times New Roman" w:hAnsi="Times New Roman"/>
          <w:sz w:val="13"/>
          <w:szCs w:val="13"/>
          <w:color w:val="auto"/>
        </w:rPr>
        <w:t>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was $10,682,962. Solely for the purposes of this calculation, shares held by directors, executive officers and 10% owners of the registrant have been excluded. Such exclusion should not be deemed a determination or an admission by the registrant that such individuals are, in fact, affiliates of the registrant.</w:t>
      </w:r>
    </w:p>
    <w:p>
      <w:pPr>
        <w:spacing w:after="0" w:line="3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3"/>
          <w:szCs w:val="13"/>
          <w:color w:val="auto"/>
        </w:rPr>
        <w:t>As of March 23, 2026, there were 5,501,099 shares of the registrant’s common stock outstanding.</w:t>
      </w:r>
    </w:p>
    <w:p>
      <w:pPr>
        <w:spacing w:after="0" w:line="40"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3"/>
          <w:szCs w:val="13"/>
          <w:color w:val="auto"/>
        </w:rPr>
        <w:t>DOCUMENTS INCORPORATED BY REFERENCE</w:t>
      </w:r>
    </w:p>
    <w:p>
      <w:pPr>
        <w:spacing w:after="0" w:line="53" w:lineRule="exact"/>
        <w:rPr>
          <w:sz w:val="24"/>
          <w:szCs w:val="24"/>
          <w:color w:val="auto"/>
        </w:rPr>
      </w:pPr>
    </w:p>
    <w:p>
      <w:pPr>
        <w:ind w:right="100" w:firstLine="324"/>
        <w:spacing w:after="0"/>
        <w:rPr>
          <w:sz w:val="20"/>
          <w:szCs w:val="20"/>
          <w:color w:val="auto"/>
        </w:rPr>
      </w:pPr>
      <w:r>
        <w:rPr>
          <w:rFonts w:ascii="Times New Roman" w:cs="Times New Roman" w:eastAsia="Times New Roman" w:hAnsi="Times New Roman"/>
          <w:sz w:val="13"/>
          <w:szCs w:val="13"/>
          <w:color w:val="auto"/>
        </w:rPr>
        <w:t>Part III of this Annual Report on Form 10-K incorporates certain information by reference from the registrant’s proxy statement for the 2026 annual meeting of stockholders to be filed with the Securities and Exchange Commission no later than 120 days after the end of the registrant’s fiscal year ended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464820</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36195</wp:posOffset>
            </wp:positionV>
            <wp:extent cx="62922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78740</wp:posOffset>
            </wp:positionV>
            <wp:extent cx="629221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This Annual Report on Form 10-K (this “Report”) of the Company contains forward-looking statements within the meaning of Section 27A of the Securities Act of 1933, as amended, and Section 21E of the Securities Exchange Act of 1934, as amended, that are intended to be covered by the “safe harbor” created by those sections. Forward-looking statements, which are based on certain assumptions and describe our future plans, strategies and expectations, can generally be identified by the use of forward-looking terms such as “believe,” “expect,” “may,” “will,” “should,” “could,” “seek,” “intend,” “plan,” “continue,” “estimate,” “anticipate” or other comparable terms. All statements other than statements of historical facts included in this Report regarding our strategies, prospects, financial condition, operations, costs, plans and objectives are forward-looking statements. Examples of forward-looking statements include, among others, statements we make regarding expectations with respect to future financings; expectations for revenues, liquidity, cash flows and financial performance; and expectations regarding the release of additional wireless power-enabled products. 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Forward-looking statements relate to the future and are subject to inherent uncertainties, risks and changes in circumstances that are difficult to predict and generally outside of our control, so actual results and financial condition may differ materially from those indicated in the forward-looking statements. Important factors that could cause our actual results and financial condition to differ materially from those indicated in the forward-looking statements include, among others: our ability to develop commercially feasible technology or commercialize such technology; timing of customer implementations of our technology in consumer products; timing and receipt of regulatory approvals in the United States and internationally; our ability to find and maintain contract manufacturing partners; market acceptance of our technology; competition in our industry; our ability to protect our intellectual property; our ability to maintain or improve our financial position, cash flows, and liquidity and our expected financial needs; and other risks and uncertainties described in the Risk Factors and Management’s Discussion and Analysis of Financial Condition and Results of Operations sections of this Report and our subsequently filed Quarterly Reports on Form 10-Q. We undertake no obligation to update any forward-looking statement, whether written or oral, that may be made from time to time, whether as a result of new information, future developments or otherwise.</w:t>
      </w:r>
    </w:p>
    <w:p>
      <w:pPr>
        <w:spacing w:after="0" w:line="20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As used in this Report, unless the context otherwise requires, the terms “we,” “us,” “our,” the “Company,” and “Energous” refer to Energous Corporation, a Delaware corporation (d/b/a Energous Wireless Power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731520</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96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754"/>
        </w:trPr>
        <w:tc>
          <w:tcPr>
            <w:tcW w:w="3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900" w:type="dxa"/>
            <w:vAlign w:val="bottom"/>
            <w:gridSpan w:val="11"/>
          </w:tcPr>
          <w:p>
            <w:pPr>
              <w:jc w:val="center"/>
              <w:ind w:right="2100"/>
              <w:spacing w:after="0"/>
              <w:rPr>
                <w:sz w:val="20"/>
                <w:szCs w:val="20"/>
                <w:color w:val="auto"/>
              </w:rPr>
            </w:pPr>
            <w:r>
              <w:rPr>
                <w:rFonts w:ascii="Times New Roman" w:cs="Times New Roman" w:eastAsia="Times New Roman" w:hAnsi="Times New Roman"/>
                <w:sz w:val="18"/>
                <w:szCs w:val="18"/>
                <w:b w:val="1"/>
                <w:bCs w:val="1"/>
                <w:color w:val="auto"/>
                <w:w w:val="98"/>
              </w:rPr>
              <w:t>ENERGOUS CORPORATION</w:t>
            </w: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38"/>
        </w:trPr>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120" w:type="dxa"/>
            <w:vAlign w:val="bottom"/>
            <w:gridSpan w:val="10"/>
          </w:tcPr>
          <w:p>
            <w:pPr>
              <w:jc w:val="center"/>
              <w:ind w:right="28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91"/>
        </w:trPr>
        <w:tc>
          <w:tcPr>
            <w:tcW w:w="7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PART I</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8100" w:type="dxa"/>
            <w:vAlign w:val="bottom"/>
            <w:gridSpan w:val="24"/>
          </w:tcPr>
          <w:p>
            <w:pPr>
              <w:ind w:left="20"/>
              <w:spacing w:after="0" w:line="196" w:lineRule="exact"/>
              <w:rPr>
                <w:sz w:val="20"/>
                <w:szCs w:val="20"/>
                <w:color w:val="auto"/>
              </w:rPr>
            </w:pPr>
            <w:r>
              <w:rPr>
                <w:rFonts w:ascii="Times New Roman" w:cs="Times New Roman" w:eastAsia="Times New Roman" w:hAnsi="Times New Roman"/>
                <w:sz w:val="18"/>
                <w:szCs w:val="18"/>
                <w:color w:val="0000EE"/>
              </w:rPr>
              <w:t>Business</w:t>
            </w:r>
          </w:p>
        </w:tc>
        <w:tc>
          <w:tcPr>
            <w:tcW w:w="60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82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1A. Risk Factors</w:t>
            </w:r>
          </w:p>
        </w:tc>
        <w:tc>
          <w:tcPr>
            <w:tcW w:w="60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236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1B. Unresolved Staff Comments</w:t>
            </w:r>
          </w:p>
        </w:tc>
        <w:tc>
          <w:tcPr>
            <w:tcW w:w="5900" w:type="dxa"/>
            <w:vAlign w:val="bottom"/>
            <w:gridSpan w:val="11"/>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340" w:type="dxa"/>
            <w:vAlign w:val="bottom"/>
          </w:tcPr>
          <w:p>
            <w:pPr>
              <w:spacing w:after="0"/>
              <w:rPr>
                <w:sz w:val="17"/>
                <w:szCs w:val="17"/>
                <w:color w:val="auto"/>
              </w:rPr>
            </w:pPr>
          </w:p>
        </w:tc>
        <w:tc>
          <w:tcPr>
            <w:tcW w:w="3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13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1C. Cybersecurity</w:t>
            </w:r>
          </w:p>
        </w:tc>
        <w:tc>
          <w:tcPr>
            <w:tcW w:w="6940" w:type="dxa"/>
            <w:vAlign w:val="bottom"/>
            <w:gridSpan w:val="18"/>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340" w:type="dxa"/>
            <w:vAlign w:val="bottom"/>
          </w:tcPr>
          <w:p>
            <w:pPr>
              <w:spacing w:after="0"/>
              <w:rPr>
                <w:sz w:val="17"/>
                <w:szCs w:val="17"/>
                <w:color w:val="auto"/>
              </w:rPr>
            </w:pPr>
          </w:p>
        </w:tc>
        <w:tc>
          <w:tcPr>
            <w:tcW w:w="3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1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2.</w:t>
            </w:r>
          </w:p>
        </w:tc>
        <w:tc>
          <w:tcPr>
            <w:tcW w:w="760" w:type="dxa"/>
            <w:vAlign w:val="bottom"/>
            <w:tcBorders>
              <w:bottom w:val="single" w:sz="8" w:color="0000EE"/>
            </w:tcBorders>
            <w:gridSpan w:val="4"/>
          </w:tcPr>
          <w:p>
            <w:pPr>
              <w:ind w:left="20"/>
              <w:spacing w:after="0" w:line="196" w:lineRule="exact"/>
              <w:rPr>
                <w:sz w:val="20"/>
                <w:szCs w:val="20"/>
                <w:color w:val="auto"/>
              </w:rPr>
            </w:pPr>
            <w:r>
              <w:rPr>
                <w:rFonts w:ascii="Times New Roman" w:cs="Times New Roman" w:eastAsia="Times New Roman" w:hAnsi="Times New Roman"/>
                <w:sz w:val="18"/>
                <w:szCs w:val="18"/>
                <w:color w:val="0000EE"/>
                <w:w w:val="98"/>
              </w:rPr>
              <w:t>Properties</w:t>
            </w:r>
          </w:p>
        </w:tc>
        <w:tc>
          <w:tcPr>
            <w:tcW w:w="7340" w:type="dxa"/>
            <w:vAlign w:val="bottom"/>
            <w:gridSpan w:val="20"/>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340" w:type="dxa"/>
            <w:vAlign w:val="bottom"/>
          </w:tcPr>
          <w:p>
            <w:pPr>
              <w:spacing w:after="0"/>
              <w:rPr>
                <w:sz w:val="17"/>
                <w:szCs w:val="17"/>
                <w:color w:val="auto"/>
              </w:rPr>
            </w:pPr>
          </w:p>
        </w:tc>
        <w:tc>
          <w:tcPr>
            <w:tcW w:w="3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rPr>
              <w:t>3.</w:t>
            </w:r>
          </w:p>
        </w:tc>
        <w:tc>
          <w:tcPr>
            <w:tcW w:w="8100" w:type="dxa"/>
            <w:vAlign w:val="bottom"/>
            <w:gridSpan w:val="24"/>
          </w:tcPr>
          <w:p>
            <w:pPr>
              <w:ind w:left="20"/>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60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1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4.</w:t>
            </w:r>
          </w:p>
        </w:tc>
        <w:tc>
          <w:tcPr>
            <w:tcW w:w="1800" w:type="dxa"/>
            <w:vAlign w:val="bottom"/>
            <w:tcBorders>
              <w:bottom w:val="single" w:sz="8" w:color="0000EE"/>
            </w:tcBorders>
            <w:gridSpan w:val="10"/>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Mine Safety Disclosures</w:t>
            </w:r>
          </w:p>
        </w:tc>
        <w:tc>
          <w:tcPr>
            <w:tcW w:w="6300" w:type="dxa"/>
            <w:vAlign w:val="bottom"/>
            <w:gridSpan w:val="14"/>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7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PART II</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3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1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5.</w:t>
            </w:r>
          </w:p>
        </w:tc>
        <w:tc>
          <w:tcPr>
            <w:tcW w:w="8100" w:type="dxa"/>
            <w:vAlign w:val="bottom"/>
            <w:tcBorders>
              <w:bottom w:val="single" w:sz="8" w:color="0000EE"/>
            </w:tcBorders>
            <w:gridSpan w:val="24"/>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 of Equity Securities</w:t>
            </w:r>
          </w:p>
        </w:tc>
        <w:tc>
          <w:tcPr>
            <w:tcW w:w="60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340" w:type="dxa"/>
            <w:vAlign w:val="bottom"/>
          </w:tcPr>
          <w:p>
            <w:pPr>
              <w:spacing w:after="0"/>
              <w:rPr>
                <w:sz w:val="17"/>
                <w:szCs w:val="17"/>
                <w:color w:val="auto"/>
              </w:rPr>
            </w:pPr>
          </w:p>
        </w:tc>
        <w:tc>
          <w:tcPr>
            <w:tcW w:w="3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1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6.</w:t>
            </w:r>
          </w:p>
        </w:tc>
        <w:tc>
          <w:tcPr>
            <w:tcW w:w="700" w:type="dxa"/>
            <w:vAlign w:val="bottom"/>
            <w:tcBorders>
              <w:bottom w:val="single" w:sz="8" w:color="0000EE"/>
            </w:tcBorders>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w w:val="98"/>
              </w:rPr>
              <w:t>Reserved</w:t>
            </w:r>
          </w:p>
        </w:tc>
        <w:tc>
          <w:tcPr>
            <w:tcW w:w="7400" w:type="dxa"/>
            <w:vAlign w:val="bottom"/>
            <w:gridSpan w:val="21"/>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340" w:type="dxa"/>
            <w:vAlign w:val="bottom"/>
          </w:tcPr>
          <w:p>
            <w:pPr>
              <w:spacing w:after="0"/>
              <w:rPr>
                <w:sz w:val="17"/>
                <w:szCs w:val="17"/>
                <w:color w:val="auto"/>
              </w:rPr>
            </w:pPr>
          </w:p>
        </w:tc>
        <w:tc>
          <w:tcPr>
            <w:tcW w:w="3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rPr>
              <w:t>7.</w:t>
            </w:r>
          </w:p>
        </w:tc>
        <w:tc>
          <w:tcPr>
            <w:tcW w:w="8100" w:type="dxa"/>
            <w:vAlign w:val="bottom"/>
            <w:gridSpan w:val="24"/>
          </w:tcPr>
          <w:p>
            <w:pPr>
              <w:ind w:left="20"/>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0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340" w:type="dxa"/>
            <w:vAlign w:val="bottom"/>
          </w:tcPr>
          <w:p>
            <w:pPr>
              <w:spacing w:after="0"/>
              <w:rPr>
                <w:sz w:val="17"/>
                <w:szCs w:val="17"/>
                <w:color w:val="auto"/>
              </w:rPr>
            </w:pPr>
          </w:p>
        </w:tc>
        <w:tc>
          <w:tcPr>
            <w:tcW w:w="3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4680" w:type="dxa"/>
            <w:vAlign w:val="bottom"/>
            <w:tcBorders>
              <w:top w:val="single" w:sz="8" w:color="0000EE"/>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7A. Quantitative and Qualitative Disclosures About Market Risk</w:t>
            </w:r>
          </w:p>
        </w:tc>
        <w:tc>
          <w:tcPr>
            <w:tcW w:w="1960" w:type="dxa"/>
            <w:vAlign w:val="bottom"/>
            <w:tcBorders>
              <w:top w:val="single" w:sz="8" w:color="0000EE"/>
            </w:tcBorders>
            <w:gridSpan w:val="3"/>
          </w:tcPr>
          <w:p>
            <w:pPr>
              <w:spacing w:after="0"/>
              <w:rPr>
                <w:sz w:val="17"/>
                <w:szCs w:val="17"/>
                <w:color w:val="auto"/>
              </w:rPr>
            </w:pPr>
          </w:p>
        </w:tc>
        <w:tc>
          <w:tcPr>
            <w:tcW w:w="1620" w:type="dxa"/>
            <w:vAlign w:val="bottom"/>
            <w:gridSpan w:val="3"/>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196"/>
        </w:trPr>
        <w:tc>
          <w:tcPr>
            <w:tcW w:w="340" w:type="dxa"/>
            <w:vAlign w:val="bottom"/>
          </w:tcPr>
          <w:p>
            <w:pPr>
              <w:spacing w:after="0"/>
              <w:rPr>
                <w:sz w:val="17"/>
                <w:szCs w:val="17"/>
                <w:color w:val="auto"/>
              </w:rPr>
            </w:pPr>
          </w:p>
        </w:tc>
        <w:tc>
          <w:tcPr>
            <w:tcW w:w="3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1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8.</w:t>
            </w:r>
          </w:p>
        </w:tc>
        <w:tc>
          <w:tcPr>
            <w:tcW w:w="3360" w:type="dxa"/>
            <w:vAlign w:val="bottom"/>
            <w:tcBorders>
              <w:bottom w:val="single" w:sz="8" w:color="0000EE"/>
            </w:tcBorders>
            <w:gridSpan w:val="15"/>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Financial Statements and Supplementary Data</w:t>
            </w:r>
          </w:p>
        </w:tc>
        <w:tc>
          <w:tcPr>
            <w:tcW w:w="4740" w:type="dxa"/>
            <w:vAlign w:val="bottom"/>
            <w:gridSpan w:val="9"/>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196"/>
        </w:trPr>
        <w:tc>
          <w:tcPr>
            <w:tcW w:w="340" w:type="dxa"/>
            <w:vAlign w:val="bottom"/>
          </w:tcPr>
          <w:p>
            <w:pPr>
              <w:spacing w:after="0"/>
              <w:rPr>
                <w:sz w:val="17"/>
                <w:szCs w:val="17"/>
                <w:color w:val="auto"/>
              </w:rPr>
            </w:pPr>
          </w:p>
        </w:tc>
        <w:tc>
          <w:tcPr>
            <w:tcW w:w="3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rPr>
              <w:t>9.</w:t>
            </w:r>
          </w:p>
        </w:tc>
        <w:tc>
          <w:tcPr>
            <w:tcW w:w="8100" w:type="dxa"/>
            <w:vAlign w:val="bottom"/>
            <w:gridSpan w:val="24"/>
          </w:tcPr>
          <w:p>
            <w:pPr>
              <w:ind w:left="20"/>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60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r>
      <w:tr>
        <w:trPr>
          <w:trHeight w:val="196"/>
        </w:trPr>
        <w:tc>
          <w:tcPr>
            <w:tcW w:w="340" w:type="dxa"/>
            <w:vAlign w:val="bottom"/>
          </w:tcPr>
          <w:p>
            <w:pPr>
              <w:spacing w:after="0"/>
              <w:rPr>
                <w:sz w:val="17"/>
                <w:szCs w:val="17"/>
                <w:color w:val="auto"/>
              </w:rPr>
            </w:pPr>
          </w:p>
        </w:tc>
        <w:tc>
          <w:tcPr>
            <w:tcW w:w="3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210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9A. Controls and Procedures</w:t>
            </w:r>
          </w:p>
        </w:tc>
        <w:tc>
          <w:tcPr>
            <w:tcW w:w="4600" w:type="dxa"/>
            <w:vAlign w:val="bottom"/>
            <w:tcBorders>
              <w:top w:val="single" w:sz="8" w:color="0000EE"/>
            </w:tcBorders>
            <w:gridSpan w:val="10"/>
          </w:tcPr>
          <w:p>
            <w:pPr>
              <w:spacing w:after="0"/>
              <w:rPr>
                <w:sz w:val="17"/>
                <w:szCs w:val="17"/>
                <w:color w:val="auto"/>
              </w:rPr>
            </w:pPr>
          </w:p>
        </w:tc>
        <w:tc>
          <w:tcPr>
            <w:tcW w:w="1560" w:type="dxa"/>
            <w:vAlign w:val="bottom"/>
            <w:gridSpan w:val="2"/>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r>
      <w:tr>
        <w:trPr>
          <w:trHeight w:val="196"/>
        </w:trPr>
        <w:tc>
          <w:tcPr>
            <w:tcW w:w="340" w:type="dxa"/>
            <w:vAlign w:val="bottom"/>
          </w:tcPr>
          <w:p>
            <w:pPr>
              <w:spacing w:after="0"/>
              <w:rPr>
                <w:sz w:val="17"/>
                <w:szCs w:val="17"/>
                <w:color w:val="auto"/>
              </w:rPr>
            </w:pPr>
          </w:p>
        </w:tc>
        <w:tc>
          <w:tcPr>
            <w:tcW w:w="3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82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9B. Other Information</w:t>
            </w:r>
          </w:p>
        </w:tc>
        <w:tc>
          <w:tcPr>
            <w:tcW w:w="60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20" w:type="dxa"/>
            <w:vAlign w:val="bottom"/>
            <w:gridSpan w:val="9"/>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82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9C. Disclosures Regarding Foreign Jurisdictions That Prevent Inspections.</w:t>
            </w:r>
          </w:p>
        </w:tc>
        <w:tc>
          <w:tcPr>
            <w:tcW w:w="60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7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PART III</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20"/>
        </w:trPr>
        <w:tc>
          <w:tcPr>
            <w:tcW w:w="3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1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442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10. Directors, Executive Officers and Corporate Governance.</w:t>
            </w:r>
          </w:p>
        </w:tc>
        <w:tc>
          <w:tcPr>
            <w:tcW w:w="3840" w:type="dxa"/>
            <w:vAlign w:val="bottom"/>
            <w:gridSpan w:val="7"/>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340" w:type="dxa"/>
            <w:vAlign w:val="bottom"/>
          </w:tcPr>
          <w:p>
            <w:pPr>
              <w:spacing w:after="0"/>
              <w:rPr>
                <w:sz w:val="17"/>
                <w:szCs w:val="17"/>
                <w:color w:val="auto"/>
              </w:rPr>
            </w:pPr>
          </w:p>
        </w:tc>
        <w:tc>
          <w:tcPr>
            <w:tcW w:w="3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20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11. Executive Compensation</w:t>
            </w:r>
          </w:p>
        </w:tc>
        <w:tc>
          <w:tcPr>
            <w:tcW w:w="6180" w:type="dxa"/>
            <w:vAlign w:val="bottom"/>
            <w:gridSpan w:val="13"/>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340" w:type="dxa"/>
            <w:vAlign w:val="bottom"/>
          </w:tcPr>
          <w:p>
            <w:pPr>
              <w:spacing w:after="0"/>
              <w:rPr>
                <w:sz w:val="17"/>
                <w:szCs w:val="17"/>
                <w:color w:val="auto"/>
              </w:rPr>
            </w:pPr>
          </w:p>
        </w:tc>
        <w:tc>
          <w:tcPr>
            <w:tcW w:w="3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82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12. Security Ownership of Certain Beneficial Owners and Management and Related Stockholders Matters.</w:t>
            </w:r>
          </w:p>
        </w:tc>
        <w:tc>
          <w:tcPr>
            <w:tcW w:w="60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340" w:type="dxa"/>
            <w:vAlign w:val="bottom"/>
          </w:tcPr>
          <w:p>
            <w:pPr>
              <w:spacing w:after="0"/>
              <w:rPr>
                <w:sz w:val="17"/>
                <w:szCs w:val="17"/>
                <w:color w:val="auto"/>
              </w:rPr>
            </w:pPr>
          </w:p>
        </w:tc>
        <w:tc>
          <w:tcPr>
            <w:tcW w:w="36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7680" w:type="dxa"/>
            <w:vAlign w:val="bottom"/>
            <w:tcBorders>
              <w:top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13. Certain Relationships and Related Transactions, and Director Independence</w:t>
            </w: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340" w:type="dxa"/>
            <w:vAlign w:val="bottom"/>
          </w:tcPr>
          <w:p>
            <w:pPr>
              <w:spacing w:after="0"/>
              <w:rPr>
                <w:sz w:val="17"/>
                <w:szCs w:val="17"/>
                <w:color w:val="auto"/>
              </w:rPr>
            </w:pPr>
          </w:p>
        </w:tc>
        <w:tc>
          <w:tcPr>
            <w:tcW w:w="3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314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14. Principal Accountant Fees and Services</w:t>
            </w:r>
          </w:p>
        </w:tc>
        <w:tc>
          <w:tcPr>
            <w:tcW w:w="2580" w:type="dxa"/>
            <w:vAlign w:val="bottom"/>
            <w:tcBorders>
              <w:top w:val="single" w:sz="8" w:color="0000EE"/>
            </w:tcBorders>
            <w:gridSpan w:val="6"/>
          </w:tcPr>
          <w:p>
            <w:pPr>
              <w:spacing w:after="0"/>
              <w:rPr>
                <w:sz w:val="17"/>
                <w:szCs w:val="17"/>
                <w:color w:val="auto"/>
              </w:rPr>
            </w:pPr>
          </w:p>
        </w:tc>
        <w:tc>
          <w:tcPr>
            <w:tcW w:w="2540" w:type="dxa"/>
            <w:vAlign w:val="bottom"/>
            <w:gridSpan w:val="4"/>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6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4"/>
              </w:rPr>
              <w:t>PART IV</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r>
      <w:tr>
        <w:trPr>
          <w:trHeight w:val="196"/>
        </w:trPr>
        <w:tc>
          <w:tcPr>
            <w:tcW w:w="340" w:type="dxa"/>
            <w:vAlign w:val="bottom"/>
          </w:tcPr>
          <w:p>
            <w:pPr>
              <w:spacing w:after="0"/>
              <w:rPr>
                <w:sz w:val="17"/>
                <w:szCs w:val="17"/>
                <w:color w:val="auto"/>
              </w:rPr>
            </w:pPr>
          </w:p>
        </w:tc>
        <w:tc>
          <w:tcPr>
            <w:tcW w:w="3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356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15. Exhibits, Financial Statements and Schedules</w:t>
            </w:r>
          </w:p>
        </w:tc>
        <w:tc>
          <w:tcPr>
            <w:tcW w:w="4700" w:type="dxa"/>
            <w:vAlign w:val="bottom"/>
            <w:gridSpan w:val="8"/>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r>
      <w:tr>
        <w:trPr>
          <w:trHeight w:val="196"/>
        </w:trPr>
        <w:tc>
          <w:tcPr>
            <w:tcW w:w="340" w:type="dxa"/>
            <w:vAlign w:val="bottom"/>
          </w:tcPr>
          <w:p>
            <w:pPr>
              <w:spacing w:after="0"/>
              <w:rPr>
                <w:sz w:val="17"/>
                <w:szCs w:val="17"/>
                <w:color w:val="auto"/>
              </w:rPr>
            </w:pPr>
          </w:p>
        </w:tc>
        <w:tc>
          <w:tcPr>
            <w:tcW w:w="3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82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16. Form 10-K Summary</w:t>
            </w:r>
          </w:p>
        </w:tc>
        <w:tc>
          <w:tcPr>
            <w:tcW w:w="60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1229"/>
        </w:trPr>
        <w:tc>
          <w:tcPr>
            <w:tcW w:w="340" w:type="dxa"/>
            <w:vAlign w:val="bottom"/>
            <w:tcBorders>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00"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have developed scalable, over-the-air Wireless Power Network (“WPN”) technology that integrates advanced semiconductor chipsets, software controls, hardware designs, and antenna systems to enable radio frequency (“RF”)-based charging for ambient Internet of Things (“IoT”) devices, transforming supply chain capabilities from limited tracking to overall business intelligence. Our WPN technology consists of transmitter systems, receiver integrated circuits, and supporting software designed to deliver power and data to battery-free IoT devices across a range of operating distances and power levels. These capabilities support applications that require continuous operation without wired power connections or periodic battery replacement.</w:t>
      </w:r>
    </w:p>
    <w:p>
      <w:pPr>
        <w:spacing w:after="0" w:line="187"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With a patent portfolio exceeding 300 patents, our solutions support both near-field and at-a-distance wireless power transmission and include advanced receiver technology designed for use across multiple device categories. Applications include retail sensors, electronic shelf labels (“ESLs”), asset trackers, air quality monitors, motion detectors, and other monitoring solutions.</w:t>
      </w:r>
    </w:p>
    <w:p>
      <w:pPr>
        <w:spacing w:after="0" w:line="176"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To date, we have developed and released multiple transmitter and battery-free receiver products. Our transmitters vary in form factors, power specifications, and operating frequencies, and our receivers are designed to support a range of wireless power-enabled device applications, including:</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9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Device Type</w:t>
            </w:r>
          </w:p>
        </w:tc>
        <w:tc>
          <w:tcPr>
            <w:tcW w:w="496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Application</w:t>
            </w:r>
          </w:p>
        </w:tc>
      </w:tr>
      <w:tr>
        <w:trPr>
          <w:trHeight w:val="209"/>
        </w:trPr>
        <w:tc>
          <w:tcPr>
            <w:tcW w:w="4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RF Tags</w:t>
            </w:r>
          </w:p>
        </w:tc>
        <w:tc>
          <w:tcPr>
            <w:tcW w:w="4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Cold Chain, Asset Tracking, Medical IoT</w:t>
            </w:r>
          </w:p>
        </w:tc>
      </w:tr>
      <w:tr>
        <w:trPr>
          <w:trHeight w:val="209"/>
        </w:trPr>
        <w:tc>
          <w:tcPr>
            <w:tcW w:w="4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Ambient IoT Sensors</w:t>
            </w:r>
          </w:p>
        </w:tc>
        <w:tc>
          <w:tcPr>
            <w:tcW w:w="4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Cold Chain, Logistics, Asset Tracking</w:t>
            </w:r>
          </w:p>
        </w:tc>
      </w:tr>
      <w:tr>
        <w:trPr>
          <w:trHeight w:val="210"/>
        </w:trPr>
        <w:tc>
          <w:tcPr>
            <w:tcW w:w="4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Electronic Shelf Labels</w:t>
            </w:r>
          </w:p>
        </w:tc>
        <w:tc>
          <w:tcPr>
            <w:tcW w:w="4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Retail and Industrial IoT</w:t>
            </w:r>
          </w:p>
        </w:tc>
      </w:tr>
    </w:tbl>
    <w:p>
      <w:pPr>
        <w:spacing w:after="0" w:line="198"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first WPN-enabled product featuring our technology entered the market in 2019. In the fourth quarter of 2021, we commenced shipments of at-a-distance PowerBridge transmitter systems for commercial IoT applications and proof-of-concept deployments. In the second quarter of 2025, we introduced the battery-free e-Sense tag and the e-Compass cloud-based software platform, which together supported the first end-to-end wireless power-enabled IoT device monitoring and management solution. As we continue to innovate our technology applications, we anticipate the release of additional wireless power-enabled products.</w:t>
      </w:r>
    </w:p>
    <w:p>
      <w:pPr>
        <w:spacing w:after="0" w:line="18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“WATT.” Incorporated in Delaware in 2012, our corporate headquarters is located at 3590 North First Street, Suite 330, San Jose, CA 95134. Additional information is available on our website at www.energous.com. The information contained on, or that may be obtained from our website, is not, and shall not be deemed to be, part of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Strategy</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business strategy is focused on the development, commercialization, and deployment of RF-based wireless power solutions for low-power IoT applications. We design and deliver wireless power technology that supports interoperability between transmitters and receivers incorporating our integrated circuits, regardless of device manufacturer or system integrator. Our approach encompasses widely adopted wireless technologies, such as Wi-Fi and Bluetooth, which rely on standardized interfaces and multi-vendor compatibility. We have developed an end-to-end wireless power platform that includes transmitter systems, receiver integrated circuits, and supporting software. This platform is designed to support the delivery of power and data for battery-free IoT devices across retail, industrial, healthcare, and logistics environments.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Key elements of our strategy include:</w:t>
      </w:r>
    </w:p>
    <w:p>
      <w:pPr>
        <w:spacing w:after="0" w:line="225" w:lineRule="exact"/>
        <w:rPr>
          <w:sz w:val="20"/>
          <w:szCs w:val="20"/>
          <w:color w:val="auto"/>
        </w:rPr>
      </w:pPr>
    </w:p>
    <w:p>
      <w:pPr>
        <w:ind w:left="1000" w:right="120" w:hanging="317"/>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developing multiple integrated circuits (“ICs”) to support wireless power transmission and reception across a range of applications;</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40"/>
          </w:cols>
          <w:pgMar w:left="980" w:top="513" w:right="9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right="320" w:hanging="317"/>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licensing, and manufacturing complete transmitter system solutions to support commercial wireless power deployments;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reference designs to reduce early adopter risks, enable easier integration at lower costs, and foster adoption;</w:t>
      </w:r>
    </w:p>
    <w:p>
      <w:pPr>
        <w:spacing w:after="0" w:line="225" w:lineRule="exact"/>
        <w:rPr>
          <w:rFonts w:ascii="Times New Roman" w:cs="Times New Roman" w:eastAsia="Times New Roman" w:hAnsi="Times New Roman"/>
          <w:sz w:val="18"/>
          <w:szCs w:val="18"/>
          <w:color w:val="auto"/>
        </w:rPr>
      </w:pPr>
    </w:p>
    <w:p>
      <w:pPr>
        <w:ind w:left="1000" w:right="440" w:hanging="317"/>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PowerBridge transmitter systems designed to support wireless power-enabled IoT applications, such as asset tracking, environmental monitoring, and ESLs;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Partnering with leading technology providers, systems integrators, and value-added resellers (“VARs”);</w:t>
      </w:r>
    </w:p>
    <w:p>
      <w:pPr>
        <w:spacing w:after="0" w:line="225" w:lineRule="exact"/>
        <w:rPr>
          <w:rFonts w:ascii="Times New Roman" w:cs="Times New Roman" w:eastAsia="Times New Roman" w:hAnsi="Times New Roman"/>
          <w:sz w:val="18"/>
          <w:szCs w:val="18"/>
          <w:color w:val="auto"/>
        </w:rPr>
      </w:pPr>
    </w:p>
    <w:p>
      <w:pPr>
        <w:ind w:left="1000" w:right="200" w:hanging="317"/>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cost effective benefits to customers in terms of utility and convenience by eliminating battery powered sensors and the associated required maintenance;</w:t>
      </w:r>
    </w:p>
    <w:p>
      <w:pPr>
        <w:spacing w:after="0" w:line="161" w:lineRule="exact"/>
        <w:rPr>
          <w:rFonts w:ascii="Times New Roman" w:cs="Times New Roman" w:eastAsia="Times New Roman" w:hAnsi="Times New Roman"/>
          <w:sz w:val="18"/>
          <w:szCs w:val="18"/>
          <w:color w:val="auto"/>
        </w:rPr>
      </w:pPr>
    </w:p>
    <w:p>
      <w:pPr>
        <w:ind w:left="1000" w:right="740" w:hanging="317"/>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Securing and maintaining domestic and international regulatory approvals applicable to RF-based wireless power transmission; and</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in industry organizations to support RF-based wireless charging standards and interoperability.</w:t>
      </w:r>
    </w:p>
    <w:p>
      <w:pPr>
        <w:spacing w:after="0" w:line="225"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We pursue an ecosystem-based approach by engaging customers for our transmitter, receiver, and power amplifier ICs and solutions, as well as their upstream and downstream value-chain partners. We prioritize the development and protection of our intellectual property portfolio to support our competitive, first-to-market advantage in the industry.</w:t>
      </w:r>
    </w:p>
    <w:p>
      <w:pPr>
        <w:spacing w:after="0" w:line="176" w:lineRule="exact"/>
        <w:rPr>
          <w:sz w:val="20"/>
          <w:szCs w:val="20"/>
          <w:color w:val="auto"/>
        </w:rPr>
      </w:pPr>
    </w:p>
    <w:p>
      <w:pPr>
        <w:jc w:val="both"/>
        <w:ind w:right="80" w:firstLine="648"/>
        <w:spacing w:after="0" w:line="281" w:lineRule="auto"/>
        <w:rPr>
          <w:sz w:val="20"/>
          <w:szCs w:val="20"/>
          <w:color w:val="auto"/>
        </w:rPr>
      </w:pPr>
      <w:r>
        <w:rPr>
          <w:rFonts w:ascii="Times New Roman" w:cs="Times New Roman" w:eastAsia="Times New Roman" w:hAnsi="Times New Roman"/>
          <w:sz w:val="17"/>
          <w:szCs w:val="17"/>
          <w:color w:val="auto"/>
        </w:rPr>
        <w:t>To support customer engagement and deployment of our technologies, we offer limited deployments for proof of concept trials, consisting of transmitter and receiver components and associated software to support testing. These limited deployments are designed as scalable building blocks that can be adapted to specific application requirements. We believe that in the early stages of market adoption of new technologies, customer trials are essential to proving the value proposition of our wireless power technology solutions.</w:t>
      </w:r>
    </w:p>
    <w:p>
      <w:pPr>
        <w:spacing w:after="0" w:line="16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we continue to commercialize our technology and product offerings, customer engagements have expanded from early-stage customers conducting proof of concept trials to much larger deployments across multiple industry verticals. As customers experience the benefits introduced by the real-time visibility and cost efficiencies enabled by our technology, new use cases may be identified, providing expansion opportunities within our enterprise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Current Global Economic Conditions on Our Business</w:t>
      </w:r>
    </w:p>
    <w:p>
      <w:pPr>
        <w:spacing w:after="0" w:line="229"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Uncertainty in the global economy presents significant risks to our business. We are subject to ongoing exposure related to the current macroeconomic environment, including inflation, rising interest rates, tariffs, geopolitical factors such as the ongoing conflict between Russia and Ukraine, tensions between the United States and China as well as China and Taiwan, conflicts in the Middle East, and supply chain disruptions. These conditions may affect various aspects of our business, including our operations, financial position, cash flow, inventory management, supply chains, global regulatory approvals, purchasing trends, customer payment patterns, and the broader industry environment, as well as our employees.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Technology</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Our RF-based WPN technology is an end-to-end wireless power platform that combines transmitter systems, receiver components, antenna designs, and supporting software to enable at-a-distance wireless power delivery for low-power electronic devices. The platform is designed to support deployments of battery-free IoT devices in commercial and industrial environments, subject to applicable regulatory constraints.</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WPN platform supports one-to-many power delivery, allowing a single transmitter system to deliver power to multiple receiver-enabled devices within range. The platform supports applications including asset tracking, ESLs, and environmental monitoring. Integrated hardware and software elements support system coordination, device operation, and monitoring, and enable the collection and transmission of device data to cloud-based systems used for device and deployment management.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right"/>
        <w:ind w:right="1839"/>
        <w:spacing w:after="0"/>
        <w:rPr>
          <w:sz w:val="20"/>
          <w:szCs w:val="20"/>
          <w:color w:val="auto"/>
        </w:rPr>
      </w:pPr>
      <w:r>
        <w:rPr>
          <w:rFonts w:ascii="Times New Roman" w:cs="Times New Roman" w:eastAsia="Times New Roman" w:hAnsi="Times New Roman"/>
          <w:sz w:val="18"/>
          <w:szCs w:val="18"/>
          <w:b w:val="1"/>
          <w:bCs w:val="1"/>
          <w:color w:val="auto"/>
        </w:rPr>
        <w:t xml:space="preserve">Figure 1 below </w:t>
      </w:r>
      <w:r>
        <w:rPr>
          <w:rFonts w:ascii="Times New Roman" w:cs="Times New Roman" w:eastAsia="Times New Roman" w:hAnsi="Times New Roman"/>
          <w:sz w:val="18"/>
          <w:szCs w:val="18"/>
          <w:color w:val="auto"/>
        </w:rPr>
        <w:t>illustrates the primary components of the Energous WPN: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156845</wp:posOffset>
            </wp:positionV>
            <wp:extent cx="3308985" cy="3583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08985" cy="3583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Figure 2 below </w:t>
      </w:r>
      <w:r>
        <w:rPr>
          <w:rFonts w:ascii="Times New Roman" w:cs="Times New Roman" w:eastAsia="Times New Roman" w:hAnsi="Times New Roman"/>
          <w:sz w:val="18"/>
          <w:szCs w:val="18"/>
          <w:color w:val="auto"/>
        </w:rPr>
        <w:t>illustrates a high-level architectural view of the Energous WPN: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156845</wp:posOffset>
            </wp:positionV>
            <wp:extent cx="5074920" cy="11061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074920"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Devices that rely on rechargeable batteries are typically charged using wired power connections or short-range wireless charging technologies. Competing approaches include wall plug-in charging, inductive charging, magnetic resonance charging, energy harvesting, and other emerging power delivery methods.</w:t>
      </w:r>
    </w:p>
    <w:p>
      <w:pPr>
        <w:spacing w:after="0" w:line="17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 variety of wireless charging technologies are currently available or under development. These technologies differ in operating range, power levels, system complexity, and deployment requirements and may compete with our solutions in certain applications. The primary alternative wireless power approaches include the following:</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Inductive Coil Charging.</w:t>
      </w:r>
      <w:r>
        <w:rPr>
          <w:rFonts w:ascii="Times New Roman" w:cs="Times New Roman" w:eastAsia="Times New Roman" w:hAnsi="Times New Roman"/>
          <w:sz w:val="18"/>
          <w:szCs w:val="18"/>
          <w:color w:val="auto"/>
        </w:rPr>
        <w:t xml:space="preserve"> Inductive charging uses magnetic coils to transfer energy over very short distances. This method generally requires close alignment between the transmitter and receiver coils and is typically implemented as a contact-based charging solution. Power transfer is influenced by coil size and alignment, and systems generally support one-to-one transmitter-to-receiver pairing. Inductive charging has been commercially deployed for many years in products such as rechargeable electronic toothbrushes and other consumer devices.</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Magnetic Resonance.</w:t>
      </w:r>
      <w:r>
        <w:rPr>
          <w:rFonts w:ascii="Times New Roman" w:cs="Times New Roman" w:eastAsia="Times New Roman" w:hAnsi="Times New Roman"/>
          <w:sz w:val="18"/>
          <w:szCs w:val="18"/>
          <w:color w:val="auto"/>
        </w:rPr>
        <w:t xml:space="preserve"> Magnetic resonance charging also uses magnetic coils to transmit energy and can support greater separation distances than inductive charging. Depending on system design and power levels, magnetic resonance systems may transmit power over distances of up to approximately 30 centimeters and may offer greater flexibility in receiver placement compared to inductive charging.</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Energy Harvesting.</w:t>
      </w:r>
      <w:r>
        <w:rPr>
          <w:rFonts w:ascii="Times New Roman" w:cs="Times New Roman" w:eastAsia="Times New Roman" w:hAnsi="Times New Roman"/>
          <w:sz w:val="18"/>
          <w:szCs w:val="18"/>
          <w:color w:val="auto"/>
        </w:rPr>
        <w:t xml:space="preserve"> Energy harvesting technologies seek to capture ambient energy from environmental sources such as solar, kinetic motion, or existing RF signals. Passive RF energy harvesting uses antennas and associated electronics to collect RF energy already present in an environment from sources such as Wi-Fi access points, mobile devices, and other RF-emitting systems. The amount of energy available from these sources may vary based on environmental conditions and proximity to RF emitters.</w:t>
      </w:r>
    </w:p>
    <w:p>
      <w:pPr>
        <w:spacing w:after="0" w:line="18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Laser-Based Power Transfer.</w:t>
      </w:r>
      <w:r>
        <w:rPr>
          <w:rFonts w:ascii="Times New Roman" w:cs="Times New Roman" w:eastAsia="Times New Roman" w:hAnsi="Times New Roman"/>
          <w:sz w:val="18"/>
          <w:szCs w:val="18"/>
          <w:color w:val="auto"/>
        </w:rPr>
        <w:t xml:space="preserve"> Laser-based power transfer uses focused light energy to deliver power to an optical receiver. These systems typically rely on tightly collimated beams and line-of-sight operation and may incorporate distributed resonance techniques to maintain beam alignment over distance.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Target Markets</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We categorize our target markets based on deployments of our WPN platform across transmitter systems and receiver-enabled devices used in commercial and industrial IoT applications.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Transmitter System Target Markets</w:t>
      </w:r>
    </w:p>
    <w:p>
      <w:pPr>
        <w:spacing w:after="0" w:line="225"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Transmitter systems are designed to broadcast RF energy that can be accessed by WPN-enabled receivers to support the operation of battery-free IoT devices. Our transmitter systems are deployed as part of wireless power networks in enterprise, retail, logistics, healthcare, and industrial environments.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address transmitter system deployments through the following primary models:</w:t>
      </w:r>
    </w:p>
    <w:p>
      <w:pPr>
        <w:spacing w:after="0" w:line="225" w:lineRule="exact"/>
        <w:rPr>
          <w:sz w:val="20"/>
          <w:szCs w:val="20"/>
          <w:color w:val="auto"/>
        </w:rPr>
      </w:pPr>
    </w:p>
    <w:p>
      <w:pPr>
        <w:ind w:left="1000" w:right="80" w:hanging="317"/>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Stand-alone transmitter systems deployed independently or in conjunction with WPN-enabled receiver devices to provide wireless power coverage within defined areas;</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Transmitter systems integrated into third-party devices, including industrial, medical, and enterprise equipment, to provide embedded wireless power functionality; and</w:t>
      </w:r>
    </w:p>
    <w:p>
      <w:pPr>
        <w:spacing w:after="0" w:line="161" w:lineRule="exact"/>
        <w:rPr>
          <w:rFonts w:ascii="Times New Roman" w:cs="Times New Roman" w:eastAsia="Times New Roman" w:hAnsi="Times New Roman"/>
          <w:sz w:val="18"/>
          <w:szCs w:val="18"/>
          <w:color w:val="auto"/>
        </w:rPr>
      </w:pPr>
    </w:p>
    <w:p>
      <w:pPr>
        <w:ind w:left="1000" w:right="320" w:hanging="317"/>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Transmitter systems integrated into networking infrastructure, such as bridge devices and Wi-Fi routers, to support the combined delivery of data connectivity and wire-free power within a facility.</w:t>
      </w:r>
    </w:p>
    <w:p>
      <w:pPr>
        <w:spacing w:after="0" w:line="16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Our primary transmitter offering is the PowerBridge transmitter platform, which supports at-a-distance wireless power delivery for multiple receiver-enabled devices. PowerBridge transmitter systems are deployed in environments such as retail locations, warehouses, fulfillment centers, healthcare facilities, and other enterprise settings to support battery-free IoT applications.</w:t>
      </w:r>
    </w:p>
    <w:p>
      <w:pPr>
        <w:spacing w:after="0" w:line="176" w:lineRule="exact"/>
        <w:rPr>
          <w:sz w:val="20"/>
          <w:szCs w:val="20"/>
          <w:color w:val="auto"/>
        </w:rPr>
      </w:pPr>
    </w:p>
    <w:p>
      <w:pPr>
        <w:jc w:val="both"/>
        <w:ind w:right="180" w:firstLine="648"/>
        <w:spacing w:after="0" w:line="261" w:lineRule="auto"/>
        <w:rPr>
          <w:sz w:val="20"/>
          <w:szCs w:val="20"/>
          <w:color w:val="auto"/>
        </w:rPr>
      </w:pPr>
      <w:r>
        <w:rPr>
          <w:rFonts w:ascii="Times New Roman" w:cs="Times New Roman" w:eastAsia="Times New Roman" w:hAnsi="Times New Roman"/>
          <w:sz w:val="18"/>
          <w:szCs w:val="18"/>
          <w:color w:val="auto"/>
        </w:rPr>
        <w:t>In addition to stand-alone deployments, our transmitter technology is designed to support integration into third-party systems and infrastructure, including networking equipment and enterprise devices, based on specific customer and deployment requirements. These integrations enable wireless power functionality to be embedded within existing environments while maintaining compatibility with applicable regulatory requirements.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Receiver Target Markets</w:t>
      </w:r>
    </w:p>
    <w:p>
      <w:pPr>
        <w:spacing w:after="0" w:line="225"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Our receiver technology is designed for use in low-power IoT devices that require continuous operation without wired power connections or periodic battery replacement. Receiver-enabled devices are deployed as part of wireless power networks to support monitoring, tracking, and sensing applications in commercial and industrial environments.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Representative receiver-enabled applications include:</w:t>
      </w:r>
    </w:p>
    <w:p>
      <w:pPr>
        <w:spacing w:after="0" w:line="225" w:lineRule="exact"/>
        <w:rPr>
          <w:sz w:val="20"/>
          <w:szCs w:val="20"/>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tracking tags and sensors used in retail, logistics, and supply chain environments;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ESLs and related retail sensing devices;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and condition-monitoring sensors, including temperature, humidity, air quality, and motion sensors;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Cold chain monitoring sensors for food, pharmaceutical, and healthcare logistics;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and item-level tracking tags used in warehouses, fulfillment centers, and retail locations;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and operations monitoring sensors deployed in commercial and industrial environments;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access, and presence-detection sensors used in enterprise settings;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low-power, battery-free IoT devices designed for continuous operation in commercial and industrial deployments.</w:t>
      </w:r>
    </w:p>
    <w:p>
      <w:pPr>
        <w:spacing w:after="0" w:line="22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This list is meant to be illustrative only; we cannot guarantee that we will address any of these markets, and we may decide to address a market that is not on the list. We intend to continue to evaluate our target markets and identify new markets based on factors</w:t>
      </w: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513" w:right="10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including (but not limited to) time-to-market, market size and growth, and the strength of our value proposition for a specific application.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Intellectual Property</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Our intellectual property portfolio includes U.S. and foreign patents, patent applications, and associated know-how related to wireless power technology. We pursue patent protection for innovations that support the development and commercialization of our wireless power platform.</w:t>
      </w:r>
    </w:p>
    <w:p>
      <w:pPr>
        <w:spacing w:after="0" w:line="17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As of January 26, 2026, our intellectual property portfolio consisted of over 300 issued patents. These patents are organized across multiple technical areas related to wireless power implementation, including processing algorithms, antenna designs, transmitter and receiver application-specific integrated circuits (“ASICs”), software controls, and hardware design. We also maintain additional pending patent applications in the United States and internationally.</w:t>
      </w:r>
    </w:p>
    <w:p>
      <w:pPr>
        <w:spacing w:after="0" w:line="180"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We continue to evaluate and pursue patent protection for inventions that we determine to be relevant to our business and technology roadmap. Maintaining and defending our patent portfolio represents a significant ongoing cost, and we regularly assess the costs and benefits associated with individual patent filings, issued patents, and related maintenance or annuity fees. Subject to our continued payment of applicable maintenance and annuity fees, our issued patents have terms that do not expire earlier than 2030.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ind w:right="240" w:firstLine="648"/>
        <w:spacing w:after="0" w:line="258" w:lineRule="auto"/>
        <w:rPr>
          <w:sz w:val="20"/>
          <w:szCs w:val="20"/>
          <w:color w:val="auto"/>
        </w:rPr>
      </w:pPr>
      <w:r>
        <w:rPr>
          <w:rFonts w:ascii="Times New Roman" w:cs="Times New Roman" w:eastAsia="Times New Roman" w:hAnsi="Times New Roman"/>
          <w:sz w:val="18"/>
          <w:szCs w:val="18"/>
          <w:color w:val="auto"/>
        </w:rPr>
        <w:t>Our wire-free charging technology involves the transmission of power using RF energy, which is subject to regulation by the Federal Communications Commission (“FCC”), international regulators and may be subject to regulation by other federal, state, local and international agencies. Our technology has been tested against U.S. and international safety requirements which has consistently demonstrated that our technology is safe. We continue to work with regulatory bodies to establish processes, standards and spectrum allocation to ensure devices incorporating our technology can secure required domestic and international approvals.</w:t>
      </w:r>
    </w:p>
    <w:p>
      <w:pPr>
        <w:spacing w:after="0" w:line="183"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As part of the regulatory approval process, devices incorporating our technology must obtain approvals under FCC Part 15 and/or FCC Part 18 in the U.S., depending on the specific application. Energous has received Part 15 and Part 18 FCC approvals for our products and has received regulatory approvals from many international agencies.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FCC Approvals for Energous Technology</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FCC ID</w:t>
            </w:r>
          </w:p>
        </w:tc>
        <w:tc>
          <w:tcPr>
            <w:tcW w:w="61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Description</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210"/>
        </w:trPr>
        <w:tc>
          <w:tcPr>
            <w:tcW w:w="2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2ADNG-MLA1599</w:t>
            </w:r>
          </w:p>
        </w:tc>
        <w:tc>
          <w:tcPr>
            <w:tcW w:w="200" w:type="dxa"/>
            <w:vAlign w:val="bottom"/>
            <w:tcBorders>
              <w:top w:val="single" w:sz="8" w:color="CCEEFF"/>
            </w:tcBorders>
            <w:shd w:val="clear" w:color="auto" w:fill="CCEEFF"/>
          </w:tcPr>
          <w:p>
            <w:pPr>
              <w:spacing w:after="0"/>
              <w:rPr>
                <w:sz w:val="18"/>
                <w:szCs w:val="18"/>
                <w:color w:val="auto"/>
              </w:rPr>
            </w:pPr>
          </w:p>
        </w:tc>
        <w:tc>
          <w:tcPr>
            <w:tcW w:w="5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Transmission System Bluetooth Accessory 2.4GHz</w:t>
            </w:r>
          </w:p>
        </w:tc>
        <w:tc>
          <w:tcPr>
            <w:tcW w:w="2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12/30/2014</w:t>
            </w: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2ADNG-MT100</w:t>
            </w:r>
          </w:p>
        </w:tc>
        <w:tc>
          <w:tcPr>
            <w:tcW w:w="6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Close Coupled 5.8 GHz Charger Pad</w:t>
            </w:r>
          </w:p>
        </w:tc>
        <w:tc>
          <w:tcPr>
            <w:tcW w:w="2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05/24/2016</w:t>
            </w: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2ADNG-NF130</w:t>
            </w:r>
          </w:p>
        </w:tc>
        <w:tc>
          <w:tcPr>
            <w:tcW w:w="6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RF Wireless Charger and Receiver 5.8 GHz</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05/02/2017</w:t>
            </w: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2ADNG-NF130</w:t>
            </w:r>
          </w:p>
        </w:tc>
        <w:tc>
          <w:tcPr>
            <w:tcW w:w="6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Digital Transmission System for Bluetooth 2.4 GHz</w:t>
            </w:r>
          </w:p>
        </w:tc>
        <w:tc>
          <w:tcPr>
            <w:tcW w:w="2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05/02/2017</w:t>
            </w: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2ADNG-MS300</w:t>
            </w:r>
          </w:p>
        </w:tc>
        <w:tc>
          <w:tcPr>
            <w:tcW w:w="6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Wireless Charger 913 MHz</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12/26/2017</w:t>
            </w: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2ADNG-MS300</w:t>
            </w:r>
          </w:p>
        </w:tc>
        <w:tc>
          <w:tcPr>
            <w:tcW w:w="6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Digital Transmission System for Bluetooth 2.4 GHz</w:t>
            </w:r>
          </w:p>
        </w:tc>
        <w:tc>
          <w:tcPr>
            <w:tcW w:w="2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12/26/2017</w:t>
            </w: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2ADNG-MS300A</w:t>
            </w:r>
          </w:p>
        </w:tc>
        <w:tc>
          <w:tcPr>
            <w:tcW w:w="6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WPT Client Device 913 MHz</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01/05/2018</w:t>
            </w: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2ADNG-MS300A</w:t>
            </w:r>
          </w:p>
        </w:tc>
        <w:tc>
          <w:tcPr>
            <w:tcW w:w="6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Digital Transmission System WPT Client Device with BLE 2.4 GHz</w:t>
            </w:r>
          </w:p>
        </w:tc>
        <w:tc>
          <w:tcPr>
            <w:tcW w:w="2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01/05/2018</w:t>
            </w: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2ADNG-NF230</w:t>
            </w:r>
          </w:p>
        </w:tc>
        <w:tc>
          <w:tcPr>
            <w:tcW w:w="6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RF Wireless Charger 918 MHz</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04/09/2018</w:t>
            </w: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2ADNG-NF230</w:t>
            </w:r>
          </w:p>
        </w:tc>
        <w:tc>
          <w:tcPr>
            <w:tcW w:w="6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Digital Transmission System for Bluetooth 2.4 GHz</w:t>
            </w:r>
          </w:p>
        </w:tc>
        <w:tc>
          <w:tcPr>
            <w:tcW w:w="2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04/09/2018</w:t>
            </w: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2ADNG-NF330</w:t>
            </w:r>
          </w:p>
        </w:tc>
        <w:tc>
          <w:tcPr>
            <w:tcW w:w="6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RF Wireless Charger 918MHz</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07/29/2019</w:t>
            </w: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2ADNG-NF330</w:t>
            </w:r>
          </w:p>
        </w:tc>
        <w:tc>
          <w:tcPr>
            <w:tcW w:w="6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Digital Transmission System for Bluetooth 2.4 GHz</w:t>
            </w:r>
          </w:p>
        </w:tc>
        <w:tc>
          <w:tcPr>
            <w:tcW w:w="2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07/29/2019</w:t>
            </w: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2ADNG-MS550</w:t>
            </w:r>
          </w:p>
        </w:tc>
        <w:tc>
          <w:tcPr>
            <w:tcW w:w="6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RF Wireless Charger 918MHz</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04/21/2020</w:t>
            </w: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2ADNG-MS550</w:t>
            </w:r>
          </w:p>
        </w:tc>
        <w:tc>
          <w:tcPr>
            <w:tcW w:w="6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Digital Transmission System for Bluetooth 2.4 GHz</w:t>
            </w:r>
          </w:p>
        </w:tc>
        <w:tc>
          <w:tcPr>
            <w:tcW w:w="2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04/21/2020</w:t>
            </w: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2ADNG-MS550</w:t>
            </w:r>
          </w:p>
        </w:tc>
        <w:tc>
          <w:tcPr>
            <w:tcW w:w="6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RF Wireless Charger 918MHz</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09/30/2020</w:t>
            </w: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2ADNG-MS550</w:t>
            </w:r>
          </w:p>
        </w:tc>
        <w:tc>
          <w:tcPr>
            <w:tcW w:w="6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Digital Transmission System for Bluetooth 2.4 GHz</w:t>
            </w:r>
          </w:p>
        </w:tc>
        <w:tc>
          <w:tcPr>
            <w:tcW w:w="2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09/30/2020</w:t>
            </w: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2ADNG-VN15</w:t>
            </w:r>
          </w:p>
        </w:tc>
        <w:tc>
          <w:tcPr>
            <w:tcW w:w="6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RF Wireless Charger 918MHz</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10/19/2021</w:t>
            </w: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2ADNG-VN15</w:t>
            </w:r>
          </w:p>
        </w:tc>
        <w:tc>
          <w:tcPr>
            <w:tcW w:w="6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Digital Transmission System for Bluetooth 2.4 GHz</w:t>
            </w:r>
          </w:p>
        </w:tc>
        <w:tc>
          <w:tcPr>
            <w:tcW w:w="2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10/19/2021</w:t>
            </w: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2ADNG-VN1810</w:t>
            </w:r>
          </w:p>
        </w:tc>
        <w:tc>
          <w:tcPr>
            <w:tcW w:w="6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RF Wireless Charger 918MHz</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11/30/2021</w:t>
            </w: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2ADNG-VN1810</w:t>
            </w:r>
          </w:p>
        </w:tc>
        <w:tc>
          <w:tcPr>
            <w:tcW w:w="6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Digital Transmission System for Bluetooth 2.4 GHz</w:t>
            </w:r>
          </w:p>
        </w:tc>
        <w:tc>
          <w:tcPr>
            <w:tcW w:w="2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11/30/2021</w:t>
            </w: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2ADNG-VN25</w:t>
            </w:r>
          </w:p>
        </w:tc>
        <w:tc>
          <w:tcPr>
            <w:tcW w:w="6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RF Wireless Charger 918MHz</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01/14/2022</w:t>
            </w: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2ADNG-VN25</w:t>
            </w:r>
          </w:p>
        </w:tc>
        <w:tc>
          <w:tcPr>
            <w:tcW w:w="6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Digital Transmission System for Bluetooth 2.4 GHz</w:t>
            </w:r>
          </w:p>
        </w:tc>
        <w:tc>
          <w:tcPr>
            <w:tcW w:w="2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01/14/2022</w:t>
            </w: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2ADNG-VN55</w:t>
            </w:r>
          </w:p>
        </w:tc>
        <w:tc>
          <w:tcPr>
            <w:tcW w:w="6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RF Wireless Charger 918MHz</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06/02/2022</w:t>
            </w: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2ADNG-VN55</w:t>
            </w:r>
          </w:p>
        </w:tc>
        <w:tc>
          <w:tcPr>
            <w:tcW w:w="6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Digital Transmission System for Bluetooth/Zigbee 2.4 GHz</w:t>
            </w:r>
          </w:p>
        </w:tc>
        <w:tc>
          <w:tcPr>
            <w:tcW w:w="2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06/02/2022</w:t>
            </w: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2ADNG-VN1820</w:t>
            </w:r>
          </w:p>
        </w:tc>
        <w:tc>
          <w:tcPr>
            <w:tcW w:w="6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RF Wireless Charger 918MHz</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08/10/2022</w:t>
            </w: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2ADNG-VN1820</w:t>
            </w:r>
          </w:p>
        </w:tc>
        <w:tc>
          <w:tcPr>
            <w:tcW w:w="6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Digital Transmission System for Bluetooth 2.4 GHz</w:t>
            </w:r>
          </w:p>
        </w:tc>
        <w:tc>
          <w:tcPr>
            <w:tcW w:w="2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08/10/2022</w:t>
            </w: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2ADNG-VN55</w:t>
            </w:r>
          </w:p>
        </w:tc>
        <w:tc>
          <w:tcPr>
            <w:tcW w:w="6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RF Wireless Charger 918MHz</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11/14/2023</w:t>
            </w: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2ADNG-VN55</w:t>
            </w:r>
          </w:p>
        </w:tc>
        <w:tc>
          <w:tcPr>
            <w:tcW w:w="6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Digital Transmission System for Bluetooth/Zigbee 2.4 GHz</w:t>
            </w:r>
          </w:p>
        </w:tc>
        <w:tc>
          <w:tcPr>
            <w:tcW w:w="2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11/14/2023</w:t>
            </w: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2ADNG-YND1800</w:t>
            </w:r>
          </w:p>
        </w:tc>
        <w:tc>
          <w:tcPr>
            <w:tcW w:w="6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RF Wireless Charger 918MHz</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08/21/2024</w:t>
            </w: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2ADNG-YND1800</w:t>
            </w:r>
          </w:p>
        </w:tc>
        <w:tc>
          <w:tcPr>
            <w:tcW w:w="6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Digital Transmission System for Bluetooth 2.4 GHz</w:t>
            </w:r>
          </w:p>
        </w:tc>
        <w:tc>
          <w:tcPr>
            <w:tcW w:w="2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08/21/2024</w:t>
            </w: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2ADNG-YND1800</w:t>
            </w:r>
          </w:p>
        </w:tc>
        <w:tc>
          <w:tcPr>
            <w:tcW w:w="6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RF Wireless Charger 918MHz</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01/26/2026</w:t>
            </w:r>
          </w:p>
        </w:tc>
      </w:tr>
      <w:tr>
        <w:trPr>
          <w:trHeight w:val="234"/>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2ADNG-YND1800</w:t>
            </w:r>
          </w:p>
        </w:tc>
        <w:tc>
          <w:tcPr>
            <w:tcW w:w="6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Digital Transmission System for Bluetooth 2.4 GHz</w:t>
            </w:r>
          </w:p>
        </w:tc>
        <w:tc>
          <w:tcPr>
            <w:tcW w:w="2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01/26/2026</w:t>
            </w:r>
          </w:p>
        </w:tc>
      </w:tr>
    </w:tbl>
    <w:p>
      <w:pPr>
        <w:spacing w:after="0" w:line="17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2025, we announced completion of the regulatory process for our PowerBridge LITE [formerly known as the 1W transmitter] wireless charging technology in the U.S., Canada, Europe, India, China, UK, Korea, Australia and New Zealand. In addition, on December 16, 2025, we announced completion of the regulatory process for our PowerBridge Pro across all EU member states and the UK, enabling commercialization there. As of March 15, 2026, products integrating our WPT technology had received international regulatory approvals in over 110 countries.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fabless semiconductor company, we foresee our manufacturing strategy following an outsourced manufacturing process.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engaged with contract manufacturing partners in the United States and internationally.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As of January 26, 2026, we had 27 full-time employees, 12 of whom are engineers. None of these employees are covered by a collective bargaining agreement, and we believe our relationship with our employees is good. We also employ consultants, including technical advisors, on an as-needed basis, for their technical expertise. Consultants and technical advisors provide us with expertise in electrical engineering, software development, market research and accounting.</w:t>
      </w:r>
    </w:p>
    <w:p>
      <w:pPr>
        <w:spacing w:after="0" w:line="180"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We are committed to maintaining a workplace free from discrimination and harassment on the basis of color, race, gender, age, disability, sexual orientation, religion, expression, or any other status protected by applicable law. Our management and employees are expected to exhibit and promote honest, ethical and respectful conduct in the workplace.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industrial markets in which we are involved have minimal seasonal impact. The markets for commercial products, in which we anticipate our technology may be adopted, including the markets in which we currently have proof of concept deployments, vary in their seasonal impact. Overall, we do not foresee a material seasonal impact to our revenue at this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documents with the Securities and Exchange Commission, or SEC, under the Securities Exchange Act of 1934, as amended, or Exchange Act. The SEC maintains an Internet website that contains reports, proxy and information statements, and other information regarding issuers, including us, that file electronically with the SEC. The public can obtain any documents that we file with the SEC at www.sec.gov. Copies of each of our filings with the SEC can also be viewed and downloaded free of charge at our website, https://ir.energous.com/, after the reports and amendments are electronically filed with or furnished to the SEC.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We are subject to many risks that may harm our business, prospects, results of operations and financial condition. This discussion highlights some of the risks that might adversely affect our future operating results in material ways. We believe these are the risks and uncertainties that are the most important ones we face. We cannot be certain that we will successfully address these risks, and if we are unable to address them, our business may not grow, our stock price may suffer and you could lose the value of your investment in the Company. Other risks and uncertainties that we do not currently recognize as material risks, or that are similar to risks faced by other companies in our industry, may also impair our business, prospects, results of operations and financial condition. The risks discussed below include forward-looking statements, and our actual results may differ substantially from what is in these 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Financial Condition</w:t>
      </w:r>
    </w:p>
    <w:p>
      <w:pPr>
        <w:spacing w:after="0" w:line="229" w:lineRule="exact"/>
        <w:rPr>
          <w:sz w:val="20"/>
          <w:szCs w:val="20"/>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history of generating meaningful product revenue, and we may never achieve or maintain profitability.</w:t>
      </w:r>
    </w:p>
    <w:p>
      <w:pPr>
        <w:spacing w:after="0" w:line="225" w:lineRule="exact"/>
        <w:rPr>
          <w:rFonts w:ascii="Times New Roman" w:cs="Times New Roman" w:eastAsia="Times New Roman" w:hAnsi="Times New Roman"/>
          <w:sz w:val="18"/>
          <w:szCs w:val="18"/>
          <w:color w:val="auto"/>
        </w:rPr>
      </w:pPr>
    </w:p>
    <w:p>
      <w:pPr>
        <w:ind w:left="1000" w:right="60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additional financings to achieve our long-term business plans, and there is no guarantee that it will be available on acceptable terms, or at all.</w:t>
      </w:r>
    </w:p>
    <w:p>
      <w:pPr>
        <w:spacing w:after="0" w:line="161" w:lineRule="exact"/>
        <w:rPr>
          <w:rFonts w:ascii="Times New Roman" w:cs="Times New Roman" w:eastAsia="Times New Roman" w:hAnsi="Times New Roman"/>
          <w:sz w:val="18"/>
          <w:szCs w:val="18"/>
          <w:color w:val="auto"/>
        </w:rPr>
      </w:pPr>
    </w:p>
    <w:p>
      <w:pPr>
        <w:ind w:left="1000" w:right="8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short-term or future indebtedness could adversely affect our business, financial condition, and results of operations, as well as the ability to meet payment obligations.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adversely affected by the effects of inflation.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Technology and Products</w:t>
      </w:r>
    </w:p>
    <w:p>
      <w:pPr>
        <w:spacing w:after="0" w:line="229" w:lineRule="exact"/>
        <w:rPr>
          <w:sz w:val="20"/>
          <w:szCs w:val="20"/>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develop all the features we seek to include in our technology.</w:t>
      </w:r>
    </w:p>
    <w:p>
      <w:pPr>
        <w:spacing w:after="0" w:line="225" w:lineRule="exact"/>
        <w:rPr>
          <w:rFonts w:ascii="Times New Roman" w:cs="Times New Roman" w:eastAsia="Times New Roman" w:hAnsi="Times New Roman"/>
          <w:sz w:val="18"/>
          <w:szCs w:val="18"/>
          <w:color w:val="auto"/>
        </w:rPr>
      </w:pPr>
    </w:p>
    <w:p>
      <w:pPr>
        <w:ind w:left="1000" w:right="760" w:hanging="317"/>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and will continue to make significant investments in our products but may be unable to demonstrate the commercial feasibility of the full capability of our technology or achieve profitability.</w:t>
      </w:r>
    </w:p>
    <w:p>
      <w:pPr>
        <w:spacing w:after="0" w:line="161" w:lineRule="exact"/>
        <w:rPr>
          <w:rFonts w:ascii="Times New Roman" w:cs="Times New Roman" w:eastAsia="Times New Roman" w:hAnsi="Times New Roman"/>
          <w:sz w:val="18"/>
          <w:szCs w:val="18"/>
          <w:color w:val="auto"/>
        </w:rPr>
      </w:pPr>
    </w:p>
    <w:p>
      <w:pPr>
        <w:ind w:left="1000" w:right="360" w:hanging="317"/>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business operations as we intend will impose new demands on our financial, technical, operational and management resources.</w:t>
      </w:r>
    </w:p>
    <w:p>
      <w:pPr>
        <w:spacing w:after="0" w:line="161" w:lineRule="exact"/>
        <w:rPr>
          <w:rFonts w:ascii="Times New Roman" w:cs="Times New Roman" w:eastAsia="Times New Roman" w:hAnsi="Times New Roman"/>
          <w:sz w:val="18"/>
          <w:szCs w:val="18"/>
          <w:color w:val="auto"/>
        </w:rPr>
      </w:pPr>
    </w:p>
    <w:p>
      <w:pPr>
        <w:ind w:left="1000" w:right="40" w:hanging="317"/>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products incorporating our technology are launched commercially but do not achieve widespread market acceptance, we will not be able to generate the revenue necessary to support our business.</w:t>
      </w:r>
    </w:p>
    <w:p>
      <w:pPr>
        <w:spacing w:after="0" w:line="161" w:lineRule="exact"/>
        <w:rPr>
          <w:rFonts w:ascii="Times New Roman" w:cs="Times New Roman" w:eastAsia="Times New Roman" w:hAnsi="Times New Roman"/>
          <w:sz w:val="18"/>
          <w:szCs w:val="18"/>
          <w:color w:val="auto"/>
        </w:rPr>
      </w:pPr>
    </w:p>
    <w:p>
      <w:pPr>
        <w:ind w:left="1000" w:right="120" w:hanging="317"/>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or the products of our licensing partners, could be susceptible to errors, defects, or unintended performance problems that could result in lost revenue, liability or delayed or limited market acceptance.</w:t>
      </w:r>
    </w:p>
    <w:p>
      <w:pPr>
        <w:spacing w:after="0" w:line="161" w:lineRule="exact"/>
        <w:rPr>
          <w:rFonts w:ascii="Times New Roman" w:cs="Times New Roman" w:eastAsia="Times New Roman" w:hAnsi="Times New Roman"/>
          <w:sz w:val="18"/>
          <w:szCs w:val="18"/>
          <w:color w:val="auto"/>
        </w:rPr>
      </w:pPr>
    </w:p>
    <w:p>
      <w:pPr>
        <w:ind w:left="1000" w:right="80" w:hanging="317"/>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products incorporating our technology are launched commercially, we may experience seasonality or other unevenness in our financial results or a long and variable sales cycle in enterprise markets.</w:t>
      </w:r>
    </w:p>
    <w:p>
      <w:pPr>
        <w:spacing w:after="0" w:line="161" w:lineRule="exact"/>
        <w:rPr>
          <w:rFonts w:ascii="Times New Roman" w:cs="Times New Roman" w:eastAsia="Times New Roman" w:hAnsi="Times New Roman"/>
          <w:sz w:val="18"/>
          <w:szCs w:val="18"/>
          <w:color w:val="auto"/>
        </w:rPr>
      </w:pPr>
    </w:p>
    <w:p>
      <w:pPr>
        <w:ind w:left="1000" w:right="40" w:hanging="317"/>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products based on our technology may require the user to purchase additional products to use with existing devices. To the extent these additional purchases are inconvenient or costly, the adoption of our technology under development or other future products could be slowed or delayed, which would harm our business.</w:t>
      </w:r>
    </w:p>
    <w:p>
      <w:pPr>
        <w:spacing w:after="0" w:line="175" w:lineRule="exact"/>
        <w:rPr>
          <w:rFonts w:ascii="Times New Roman" w:cs="Times New Roman" w:eastAsia="Times New Roman" w:hAnsi="Times New Roman"/>
          <w:sz w:val="18"/>
          <w:szCs w:val="18"/>
          <w:color w:val="auto"/>
        </w:rPr>
      </w:pPr>
    </w:p>
    <w:p>
      <w:pPr>
        <w:ind w:left="1000" w:right="180" w:hanging="317"/>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conditions differ from field conditions, which could reduce the effectiveness of our technology under development or other future products. Failures to move from laboratory to the field effectively would harm our business.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concerns and legal action by private parties may affect our business.</w:t>
      </w:r>
    </w:p>
    <w:p>
      <w:pPr>
        <w:spacing w:after="0" w:line="225" w:lineRule="exact"/>
        <w:rPr>
          <w:rFonts w:ascii="Times New Roman" w:cs="Times New Roman" w:eastAsia="Times New Roman" w:hAnsi="Times New Roman"/>
          <w:sz w:val="18"/>
          <w:szCs w:val="18"/>
          <w:color w:val="auto"/>
        </w:rPr>
      </w:pPr>
    </w:p>
    <w:p>
      <w:pPr>
        <w:ind w:left="1000" w:right="180" w:hanging="317"/>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industry is highly competitive and subject to technological change, and if we do not keep pace with evolving enterprise, industrial, and commercial customer requirements, our technology, platform, and solutions could become less competitive or obsolete, which could adversely affect our business and operating results.</w:t>
      </w:r>
    </w:p>
    <w:p>
      <w:pPr>
        <w:spacing w:after="0" w:line="175" w:lineRule="exact"/>
        <w:rPr>
          <w:rFonts w:ascii="Times New Roman" w:cs="Times New Roman" w:eastAsia="Times New Roman" w:hAnsi="Times New Roman"/>
          <w:sz w:val="18"/>
          <w:szCs w:val="18"/>
          <w:color w:val="auto"/>
        </w:rPr>
      </w:pPr>
    </w:p>
    <w:p>
      <w:pPr>
        <w:ind w:left="1000" w:right="40" w:hanging="317"/>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quality of our products does not meet the expectations of our licensing partners or the end users of our licensing partners’ products or regulatory or industry standards, then our sales and operating earnings, and ultimately our reputation, could be negatively impacted.</w:t>
      </w:r>
    </w:p>
    <w:p>
      <w:pPr>
        <w:spacing w:after="0" w:line="175" w:lineRule="exact"/>
        <w:rPr>
          <w:rFonts w:ascii="Times New Roman" w:cs="Times New Roman" w:eastAsia="Times New Roman" w:hAnsi="Times New Roman"/>
          <w:sz w:val="18"/>
          <w:szCs w:val="18"/>
          <w:color w:val="auto"/>
        </w:rPr>
      </w:pPr>
    </w:p>
    <w:p>
      <w:pPr>
        <w:ind w:left="1000" w:right="180" w:hanging="317"/>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products do not effectively interoperate with wireless networks and the wireless devices that integrate them, future sales of our products could be negatively affected.</w:t>
      </w:r>
    </w:p>
    <w:p>
      <w:pPr>
        <w:spacing w:after="0" w:line="161" w:lineRule="exact"/>
        <w:rPr>
          <w:rFonts w:ascii="Times New Roman" w:cs="Times New Roman" w:eastAsia="Times New Roman" w:hAnsi="Times New Roman"/>
          <w:sz w:val="18"/>
          <w:szCs w:val="18"/>
          <w:color w:val="auto"/>
        </w:rPr>
      </w:pPr>
    </w:p>
    <w:p>
      <w:pPr>
        <w:ind w:left="1000" w:right="20" w:hanging="317"/>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require third-party components, including components from limited or sole source suppliers, to build our products. The unavailability of these components could substantially disrupt our ability to manufacture our products and fulfill sales orders.</w:t>
      </w:r>
    </w:p>
    <w:p>
      <w:pPr>
        <w:spacing w:after="0" w:line="17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commodities and certain components subjects us to cost volatility and potential availability constraints.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and international trade policies may adversely impact our business.</w:t>
      </w:r>
    </w:p>
    <w:p>
      <w:pPr>
        <w:spacing w:after="0" w:line="225" w:lineRule="exact"/>
        <w:rPr>
          <w:rFonts w:ascii="Times New Roman" w:cs="Times New Roman" w:eastAsia="Times New Roman" w:hAnsi="Times New Roman"/>
          <w:sz w:val="18"/>
          <w:szCs w:val="18"/>
          <w:color w:val="auto"/>
        </w:rPr>
      </w:pPr>
    </w:p>
    <w:p>
      <w:pPr>
        <w:ind w:left="1000" w:right="80" w:hanging="317"/>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rely on the availability of unlicensed RF spectrum and if such spectrum were to become unavailable through overuse or licensing, the performance of our products could suffer and our revenues from their sales could decrease.</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upon a few major customers may adversely affect our revenue and operating results.</w:t>
      </w:r>
    </w:p>
    <w:p>
      <w:pPr>
        <w:spacing w:after="0" w:line="225" w:lineRule="exact"/>
        <w:rPr>
          <w:rFonts w:ascii="Times New Roman" w:cs="Times New Roman" w:eastAsia="Times New Roman" w:hAnsi="Times New Roman"/>
          <w:sz w:val="18"/>
          <w:szCs w:val="18"/>
          <w:color w:val="auto"/>
        </w:rPr>
      </w:pPr>
    </w:p>
    <w:p>
      <w:pPr>
        <w:ind w:left="1000" w:hanging="317"/>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licensing partners do not effectively manage inventory of their products which integrate our technology, fail to timely resell such products or overestimate expected future demand, they may reduce purchases in future periods, causing our revenues and operating results to fluctuate or decline.</w:t>
      </w:r>
    </w:p>
    <w:p>
      <w:pPr>
        <w:spacing w:after="0" w:line="175" w:lineRule="exact"/>
        <w:rPr>
          <w:rFonts w:ascii="Times New Roman" w:cs="Times New Roman" w:eastAsia="Times New Roman" w:hAnsi="Times New Roman"/>
          <w:sz w:val="18"/>
          <w:szCs w:val="18"/>
          <w:color w:val="auto"/>
        </w:rPr>
      </w:pPr>
    </w:p>
    <w:p>
      <w:pPr>
        <w:ind w:left="1000" w:right="220" w:hanging="317"/>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effectively forecast demand or manage our inventory, we may be required to record write-downs for excess or obsolete inventory.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Intellectual Property and Other Legal Risks</w:t>
      </w:r>
    </w:p>
    <w:p>
      <w:pPr>
        <w:spacing w:after="0" w:line="229" w:lineRule="exact"/>
        <w:rPr>
          <w:sz w:val="20"/>
          <w:szCs w:val="20"/>
          <w:color w:val="auto"/>
        </w:rPr>
      </w:pPr>
    </w:p>
    <w:p>
      <w:pPr>
        <w:ind w:left="1000" w:right="360" w:hanging="317"/>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difficult and costly to protect our intellectual property and our proprietary technologies, and we may not be able to ensure their protection.</w:t>
      </w:r>
    </w:p>
    <w:p>
      <w:pPr>
        <w:spacing w:after="0" w:line="161" w:lineRule="exact"/>
        <w:rPr>
          <w:rFonts w:ascii="Times New Roman" w:cs="Times New Roman" w:eastAsia="Times New Roman" w:hAnsi="Times New Roman"/>
          <w:sz w:val="18"/>
          <w:szCs w:val="18"/>
          <w:color w:val="auto"/>
        </w:rPr>
      </w:pPr>
    </w:p>
    <w:p>
      <w:pPr>
        <w:ind w:left="1000" w:right="160" w:hanging="317"/>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upon a combination of patents, trade secrets, copyright and trademark laws to protect our intellectual property and technology.</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patent infringement or other intellectual property lawsuits that could be costly to defend.</w:t>
      </w:r>
    </w:p>
    <w:p>
      <w:pPr>
        <w:spacing w:after="0" w:line="225" w:lineRule="exact"/>
        <w:rPr>
          <w:rFonts w:ascii="Times New Roman" w:cs="Times New Roman" w:eastAsia="Times New Roman" w:hAnsi="Times New Roman"/>
          <w:sz w:val="18"/>
          <w:szCs w:val="18"/>
          <w:color w:val="auto"/>
        </w:rPr>
      </w:pPr>
    </w:p>
    <w:p>
      <w:pPr>
        <w:ind w:left="1000" w:right="220" w:hanging="317"/>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become subject to product liability claims, product recalls, and warranty claims that could be expensive, divert management’s attention and harm our business.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data security risks, including security breaches.</w:t>
      </w:r>
    </w:p>
    <w:p>
      <w:pPr>
        <w:spacing w:after="0" w:line="225" w:lineRule="exact"/>
        <w:rPr>
          <w:rFonts w:ascii="Times New Roman" w:cs="Times New Roman" w:eastAsia="Times New Roman" w:hAnsi="Times New Roman"/>
          <w:sz w:val="18"/>
          <w:szCs w:val="18"/>
          <w:color w:val="auto"/>
        </w:rPr>
      </w:pPr>
    </w:p>
    <w:p>
      <w:pPr>
        <w:ind w:left="1000" w:right="140" w:hanging="317"/>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satisfy data protection, security, privacy and other government- and industry-specific requirements or regulations, our business, results of operations and financial condition could be harmed.</w:t>
      </w:r>
    </w:p>
    <w:p>
      <w:pPr>
        <w:spacing w:after="0" w:line="161" w:lineRule="exact"/>
        <w:rPr>
          <w:rFonts w:ascii="Times New Roman" w:cs="Times New Roman" w:eastAsia="Times New Roman" w:hAnsi="Times New Roman"/>
          <w:sz w:val="18"/>
          <w:szCs w:val="18"/>
          <w:color w:val="auto"/>
        </w:rPr>
      </w:pPr>
    </w:p>
    <w:p>
      <w:pPr>
        <w:ind w:left="1000" w:right="40" w:hanging="317"/>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secure advantageous license agreements for our technology, our business and results of operations will be adversely affected.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Regulation of Our Business</w:t>
      </w:r>
    </w:p>
    <w:p>
      <w:pPr>
        <w:spacing w:after="0" w:line="229" w:lineRule="exact"/>
        <w:rPr>
          <w:sz w:val="20"/>
          <w:szCs w:val="20"/>
          <w:color w:val="auto"/>
        </w:rPr>
      </w:pPr>
    </w:p>
    <w:p>
      <w:pPr>
        <w:ind w:left="1000" w:right="200" w:hanging="317"/>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international regulators may deny approval for our technology, and future legislative or regulatory changes may impair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Personnel</w:t>
      </w:r>
    </w:p>
    <w:p>
      <w:pPr>
        <w:spacing w:after="0" w:line="229" w:lineRule="exact"/>
        <w:rPr>
          <w:sz w:val="20"/>
          <w:szCs w:val="20"/>
          <w:color w:val="auto"/>
        </w:rPr>
      </w:pPr>
    </w:p>
    <w:p>
      <w:pPr>
        <w:ind w:left="1000" w:right="20" w:hanging="317"/>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key members of our executive management team. Our inability to retain these individuals could impede our business plan and growth strategies, which could have a negative impact on our business and the value of your investment.</w:t>
      </w:r>
    </w:p>
    <w:p>
      <w:pPr>
        <w:spacing w:after="0" w:line="17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and growth depend on our ability to attract, integrate and retain high-level engineering talent.</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associated with our utilization of engineering consultants.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Ownership of Our Common Stock</w:t>
      </w:r>
    </w:p>
    <w:p>
      <w:pPr>
        <w:spacing w:after="0" w:line="229" w:lineRule="exact"/>
        <w:rPr>
          <w:sz w:val="20"/>
          <w:szCs w:val="20"/>
          <w:color w:val="auto"/>
        </w:rPr>
      </w:pPr>
    </w:p>
    <w:p>
      <w:pPr>
        <w:ind w:left="1000" w:right="100" w:hanging="317"/>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“smaller reporting company,” and the reduced disclosure requirements applicable to smaller reporting companies could make our common stock less attractive to investors.</w:t>
      </w:r>
    </w:p>
    <w:p>
      <w:pPr>
        <w:spacing w:after="0" w:line="161" w:lineRule="exact"/>
        <w:rPr>
          <w:rFonts w:ascii="Times New Roman" w:cs="Times New Roman" w:eastAsia="Times New Roman" w:hAnsi="Times New Roman"/>
          <w:sz w:val="18"/>
          <w:szCs w:val="18"/>
          <w:color w:val="auto"/>
        </w:rPr>
      </w:pPr>
    </w:p>
    <w:p>
      <w:pPr>
        <w:ind w:left="1000" w:right="620" w:hanging="317"/>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maintain effective internal control over financial reporting, investors may lose confidence in the accuracy of our financial reports.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likely to continue to be volatile. You might lose all or part of your investment.</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paid dividends in the past and have no immediate plans to pay dividends.</w:t>
      </w:r>
    </w:p>
    <w:p>
      <w:pPr>
        <w:spacing w:after="0" w:line="225" w:lineRule="exact"/>
        <w:rPr>
          <w:rFonts w:ascii="Times New Roman" w:cs="Times New Roman" w:eastAsia="Times New Roman" w:hAnsi="Times New Roman"/>
          <w:sz w:val="18"/>
          <w:szCs w:val="18"/>
          <w:color w:val="auto"/>
        </w:rPr>
      </w:pPr>
    </w:p>
    <w:p>
      <w:pPr>
        <w:ind w:left="1000" w:right="200" w:hanging="317"/>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continue to incur significant costs as a result of being a public reporting company and our management will be required to devote substantial time to meet our compliance obligations.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securities litigation, which is expensive and could divert management attention.</w:t>
      </w:r>
    </w:p>
    <w:p>
      <w:pPr>
        <w:spacing w:after="0" w:line="225" w:lineRule="exact"/>
        <w:rPr>
          <w:rFonts w:ascii="Times New Roman" w:cs="Times New Roman" w:eastAsia="Times New Roman" w:hAnsi="Times New Roman"/>
          <w:sz w:val="18"/>
          <w:szCs w:val="18"/>
          <w:color w:val="auto"/>
        </w:rPr>
      </w:pPr>
    </w:p>
    <w:p>
      <w:pPr>
        <w:ind w:left="1000" w:right="400" w:hanging="317"/>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Federal net operating loss carryforwards to reduce future tax payments may be limited if our taxable income does not reach sufficient levels.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charter documents and Delaware law may inhibit a takeover that stockholders consider favorable.</w:t>
      </w:r>
    </w:p>
    <w:p>
      <w:pPr>
        <w:spacing w:after="0" w:line="225" w:lineRule="exact"/>
        <w:rPr>
          <w:rFonts w:ascii="Times New Roman" w:cs="Times New Roman" w:eastAsia="Times New Roman" w:hAnsi="Times New Roman"/>
          <w:sz w:val="18"/>
          <w:szCs w:val="18"/>
          <w:color w:val="auto"/>
        </w:rPr>
      </w:pPr>
    </w:p>
    <w:p>
      <w:pPr>
        <w:ind w:left="1000" w:right="220" w:hanging="317"/>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warrants that are accounted for as liabilities and the changes in value of our warrants could have a material effect on the market price of our common stock or our financial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Cybersecurity</w:t>
      </w:r>
    </w:p>
    <w:p>
      <w:pPr>
        <w:spacing w:after="0" w:line="229" w:lineRule="exact"/>
        <w:rPr>
          <w:sz w:val="20"/>
          <w:szCs w:val="20"/>
          <w:color w:val="auto"/>
        </w:rPr>
      </w:pPr>
    </w:p>
    <w:p>
      <w:pPr>
        <w:ind w:left="1000" w:right="200" w:hanging="317"/>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incidents, including data security breaches or computer viruses, could harm our business by disrupting our business operations, compromising our products and services, damaging our reputation or exposing us to liability.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229" w:lineRule="exact"/>
        <w:rPr>
          <w:sz w:val="20"/>
          <w:szCs w:val="20"/>
          <w:color w:val="auto"/>
        </w:rPr>
      </w:pPr>
    </w:p>
    <w:p>
      <w:pPr>
        <w:ind w:left="1000" w:right="100" w:hanging="317"/>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macroeconomic conditions, natural disasters or reduced technology spending could adversely affect our business, operating results, and financial condition.</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our business, or publish negative reports about our business, our stock price and trading volume could decline.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history of generating meaningful product revenue, and we may never achieve or maintain profitability.</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have a limited operating history upon which investors may rely in evaluating our business and prospects. We have generated limited revenues to date, and as of December 31, 2025, we had an accumulated deficit of approximately $410.0 million. Our ability to generate revenues and achieve profitability will largely depend on our ability to execute our business plan, complete the development and approval of our technology, incorporate the technology into products that customers wish to buy, and, if necessary, secure additional financing. There can be no assurance that our technology will be adopted widely, that we will ever earn revenues sufficient to support our operations, or that we will ever be profitable. Furthermore, there can be no assurance that we will be able to raise capital as and when we need it to continue our operations. If we are unable to raise sufficient additional capital, we may be required to delay, reduce or severely curtail our research and development or other operations, which could have a material adverse effect on our business, operating results, financial condition, long-term prospects and ability to continue as a viable business. If we are unable to generate revenues of sufficient scale to cover our costs of doing business, our losses will continue and we may not achieve profitability, which could negatively impact the value of your investment in our securities.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financing to achieve our long-term business plans, and there is no guarantee that it will be available on acceptable terms, or at all.</w:t>
      </w:r>
    </w:p>
    <w:p>
      <w:pPr>
        <w:spacing w:after="0" w:line="15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may not have sufficient funds to fully implement our long-term business plans. We will need to raise additional capital through new financings, even if we begin to generate meaningful commercial revenue. For example, new product development for business partners may require considerable expense in advance of any substantial revenue being earned for such products. Such financings could include equity financing, which may be dilutive to our current stockholders, and debt financing, which could restrict our operations and ability to borrow from other sources. In addition, such securities may contain rights, preferences or privileges senior to those of current stockholders. As a result of current macroeconomic conditions and general global economic uncertainty (including as a result of, among other things, regional conflicts around the world, increases in inflation and tariffs, fluctuating interest rates, disruptions to global supply chains, recent turmoil in the global banking sector, volatile global financial markets, the potential for government shutdowns and uncertainty regarding the federal budget and debt ceiling), political change, labor market shortages and other factors, we do not know whether additional capital will be available when needed, or that, if available, we will be able to obtain additional capital on reasonable terms. If we are unable to raise additional capital due to the volatile global financial markets, recent turmoil in the global banking sector, general economic uncertainty or any other factor, we may be required to curtail development of our technology or reduce operations as a result, or to sell or dispose of assets. Any inability to maintain or raise adequate funds on commercially reasonable terms or at all could have a material adverse effect on our business, results of operations and financial condition, including the possibility that a lack of funds could cause our business to fail and liquidate with little or no return to investors.</w:t>
      </w:r>
    </w:p>
    <w:p>
      <w:pPr>
        <w:spacing w:after="0" w:line="192"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short-term or future indebtedness could adversely affect our business, financial condition, and results of operations, as well as the ability to meet payment obligations.</w:t>
      </w:r>
    </w:p>
    <w:p>
      <w:pPr>
        <w:spacing w:after="0" w:line="15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we had no commercial short-term loans outstanding. Our only short-term indebtedness relates to financed insurance premiums. The use of indebtedness to finance our operations could reduce our liquidity and could cause us to place more reliance on cash generated from operations to pay principal and interest on our debt, thereby reducing the availability of our cash flow for working capital and capital expenditure needs or to pursue other potential strategic plans.</w:t>
      </w:r>
    </w:p>
    <w:p>
      <w:pPr>
        <w:spacing w:after="0" w:line="180"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Although we currently have sufficient resources to meet current debt obligations, future debt obligations could have important consequences, including the following:</w:t>
      </w:r>
    </w:p>
    <w:p>
      <w:pPr>
        <w:spacing w:after="0" w:line="162" w:lineRule="exact"/>
        <w:rPr>
          <w:sz w:val="20"/>
          <w:szCs w:val="20"/>
          <w:color w:val="auto"/>
        </w:rPr>
      </w:pPr>
    </w:p>
    <w:p>
      <w:pPr>
        <w:ind w:left="1000" w:hanging="31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meet our obligations with respect to our debt;</w:t>
      </w:r>
    </w:p>
    <w:p>
      <w:pPr>
        <w:spacing w:after="0" w:line="225" w:lineRule="exact"/>
        <w:rPr>
          <w:rFonts w:ascii="Times New Roman" w:cs="Times New Roman" w:eastAsia="Times New Roman" w:hAnsi="Times New Roman"/>
          <w:sz w:val="18"/>
          <w:szCs w:val="18"/>
          <w:color w:val="auto"/>
        </w:rPr>
      </w:pPr>
    </w:p>
    <w:p>
      <w:pPr>
        <w:ind w:left="1000" w:right="520" w:hanging="317"/>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availability of cash flow to fund future working capital, capital expenditures, or other general corporate purposes;</w:t>
      </w:r>
    </w:p>
    <w:p>
      <w:pPr>
        <w:spacing w:after="0" w:line="161" w:lineRule="exact"/>
        <w:rPr>
          <w:rFonts w:ascii="Times New Roman" w:cs="Times New Roman" w:eastAsia="Times New Roman" w:hAnsi="Times New Roman"/>
          <w:sz w:val="18"/>
          <w:szCs w:val="18"/>
          <w:color w:val="auto"/>
        </w:rPr>
      </w:pPr>
    </w:p>
    <w:p>
      <w:pPr>
        <w:ind w:left="1000" w:right="400" w:hanging="317"/>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to fund future working capital, capital expenditures, or other general corporate purposes;</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substantial portion of our cash flows to be dedicated to debt service payments instead of other purposes, thereby reducing the amount of cash flows available for working capital, capital expenditures, or other general corporate purposes;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general adverse economic and industry conditions;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the risk of increased interest rates for borrowings at variable rates of interest;</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disadvantage compared to other, less leveraged competitors;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cost of borrowing; and</w:t>
      </w:r>
    </w:p>
    <w:p>
      <w:pPr>
        <w:spacing w:after="0" w:line="225" w:lineRule="exact"/>
        <w:rPr>
          <w:rFonts w:ascii="Times New Roman" w:cs="Times New Roman" w:eastAsia="Times New Roman" w:hAnsi="Times New Roman"/>
          <w:sz w:val="18"/>
          <w:szCs w:val="18"/>
          <w:color w:val="auto"/>
        </w:rPr>
      </w:pPr>
    </w:p>
    <w:p>
      <w:pPr>
        <w:ind w:left="1000" w:right="680" w:hanging="317"/>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changes in our business and reacting to changes in the industry in which we compete.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Furthermore, if we are unable to meet debt service obligations or should we fail to comply with any financial and other negative covenants contained in the agreements governing the indebtedness, we may be required to refinance all or part of our debt, sell important strategic assets at unfavorable prices, incur additional indebtedness or issue common stock or other equity securities. We may not be able to, at any given time, refinance our debt, sell assets, incur additional indebtedness or issue equity securities on terms acceptable to us, in amounts sufficient to meet our needs. Our inability to service our obligations or refinance future debt could have a material and adverse effect on our business, financial condition or operating results. In addition, future debt obligations may limit our ability to make required investments in capacity, technology, or other areas of our business, which could have a material adverse effect on our business, financial condition, or operating results.</w:t>
      </w:r>
    </w:p>
    <w:p>
      <w:pPr>
        <w:spacing w:after="0" w:line="19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Any of these factors could have an adverse effect on our business, financial condition, and results of operations and our ability to meet our debt payment obligations.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the effects of inflation.</w:t>
      </w:r>
    </w:p>
    <w:p>
      <w:pPr>
        <w:spacing w:after="0" w:line="22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Inflation has adversely affected our liquidity, business, financial condition and results of operations by increasing our overall cost structure and may continue to do so in the future. The U.S. capital markets have experienced and continue to experience extreme volatility and disruption. Inflation rates in the U.S. have increased significantly in recent years resulting in federal action to increase interest rates, adversely affecting capital markets activity. We expect certain inflationary elements to ease, with a moderate increase in other areas in 2026. However, the existence of inflation in the economy has resulted in, and may continue to result in, higher interest rates and capital costs, shipping costs, supply shortages, increased costs of labor, labor shortages, weakening exchange rates and other similar effects. As a result of inflation, we have and may continue to experience cost increases, including increases in our supply chain costs. Although we may take measures to mitigate the impact of this inflation, if these measures are not effective, our business, financial condition, results of operations and liquidity could be materially adversely affected. Even if such measures are effective, any positive impact on our results of operations could be delayed and not immediately apparent. Additionally, because we purchase component parts from our suppliers, we may be adversely impacted by their inability to adequately mitigate inflationary, industry, or economic pressures. Similarly, inflationary pressures may also negatively impact customer purchasing power, which could result in reduced demand for our products.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Technology and Products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develop all the features we seek to include in our technology.</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have developed commercial products, as well as working prototypes, that utilize our technology. Additional features and performance specifications we seek to include in our technology have not yet been developed. For example, some customer applications may require specific combinations of cost, footprint, efficiencies and capabilities at various frequencies, charging power levels and distances. We believe our research and development efforts will yield additional functionality and capabilities for our products over time. However, there can be no assurance that we will be successful in achieving any of the features we are targeting, and our inability to do so may limit the appeal of our technology to customers.</w:t>
      </w:r>
    </w:p>
    <w:p>
      <w:pPr>
        <w:spacing w:after="0" w:line="183"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and will continue to make significant investments in our products but may be unable to demonstrate the commercial feasibility of the full capability of our technology or achieve profitability.</w:t>
      </w:r>
    </w:p>
    <w:p>
      <w:pPr>
        <w:spacing w:after="0" w:line="15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have developed both commercial products and working prototypes that use our technology at differing power levels and charging distances, but additional research and development is required to realize the potential of our technology for applications at increasing power levels and distances that can be successfully integrated into commercial products. Research and development of new technologies is, by its nature, unpredictable. We could encounter unanticipated technical problems, fail to identify products utilizing our technology that will be in demand with customers or be successful in getting our technology designed into those products, encounter setbacks or other issues in designing products for manufacturability, face regulatory hurdles or have difficulty achieving acceptable price points for final products. Although we intend to undertake development efforts with commercially reasonable diligence, there can be no assurance that our available resources will be sufficient to enable us to develop our technology to the extent needed to create future revenues to sustain our operations.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technology must satisfy customer expectations and be suitable for use in customer applications. Any delays in developing our technology that arise, as a result of the factors described herein or otherwise, could aggravate our exposure to the risk of having inadequate capital to fund the research and development needed to complete development of our products. Technical problems leading to delays, for example, would cause us to incur additional expenses that would increase our operating losses. If we experience significant delays in developing our technology and products based on it for use in potential commercial applications, particularly after incurring significant expenditures, our business may fail, and you could lose all or part of the value of your investment in our stock.</w:t>
      </w:r>
    </w:p>
    <w:p>
      <w:pPr>
        <w:spacing w:after="0" w:line="18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addition, we have made and will continue to make significant investments in the research and development of new and existing technologies and products. Investments in new technologies and enhancements to our existing technologies are speculative and technological feasibility may not be achieved. Commercial success depends on many factors including demand for innovative technology, availability of materials and equipment, a selling price the market is willing to bear, competition and effective licensing or product sales. We may not achieve significant revenue from certain of our product investments for a number of years, if at all. Moreover, new technologies and products may not be profitable, and even if they are profitable, operating margins for new products may not be as high as the margins we originally anticipated. If we fail to develop practical and economical commercial products based on our technology or are unable to achieve profitability in commercializing those products, our business may fail and you could lose all or part of the value of your investment in our stock.</w:t>
      </w:r>
    </w:p>
    <w:p>
      <w:pPr>
        <w:spacing w:after="0" w:line="18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Expanding our business operations as we intend will impose new demands on our financial, technical, operational and management resources.</w:t>
      </w:r>
    </w:p>
    <w:p>
      <w:pPr>
        <w:spacing w:after="0" w:line="15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Our ability to grow our business involves various risks, including the need to invest significant resources in unfamiliar and new markets and the possibility that we may not realize a return on our investments in the near future or at all. To date we have operated primarily in the research and development phase of our business. To be successful in commercializing our product offerings, we will need to expand our business operations, which will require us to incur significant expenses before we generate any material revenue and will impose new demands on our financial, technical, operational and management resources. For example, if we do not invest in developing and upgrading our technical, administrative, operating and financial control systems, or if unexpected expansion difficulties arise, including issues relating to our research and development activities, then retention of experienced scientists, managers and engineers could become more challenging and have a material adverse effect on our business, results of operations and financial condition.</w:t>
      </w:r>
    </w:p>
    <w:p>
      <w:pPr>
        <w:spacing w:after="0" w:line="1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products incorporating our technology are launched commercially but do not achieve widespread market acceptance, we will not be able to generate the revenue necessary to support our business.</w:t>
      </w:r>
    </w:p>
    <w:p>
      <w:pPr>
        <w:spacing w:after="0" w:line="159" w:lineRule="exact"/>
        <w:rPr>
          <w:sz w:val="20"/>
          <w:szCs w:val="20"/>
          <w:color w:val="auto"/>
        </w:rPr>
      </w:pPr>
    </w:p>
    <w:p>
      <w:pPr>
        <w:ind w:right="60" w:firstLine="648"/>
        <w:spacing w:after="0" w:line="289" w:lineRule="auto"/>
        <w:rPr>
          <w:sz w:val="20"/>
          <w:szCs w:val="20"/>
          <w:color w:val="auto"/>
        </w:rPr>
      </w:pPr>
      <w:r>
        <w:rPr>
          <w:rFonts w:ascii="Times New Roman" w:cs="Times New Roman" w:eastAsia="Times New Roman" w:hAnsi="Times New Roman"/>
          <w:sz w:val="17"/>
          <w:szCs w:val="17"/>
          <w:color w:val="auto"/>
        </w:rPr>
        <w:t>We may successfully complete the technical development of our products but still fail to develop a commercially successful product. Market acceptance of an RF-based charging system as a preferred method for charging electronic devices will be crucial to our success. The following factors, among others, may affect the level of market acceptance of RF-based charging systems and our products:</w:t>
      </w:r>
    </w:p>
    <w:p>
      <w:pPr>
        <w:spacing w:after="0" w:line="158" w:lineRule="exact"/>
        <w:rPr>
          <w:sz w:val="20"/>
          <w:szCs w:val="20"/>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products incorporating our technology relative to other products or competing technologies;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innovation of competing technologies;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 perceptions of the convenience, safety, efficiency and benefits of our technology;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 of our commercialization partners and of our competitors;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support and rate of acceptance of our technology and solutions with our development partners;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 and blog coverage, social media coverage, and other publicity factors that are not within our control; and</w:t>
      </w:r>
    </w:p>
    <w:p>
      <w:pPr>
        <w:spacing w:after="0" w:line="225" w:lineRule="exact"/>
        <w:rPr>
          <w:rFonts w:ascii="Times New Roman" w:cs="Times New Roman" w:eastAsia="Times New Roman" w:hAnsi="Times New Roman"/>
          <w:sz w:val="18"/>
          <w:szCs w:val="18"/>
          <w:color w:val="auto"/>
        </w:rPr>
      </w:pPr>
    </w:p>
    <w:p>
      <w:pPr>
        <w:ind w:left="1000" w:right="480" w:hanging="317"/>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and the failure to obtain any required regulatory approvals for the use of our products or the products of our licensing partners.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If we are unable to successfully commercialize, including to achieve or maintain market acceptance of our technology, and if related products do not win widespread market acceptance, our business will be significantly harmed.</w:t>
      </w:r>
    </w:p>
    <w:p>
      <w:pPr>
        <w:spacing w:after="0" w:line="15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or the products of our licensing partners, could be susceptible to errors, defects, or unintended performance problems that could result in lost revenue, liability or delayed or limited market acceptance.</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Despite our quality assurance testing, our technology may contain undetected defects or errors that may affect the proper use of our products or the products of our licensing partners which incorporate them. Because our products are embedded in other end-use products and rely on stable transmissions, the performance of our products could unintentionally jeopardize the performance of our licensing partners’ products. Defects or errors in our technology may discourage existing and future partners from using our technology to develop a range of commercial products. These defects or errors could also result in product liability, service level agreement claims or warranty claims. Any such defects, errors, or unintended performance problems in our products, and any inability to meet the expectations of our licensing partners or customers in a timely manner, could adversely impact our sales and result in loss of revenue or market share, failure to achieve market acceptance, diversion of development resources, injury to our reputation, increased insurance costs and increased service costs, any of which could materially harm our business.</w:t>
      </w:r>
    </w:p>
    <w:p>
      <w:pPr>
        <w:spacing w:after="0" w:line="184"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products incorporating our technology are launched commercially, we may experience seasonality or other unevenness in our financial results due to long and variable sales cycles in enterprise markets.</w:t>
      </w:r>
    </w:p>
    <w:p>
      <w:pPr>
        <w:spacing w:after="0" w:line="15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Our strategy depends on our customers developing and deploying commercial solutions that incorporate our technology in enterprise and industrial environments. Demand may vary based on customer use cases, deployment timelines, capital budgeting cycles, and purchasing or procurement.</w:t>
      </w:r>
    </w:p>
    <w:p>
      <w:pPr>
        <w:spacing w:after="0" w:line="172"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Future products based on our technology may require the user to purchase additional products to use with existing devices. To the extent these additional purchases are inconvenient or costly, the adoption of our technology under development or other future products could be slowed or delayed, which would harm our business.</w:t>
      </w:r>
    </w:p>
    <w:p>
      <w:pPr>
        <w:spacing w:after="0" w:line="17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Certain devices or deployments may require additional components, integration work, or third-party hardware to incorporate our receiver technology or to support system operation. If required components are not available on commercially reasonable terms, or if integration is complex or costly, adoption of solutions incorporating our technology could be delayed or limited, which could adversely affect our business.</w:t>
      </w:r>
    </w:p>
    <w:p>
      <w:pPr>
        <w:spacing w:after="0" w:line="176"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Laboratory conditions differ from field conditions, which could reduce the effectiveness of our technology under development or other future products. Failures to move from laboratory to the field effectively would harm our business.</w:t>
      </w:r>
    </w:p>
    <w:p>
      <w:pPr>
        <w:spacing w:after="0" w:line="15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When used in the field, our technology may not perform as expected based on performance under controlled laboratory conditions. For example, in the case of distance charging, a laboratory configuration of transmission obstructions will be arranged for testing, but in enterprise use receivers may be obstructed in many different and unpredictable ways. These conditions may significantly diminish the power received by the receiver or the effective range of the transmitter. The failure of products using our technology to meet the expectations of users in the field could harm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Safety concerns and legal action by private parties may affect our business.</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believe that our technology is safe. However, it is possible that we could discover safety issues with our technology or that third-parties may raise concerns relating to RF-based charging in a similar manner as has occurred with some other wireless technologies as they were put into residential and commercial use, such as the safety concerns that were raised by some regarding the use of cellular telephones and other devices to transmit data wirelessly in close proximity to the human body. In addition, while we believe our technology is safe, users of our technology under development or other future products who suffer from medical ailments may blame the use of products incorporating our technology for the triggering or worsening of those ailments, as occurred with a small number of users of cellular telephones. A discovery of safety issues relating to our technology could have a material adverse effect on our business and any legal action against us claiming that our technology caused harm could be expensive, divert management attention and adversely affect us or cause our business to fail, whether or not such legal actions were ultimately successful.</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Even if they are not real, perceived safety issues could result in reduced sales, as could safety incidents or reports occurring solely with respect to the products of our competitors or licensing partners, which could negatively impact attitudes towards our technology and similar technologies. Any real or perceived safety issues relating to our products, our licensing partners’ products or competing technologies in the marketplace could negatively affect our business, revenue, and profits.</w:t>
      </w:r>
    </w:p>
    <w:p>
      <w:pPr>
        <w:spacing w:after="0" w:line="176" w:lineRule="exact"/>
        <w:rPr>
          <w:sz w:val="20"/>
          <w:szCs w:val="20"/>
          <w:color w:val="auto"/>
        </w:rPr>
      </w:pPr>
    </w:p>
    <w:p>
      <w:pPr>
        <w:ind w:right="6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industry is highly competitive and subject to technological change, and if we do not keep pace with evolving enterprise, industrial, and commercial customer requirements, our technology, platform, and solutions could become less competitive or obsolete, which could adversely affect our business and operating results.</w:t>
      </w:r>
    </w:p>
    <w:p>
      <w:pPr>
        <w:spacing w:after="0" w:line="175" w:lineRule="exact"/>
        <w:rPr>
          <w:sz w:val="20"/>
          <w:szCs w:val="20"/>
          <w:color w:val="auto"/>
        </w:rPr>
      </w:pPr>
    </w:p>
    <w:p>
      <w:pPr>
        <w:ind w:right="460" w:firstLine="648"/>
        <w:spacing w:after="0" w:line="261" w:lineRule="auto"/>
        <w:rPr>
          <w:sz w:val="20"/>
          <w:szCs w:val="20"/>
          <w:color w:val="auto"/>
        </w:rPr>
      </w:pPr>
      <w:r>
        <w:rPr>
          <w:rFonts w:ascii="Times New Roman" w:cs="Times New Roman" w:eastAsia="Times New Roman" w:hAnsi="Times New Roman"/>
          <w:sz w:val="18"/>
          <w:szCs w:val="18"/>
          <w:color w:val="auto"/>
        </w:rPr>
        <w:t>The markets for wireless power, ambient IoT, and enterprise sensing and monitoring solutions are highly competitive and subject to rapid technological change, evolving regulatory requirements, and the development of new system architectures and deployment models. We compete with companies developing alternative power delivery technologies, energy harvesting solutions, battery technologies, and other approaches to powering connected devices in commercial and industrial environments.</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customers primarily operate in enterprise, retail, logistics, healthcare, and industrial markets and often require solutions that integrate with existing infrastructure, comply with applicable regulatory standards, and demonstrate long-term reliability, scalability, and favorable total cost of ownership. If our wireless power platform does not meet evolving customer requirements, procurement criteria, or deployment expectations, our technology and solutions may be perceived as less attractive or may be displaced by competing technologies. Products and systems incorporating our technology often have long evaluation, development, and deployment cycles. During these cycles, competing technologies or alternative system architectures may gain broader acceptance, become standardized, or be more widely adopted. Once enterprise customers select and deploy a particular platform or infrastructure solution, it may be difficult or costly for us to displace those solutions, which could limit our ability to expand within certain markets or customers.</w:t>
      </w:r>
    </w:p>
    <w:p>
      <w:pPr>
        <w:spacing w:after="0" w:line="19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also face competition from established and emerging companies that may have greater financial, technical, operational, or commercial resources than we do, as well as more extensive customer relationships or market presence. Some competitors may be better positioned to invest in research and development, pursue regulatory approvals, form strategic partnerships, or offer integrated solutions that compete with or reduce demand for our wireless power platform. The competitive landscape is further influenced by the development of industry standards, ecosystem partnerships, and regulatory frameworks. If competing technologies achieve broader market acceptance, regulatory advantages, or ecosystem support, or if our technology roadmap does not align with evolving market direction or customer adoption trends, our growth prospects and operating results could be adversely affected.</w:t>
      </w:r>
    </w:p>
    <w:p>
      <w:pPr>
        <w:spacing w:after="0" w:line="18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Our future success depends in part on our ability to maintain and strengthen our competitive position by continuing to develop, enhance, and commercialize our wireless power platform, anticipate technological changes, and respond effectively to evolving enterprise and industrial customer requirements. If we are unable to do so, our business, financial condition, and results of operations could be materially adversely affected.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competitive position also depends on our ability to:</w:t>
      </w:r>
    </w:p>
    <w:p>
      <w:pPr>
        <w:spacing w:after="0" w:line="225" w:lineRule="exact"/>
        <w:rPr>
          <w:sz w:val="20"/>
          <w:szCs w:val="20"/>
          <w:color w:val="auto"/>
        </w:rPr>
      </w:pPr>
    </w:p>
    <w:p>
      <w:pPr>
        <w:ind w:left="1000" w:hanging="31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adoption of our wireless power platform in enterprise and industrial applications;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solutions that meet customer performance, reliability, and total cost-of-ownership requirements;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enhance technologies that support scalable, compliant, and secure deployments;</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identify existing and evolving customer needs and deliver new products or product enhancements to address those needs;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time required from proof of feasibility to routine production;</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timing and cost of regulatory approvals;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to evolving regulatory requirements;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qualified personnel;</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our inventions with patents or otherwise develop proprietary products and processes; and</w:t>
      </w:r>
    </w:p>
    <w:p>
      <w:pPr>
        <w:spacing w:after="0" w:line="225" w:lineRule="exact"/>
        <w:rPr>
          <w:rFonts w:ascii="Times New Roman" w:cs="Times New Roman" w:eastAsia="Times New Roman" w:hAnsi="Times New Roman"/>
          <w:sz w:val="18"/>
          <w:szCs w:val="18"/>
          <w:color w:val="auto"/>
        </w:rPr>
      </w:pPr>
    </w:p>
    <w:p>
      <w:pPr>
        <w:jc w:val="both"/>
        <w:ind w:left="660" w:firstLine="23"/>
        <w:spacing w:after="0" w:line="527" w:lineRule="auto"/>
        <w:tabs>
          <w:tab w:leader="none" w:pos="1011"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secure sufficient capital resources to expand both our continued research and development, and sales and marketing efforts. If our technology does not compete well based on these or other factors, our business could be materially and adversely harmed.</w:t>
      </w:r>
    </w:p>
    <w:p>
      <w:pPr>
        <w:spacing w:after="0" w:line="2"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quality of our products does not meet the expectations of our licensing partners or the end users of our licensing partners’ products or regulatory or industry standards, then our sales and operating earnings, and ultimately our reputation, could be negatively impacted.</w:t>
      </w:r>
    </w:p>
    <w:p>
      <w:pPr>
        <w:spacing w:after="0" w:line="175"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Some of the products we sell, and some of the products our licensing partners sell which integrate our products, may have quality issues resulting from the design or manufacture of our products, or from the software, hardware or components used in those products. Sometimes, these issues may be caused by components we purchase from our suppliers. Any such issues identified prior to the shipment of the products may cause delays in shipping products to customers, or even the cancellation of orders by customers. If quality issues are discovered in our products after they have been shipped to our customers, we would be required to resolve such issues in a timely manner that is the least disruptive to our customers. Such pre-shipment and post-shipment quality issues can have legal, financial and reputational ramifications, including: (i) delays in the recognition of revenue, loss of revenue or future orders, (ii) customer-imposed penalties for failure to meet contractual requirements, (iii) increased costs associated with repairing or replacing products, and (iv) a negative impact on our reputation.</w:t>
      </w:r>
    </w:p>
    <w:p>
      <w:pPr>
        <w:spacing w:after="0" w:line="188"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In some cases, if the quality issue affects the product’s performance, safety or regulatory compliance, then such a “defective” product may need to be “stop-shipped” or recalled. Depending on the nature of the quality issue and the number of products in the field, it could cause us to incur substantial recall or corrective field action costs, in addition to the costs associated with the potential loss of future orders and the damage to our reputation. In addition, we may be required, under certain customer contracts, to pay damages for failed performance that might exceed the revenue that we receive from the contracts. Recalls and field actions involving regulatory non-compliance could also result in fines and additional costs. Recalls and field actions could result in third-party litigation by persons or companies alleging harm or economic damage as a result of the use of the products. In addition, privacy advocacy groups and other technology and industry groups have established or may establish various new or different self-regulatory standards that may place additional obligations on us. Our customers may expect us to meet voluntary certifications or adhere to other standards established by third-parties. If we are unable to maintain these certifications or meet these standards, it could reduce demand for our products and adversely affect our business.</w:t>
      </w:r>
    </w:p>
    <w:p>
      <w:pPr>
        <w:spacing w:after="0" w:line="18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products do not effectively interoperate with wireless networks and the wireless devices that integrate them, future sales of our products could be negatively affected.</w:t>
      </w:r>
    </w:p>
    <w:p>
      <w:pPr>
        <w:spacing w:after="0" w:line="15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Our products are designed to interoperate with wireless networks using Wi-Fi technology and certain wireless devices produced by our licensing partners. These networks and devices have varied and complex specifications. As a result, we must ensure that our products interoperate effectively with these existing and planned networks and devices. To meet these requirements, we must continue development and testing efforts that require significant capital and employee resources. We may not accomplish these development efforts quickly or cost-effectively, or at all. If our products do not interoperate effectively, orders for our products could be delayed or cancelled, which would harm our revenue, operating results and reputation, potentially resulting in the loss of existing and potential licensing partners. The failure of our products to interoperate effectively with wireless devices may result in significant warranty, support and repair costs, divert the attention of our engineering personnel from our product development efforts and cause significant customer relations problems. In addition, our licensing partners may require our products to comply with new and rapidly evolving security or other certifications and standards. If our products are late in achieving or fail to achieve compliance with these certifications and standards, or our competitors first achieve compliance with these certifications and standards, such end customers may not purchase our products, which would harm our business, operating results, financial condition and cash flows.</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require third-party components, including components from limited or sole source suppliers, to build our products. The unavailability of these components could substantially disrupt our ability to manufacture our products and fulfill sales orders.</w:t>
      </w:r>
    </w:p>
    <w:p>
      <w:pPr>
        <w:spacing w:after="0" w:line="159"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18"/>
          <w:szCs w:val="18"/>
          <w:color w:val="auto"/>
        </w:rPr>
        <w:t>We rely on third-party components to build our products, and we generally rely on our third-party manufacturers to obtain the components necessary for the manufacture of our products. We use our forecast of expected demand to determine our material requirements. Lead times for materials and components we order vary significantly, and depend on factors such as the specific supplier, contract terms and demand for a component at a given time. If forecasts exceed orders, we may have excess and/or obsolete inventory, which could have a material adverse effect on our business, operating results and financial condition. If orders exceed forecasts, or available supply, we may have inadequate supplies of certain materials and components, which could have a material adverse effect on our ability to meet customer delivery requirements and to recognize revenue. If we underestimate our requirements or our third-party suppliers are not able to timely deliver components, our third-party manufacturers may have inadequate materials and components required to produce our products. This could result in an interruption in the manufacture of our products, delays in shipments and fulfillment of customer orders, and deferral or loss of revenues.</w:t>
      </w:r>
    </w:p>
    <w:p>
      <w:pPr>
        <w:spacing w:after="0" w:line="194"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Our third-party manufacturers may not be able to secure sufficient components at reasonable prices or of acceptable quality to build our products in a timely manner, adversely impacting our ability to meet demand for our products. In addition, if our component suppliers cease manufacturing needed components, we could be required to redesign our products to incorporate components from alternative sources or designs, a process which could cause significant delays in the manufacture and delivery of our products. Unpredictable price increases for such components may also occur. The unavailability of these components could substantially disrupt our ability to manufacture our products and fulfill sales orders.</w:t>
      </w:r>
    </w:p>
    <w:p>
      <w:pPr>
        <w:spacing w:after="0" w:line="187" w:lineRule="exact"/>
        <w:rPr>
          <w:sz w:val="20"/>
          <w:szCs w:val="20"/>
          <w:color w:val="auto"/>
        </w:rPr>
      </w:pPr>
    </w:p>
    <w:p>
      <w:pPr>
        <w:ind w:right="180" w:firstLine="648"/>
        <w:spacing w:after="0" w:line="254" w:lineRule="auto"/>
        <w:rPr>
          <w:sz w:val="20"/>
          <w:szCs w:val="20"/>
          <w:color w:val="auto"/>
        </w:rPr>
      </w:pPr>
      <w:r>
        <w:rPr>
          <w:rFonts w:ascii="Times New Roman" w:cs="Times New Roman" w:eastAsia="Times New Roman" w:hAnsi="Times New Roman"/>
          <w:sz w:val="18"/>
          <w:szCs w:val="18"/>
          <w:color w:val="auto"/>
        </w:rPr>
        <w:t>We currently depend on a limited number of suppliers for several critical components for our products, and in some instances, we use sole or single source suppliers for our components to simplify design and fulfillment logistics. Neither we nor our third-party manufacturers carry substantial inventory of our product components. Many of these components are also widely used in other product types. Shortages are possible and our ability to predict the availability of such components may be limited. In the event of a shortage or supply interruption from our component suppliers, we may not be able to develop alternate or second sources in a timely manner, on commercially reasonable terms or at all, and the development of alternate sources may be time-consuming, difficult and costly. Any resulting failure or delay in shipping products could result in lost revenues and a material and adverse effect on our operating results. If we are unable to pass component price increases along to our end customers or maintain stable pricing, our gross margins could be adversely affected and our business, financial condition, results of operations and prospects could suffer.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dependence on commodities and certain components subjects us to cost volatility and potential availability constraints.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profitability may be materially affected by changes in the market price and availability of certain raw materials and components, some of which are linked to the commodity markets. The principal raw materials and components used in our products are aluminum, copper, steel, bimetals, optical fiber, plastics and other polymers, capacitors, memory devices and silicon chips. Prices for some of these materials have experienced significant volatility as a result of changes in the levels of global demand, supply disruptions, including port, transportation and distribution delays or interruptions, tariffs, and other factors. As a result, we have seen a significant increase in costs that has negatively impacted our results of operations. We have adjusted our prices for our products, but we may have to adjust prices again in the future. Delays in implementing price increases or a failure to achieve market acceptance of price increases could have a material adverse impact on our results of operations. Conversely, in an environment of falling commodities prices, we may be unable to sell higher-cost inventory before implementing price decreases, which could have a material adverse impact on our business,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and international trade policies may adversely impact our business.</w:t>
      </w:r>
    </w:p>
    <w:p>
      <w:pPr>
        <w:spacing w:after="0" w:line="22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 U.S. government has recently made statements and taken certain actions that may lead to changes to U.S. and international trade policies, including imposing tariffs affecting steel and aluminum imports and certain products manufactured in China and other countries. Any unfavorable government policies on international trade, such as export controls, capital controls, trade protectionism and tariffs, may increase the cost of the materials and components we use to manufacture our technology and could adversely affect the demand for our technology and our financial condition. If any new tariffs, export controls, legislation and/or regulations are implemented, or if any retaliatory trade actions arise, such changes could have an adverse effect on our business, financial condition and results of operations.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business and results of operations may be adversely affected by international trade disputes and the imposition of tariffs.</w:t>
      </w:r>
    </w:p>
    <w:p>
      <w:pPr>
        <w:spacing w:after="0" w:line="225" w:lineRule="exact"/>
        <w:rPr>
          <w:sz w:val="20"/>
          <w:szCs w:val="20"/>
          <w:color w:val="auto"/>
        </w:rPr>
      </w:pPr>
    </w:p>
    <w:p>
      <w:pPr>
        <w:ind w:left="1000" w:right="400" w:hanging="317"/>
        <w:spacing w:after="0" w:line="261"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and Margin Pressure: We source a significant portion of our raw materials and components from international suppliers, particularly in Taiwan. While goods shipped from Taiwan have not been affected by current or potential tariffs, and we have not seen a significant increase in costs during 2025, there is a possibility that a direct or indirect impact of international tariffs could increase our cost of sales and reduce our gross margin.</w:t>
      </w:r>
    </w:p>
    <w:p>
      <w:pPr>
        <w:spacing w:after="0" w:line="179" w:lineRule="exact"/>
        <w:rPr>
          <w:rFonts w:ascii="Times New Roman" w:cs="Times New Roman" w:eastAsia="Times New Roman" w:hAnsi="Times New Roman"/>
          <w:sz w:val="18"/>
          <w:szCs w:val="18"/>
          <w:color w:val="auto"/>
        </w:rPr>
      </w:pPr>
    </w:p>
    <w:p>
      <w:pPr>
        <w:ind w:left="1000" w:right="380" w:hanging="317"/>
        <w:spacing w:after="0" w:line="266"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Retaliatory Actions: International trade tensions have led to retaliatory tariffs by foreign governments on U.S. exports. Such actions may decrease the competitiveness of our products in key international markets, leading to reduced sales volumes or the need to lower prices to maintain market share.</w:t>
      </w:r>
    </w:p>
    <w:p>
      <w:pPr>
        <w:spacing w:after="0" w:line="175" w:lineRule="exact"/>
        <w:rPr>
          <w:rFonts w:ascii="Times New Roman" w:cs="Times New Roman" w:eastAsia="Times New Roman" w:hAnsi="Times New Roman"/>
          <w:sz w:val="18"/>
          <w:szCs w:val="18"/>
          <w:color w:val="auto"/>
        </w:rPr>
      </w:pPr>
    </w:p>
    <w:p>
      <w:pPr>
        <w:ind w:left="1000" w:right="60" w:hanging="317"/>
        <w:spacing w:after="0" w:line="261"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Disruptions: Tariffs and broader trade restrictions may cause significant disruptions to our supply chain. We may face difficulties in sourcing critical components, increased logistics costs, or delays in receiving materials. While we are pursuing mitigation strategies, such as diversifying our supplier base to regions not subject to these tariffs, these efforts may be costly, time-consuming, and ultimately unsuccessful.</w:t>
      </w:r>
    </w:p>
    <w:p>
      <w:pPr>
        <w:spacing w:after="0" w:line="179" w:lineRule="exact"/>
        <w:rPr>
          <w:rFonts w:ascii="Times New Roman" w:cs="Times New Roman" w:eastAsia="Times New Roman" w:hAnsi="Times New Roman"/>
          <w:sz w:val="18"/>
          <w:szCs w:val="18"/>
          <w:color w:val="auto"/>
        </w:rPr>
      </w:pPr>
    </w:p>
    <w:p>
      <w:pPr>
        <w:jc w:val="both"/>
        <w:ind w:left="1000" w:right="140" w:hanging="317"/>
        <w:spacing w:after="0" w:line="258"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Uncertainty: The global trade environment remains highly dynamic. Further changes in trade policy—including the potential for new tariffs on European imports or further escalation of existing trade disputes—could lead to additional price increases, labor market impacts, or impairments of our long-lived assets. Any inability to pass these increased costs on to our customers through price adjustments could materially and adversely affect our financial condition and results of operations.</w:t>
      </w:r>
    </w:p>
    <w:p>
      <w:pPr>
        <w:spacing w:after="0" w:line="17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rely on the availability of unlicensed RF spectrum and if such spectrum were to become unavailable through overuse or licensing, the performance of our products could suffer and our revenues from their sales could decrease.</w:t>
      </w:r>
    </w:p>
    <w:p>
      <w:pPr>
        <w:spacing w:after="0" w:line="159"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Our products are designed to operate in unlicensed RF spectrum, which is used by a wide range of enterprise ambient IoT applications. If such spectrum usage continues to increase through the proliferation of products competitive with our products, the resultant higher levels of noise in the bands of operation our products use could decrease the effectiveness of our products, which could adversely affect our ability to sell our products, including as a result of reduced sales of our licensing partners’ products. Our business could be further harmed if currently unlicensed RF spectrum becomes licensed in the United States or elsewhere. We and our licensing partners that use our products in manufacturing their own may be unable to obtain licenses for RF spectrum. Even if the unlicensed spectrum remains unlicensed, existing and new governmental regulations may require we make changes in our products. The operation of our products in the United States or elsewhere in a manner not in compliance with local law could result in fines, operational disruption, or harm to our reputation.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Reliance upon a few major customers may adversely affect our revenue and operating results.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rely on a relatively small number of customers for a significant portion of our revenue. Our top customer represented approximately 85% of our revenue for the year ended December 31, 2025. It is possible that we will continue to derive a significant portion of our revenue from a concentrated group of customers in the future. If, among other things, a major customer fails to pay us or reduces their order volume, our revenue would be impacted and our operating results and financial condition could be materially harmed. Additionally, if we were to lose any material customer or our customers were to consolidate or merge with other companies, we may not be able to maintain product sales at similar volume or pricing levels and such loss or reduced sales volume or pricing could have a material adverse effect on our business, cash flows and results of operations.</w:t>
      </w:r>
    </w:p>
    <w:p>
      <w:pPr>
        <w:spacing w:after="0" w:line="185"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licensing partners do not effectively manage inventory of their products which integrate our technology, fail to timely resell such products or overestimate expected future demand, they may reduce purchases in future periods, causing our revenues and operating results to fluctuate or decline.</w:t>
      </w:r>
    </w:p>
    <w:p>
      <w:pPr>
        <w:spacing w:after="0" w:line="175" w:lineRule="exact"/>
        <w:rPr>
          <w:sz w:val="20"/>
          <w:szCs w:val="20"/>
          <w:color w:val="auto"/>
        </w:rPr>
      </w:pPr>
    </w:p>
    <w:p>
      <w:pPr>
        <w:jc w:val="both"/>
        <w:ind w:right="40" w:firstLine="648"/>
        <w:spacing w:after="0" w:line="281" w:lineRule="auto"/>
        <w:rPr>
          <w:sz w:val="20"/>
          <w:szCs w:val="20"/>
          <w:color w:val="auto"/>
        </w:rPr>
      </w:pPr>
      <w:r>
        <w:rPr>
          <w:rFonts w:ascii="Times New Roman" w:cs="Times New Roman" w:eastAsia="Times New Roman" w:hAnsi="Times New Roman"/>
          <w:sz w:val="17"/>
          <w:szCs w:val="17"/>
          <w:color w:val="auto"/>
        </w:rPr>
        <w:t>Our licensing partners purchase and maintain inventories of their products, which integrate our products, to meet future demand and have only limited rights to return the products they have purchased from us. If our licensing partners purchase more product from us than is required to meet demand in a particular period, causing their inventory levels to grow, they may delay or reduce additional future purchases, causing our quarterly results to fluctuate and adversely impacting our ability to accurately predict future earnings.</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effectively forecast demand or manage our inventory, we may be required to record write-downs for excess or obsolete inventory.</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maintain inventory of our products and, to a lesser extent, raw materials that we believe are sufficient to allow timely fulfillment of sales, subject to the impact of supply shortages. Growth in our sales and new product launches may require us to build inventory in the future. Higher levels of inventory expose us to a greater risk of carrying excess or obsolete inventory, which may in turn lead to write-downs. We may also record write-downs in connection with the end-of-life for specific products. Decisions to increase or maintain higher inventory levels are typically based upon uncertain forecasts or other assumptions. Because the markets in which we compete are volatile, competitive and subject to rapid technology and price changes, if the assumptions on which we base these decisions turn out to be incorrect, our financial performance could suffer and we could be required to write-off the value of excess products or components inventory. In addition, in order to manage manufacturing lead times and help ensure adequate component supply, we enter into agreements with suppliers that allow them to procure inventory based upon criteria as defined by us, such as forecasted demand. We may be liable to purchase excess product or aged material from our suppliers following reasonable mitigation efforts, resulting in an adverse impact on our cash flows, operating expenses, results of operation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and Other Legal Risks</w:t>
      </w:r>
    </w:p>
    <w:p>
      <w:pPr>
        <w:spacing w:after="0" w:line="22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difficult and costly to protect our intellectual property and our proprietary technologies, and we may not be able to ensure their protection.</w:t>
      </w:r>
    </w:p>
    <w:p>
      <w:pPr>
        <w:spacing w:after="0" w:line="15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success depends significantly on our ability to obtain, maintain and protect our proprietary rights to our technologies. Patents and other proprietary rights provide uncertain protections, and we may be unable to protect our intellectual property. For example, we may be unsuccessful in defending our patents and other proprietary rights against third party challenges. If we do not have the resources to defend our intellectual property, the value of our intellectual property and our licensed technology will decline. In addition, some companies that integrate our technology into their products may acquire rights in the technology that limit our business or increase our costs. If we are not successful in protecting our intellectual property effectively, our financial results may be adversely affected and the price of our common stock could decline.</w:t>
      </w:r>
    </w:p>
    <w:p>
      <w:pPr>
        <w:spacing w:after="0" w:line="18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upon a combination of patents, trade secrets, copyright and trademark laws to protect our intellectual property and technology.</w:t>
      </w:r>
    </w:p>
    <w:p>
      <w:pPr>
        <w:spacing w:after="0" w:line="159" w:lineRule="exact"/>
        <w:rPr>
          <w:sz w:val="20"/>
          <w:szCs w:val="20"/>
          <w:color w:val="auto"/>
        </w:rPr>
      </w:pPr>
    </w:p>
    <w:p>
      <w:pPr>
        <w:ind w:right="140" w:firstLine="648"/>
        <w:spacing w:after="0" w:line="277" w:lineRule="auto"/>
        <w:rPr>
          <w:sz w:val="20"/>
          <w:szCs w:val="20"/>
          <w:color w:val="auto"/>
        </w:rPr>
      </w:pPr>
      <w:r>
        <w:rPr>
          <w:rFonts w:ascii="Times New Roman" w:cs="Times New Roman" w:eastAsia="Times New Roman" w:hAnsi="Times New Roman"/>
          <w:sz w:val="17"/>
          <w:szCs w:val="17"/>
          <w:color w:val="auto"/>
        </w:rPr>
        <w:t>We rely on a combination of patents, trade secrets, copyright and trademark laws in the United States and similar laws in other countries, nondisclosure agreements, noncompetition covenants and other contractual provisions and technical security measures to protect our intellectual property rights and proprietary information. However, these protections may not be available in all jurisdictions and may be inadequate to prevent our competitors or other third-party manufacturers from copying, reverse engineering or otherwise obtaining and using our technology, proprietary rights or products, which would adversely affect our ability to compete in the market.</w:t>
      </w:r>
    </w:p>
    <w:p>
      <w:pPr>
        <w:spacing w:after="0" w:line="168"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Although we are attempting to obtain patent coverage for our technology where available and where we believe appropriate, there are aspects of the technology for which patent coverage may never be sought or received. We may not possess the resources to or may not choose to pursue patent protection outside the United States or any or every country other than the United States where we may eventually decide to sell our products. Our ability to prevent others from making or selling duplicate or similar technologies will be impaired in those countries in which we would have no patent protection. Although we have patent applications on file in the United States and elsewhere, the patents might not issue, might issue only with limited coverage, or might issue and be subsequently successfully challenged by others and held invalid or unenforceable.</w:t>
      </w:r>
    </w:p>
    <w:p>
      <w:pPr>
        <w:spacing w:after="0" w:line="18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Similarly, even if patents are issued based on our applications or future applications, any issued patents may not provide us with any competitive advantages. There can be no assurance that our competitors will not independently develop technologies that are substantially equivalent or superior to our technology or design around our proprietary rights. Competitors may be able to design around our patents or develop products that provide outcomes comparable or superior to ours. Our patents may be held invalid or unenforceable as a result of legal challenges or claims of prior art by third parties, and others may challenge the inventorship or ownership of our patents and pending patent applications. In addition, if we secure protection in countries outside the United States, the laws of some foreign countries may not protect our intellectual property rights to the same extent as do the laws of the United States. In the event a competitor infringes upon our patent or other intellectual property rights, enforcing those rights may be difficult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and time consuming. Even if successful, litigation to enforce our intellectual property rights or to defend our patents against challenge could be expensive and time consuming and could divert our management’s attention. We may not have sufficient resources to enforce our intellectual property rights or to defend our patents against a challenge.</w:t>
      </w:r>
    </w:p>
    <w:p>
      <w:pPr>
        <w:spacing w:after="0" w:line="176" w:lineRule="exact"/>
        <w:rPr>
          <w:sz w:val="20"/>
          <w:szCs w:val="20"/>
          <w:color w:val="auto"/>
        </w:rPr>
      </w:pPr>
    </w:p>
    <w:p>
      <w:pPr>
        <w:jc w:val="both"/>
        <w:ind w:right="280" w:firstLine="648"/>
        <w:spacing w:after="0" w:line="289" w:lineRule="auto"/>
        <w:rPr>
          <w:sz w:val="20"/>
          <w:szCs w:val="20"/>
          <w:color w:val="auto"/>
        </w:rPr>
      </w:pPr>
      <w:r>
        <w:rPr>
          <w:rFonts w:ascii="Times New Roman" w:cs="Times New Roman" w:eastAsia="Times New Roman" w:hAnsi="Times New Roman"/>
          <w:sz w:val="17"/>
          <w:szCs w:val="17"/>
          <w:color w:val="auto"/>
        </w:rPr>
        <w:t>Our strategy is to deploy our technology into the market by licensing patents and other proprietary rights to third parties and customers. Disputes with our licensees may arise regarding the scope and content of these licenses. Further, our ability to expand into additional fields with our technologies may be restricted by existing licenses or licenses we may grant to third parties in the future.</w:t>
      </w:r>
    </w:p>
    <w:p>
      <w:pPr>
        <w:spacing w:after="0" w:line="15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policies we use to protect our trade secrets might not be effective in preventing misappropriation of our trade secrets by others. In addition, confidentiality and other restrictive agreements executed by our customers, employees, consultants and advisors might not be enforceable or might not provide meaningful protection for our trade secrets or other proprietary information in the event of unauthorized use or disclosure. Litigating a trade secret claim is expensive and time consuming, and the outcome is unpredictable. Moreover, our competitors may independently develop equivalent knowledge methods and know-how. If we are unable to protect our intellectual property rights, we may be unable to prevent competitors from using our own inventions and intellectual property to compete against us, and our business may be harmed.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patent infringement or other intellectual property lawsuits that could be costly to defend.</w:t>
      </w:r>
    </w:p>
    <w:p>
      <w:pPr>
        <w:spacing w:after="0" w:line="22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Because our industry is characterized by competing intellectual property, we may become involved in litigation based on claims that we have violated the intellectual property rights of others. Determining whether a product infringes a patent involves complex legal and factual issues, and the outcome of patent litigation actions is often uncertain. No assurance can be given that third party patents containing claims covering our products, parts of our products, technology or methods do not exist, have not been filed, or could not be filed or issued. Because of the number of patents issued and patent applications filed in our technical areas or fields (including some pertaining specifically to wireless charging technologies), our competitors or other third parties may in the future assert that our products and technology and the methods we employ in the use of our products and technology are covered by United States or foreign patents held by them. In addition, because patent applications can take many years to issue and because publication schedules for pending applications vary by jurisdiction, there may be applications now pending which may result in issued patents that our technology under development or other future products would infringe. Also, because the claims of published patent applications can change between publication and patent grant, there may be published patent applications that may ultimately issue with claims that we infringe. There could also be existing patents that one or more of our technologies, products or parts may infringe and of which we are unaware. As the number of competitors in the market for wire-free power and alternative recharging solutions increases, and as the number of patents issued in this area grows, the possibility of patent infringement claims against us increases. 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193"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If we become subject to a patent infringement or other intellectual property lawsuit and if the relevant patents or other intellectual property are upheld as valid and enforceable, we could be prevented from selling any infringing products of ours unless we could obtain a license or were able to redesign the product to avoid infringement. If we are unable to obtain a license or successfully redesign, we might be prevented from selling our technology under development or other future products. If there is a determination that we have infringed the intellectual property rights of a competitor or other person, we may be required to pay damages, pay a settlement, or pay ongoing royalties, or be enjoined. In these circumstances, we may be unable to sell our products or license our technology at competitive prices or at all, and our business and operating results could be harmed. Even if there is a determination that we have not infringed the intellectual property rights of a competitor or other person, litigation can be a significant distraction to management and could subject us to significant legal costs, adversely affecting our cash flows and operating results.</w:t>
      </w:r>
    </w:p>
    <w:p>
      <w:pPr>
        <w:spacing w:after="0" w:line="184" w:lineRule="exact"/>
        <w:rPr>
          <w:sz w:val="20"/>
          <w:szCs w:val="20"/>
          <w:color w:val="auto"/>
        </w:rPr>
      </w:pPr>
    </w:p>
    <w:p>
      <w:pPr>
        <w:ind w:right="10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become subject to product liability claims, product recalls, and warranty claims that could be expensive, divert management’s attention and harm our business.</w:t>
      </w:r>
    </w:p>
    <w:p>
      <w:pPr>
        <w:spacing w:after="0" w:line="15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business exposes us to potential liability risks that are inherent in the marketing and sale of products used by our customers. We may be held liable if our technology causes injury or death or is found otherwise unsuitable. While we believe our technology is safe, users could allege and possibly prove defects (some of which could be alleged or proved to cause harm to users or others) because we design our technology to perform complex functions involving RF energy in close proximity to users. A product liability claim, regardless of its merit or eventual outcome, could result in significant legal defense costs and reduced demand for our</w:t>
      </w:r>
    </w:p>
    <w:p>
      <w:pPr>
        <w:sectPr>
          <w:pgSz w:w="11900" w:h="16838" w:orient="portrait"/>
          <w:cols w:equalWidth="0" w:num="1">
            <w:col w:w="9900"/>
          </w:cols>
          <w:pgMar w:left="980" w:top="513" w:right="1019"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products. The coverage limits of the insurance policies we may choose to purchase to cover related risks may not be adequate to cover future claims. If sales of products incorporating our technology increase or we suffer future product liability claims, we may be unable to maintain product liability insurance in the future at satisfactory rates or with adequate amounts. A product liability claim, any product recalls or excessive warranty claims, whether arising from defects in design or manufacture or otherwise, could negatively affect our sales or require a change in the design or manufacturing process, any of which could harm our reputation, harm our relationship with licensors of our products, result in a decline in revenue and harm our business.</w:t>
      </w:r>
    </w:p>
    <w:p>
      <w:pPr>
        <w:spacing w:after="0" w:line="187"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In addition, if a product that we or a licensing partner design is defective, whether due to design or manufacturing defects, improper use of the product or other reasons, we or our licensing partner may be required to notify regulatory authorities and/or to recall the product. A required notification to a regulatory authority or recall could result in an investigation by regulatory authorities into the products incorporating our technology, which could in turn result in required recalls, restrictions on the sale of such products or other penalties. The adverse publicity resulting from any of these actions could adversely affect the perceptions of our customers and potential customers. These investigations or recalls, especially if accompanied by unfavorable publicity, could result in our incurring substantial costs, losing revenues and damaging our reputation, each of which would harm our business.</w:t>
      </w:r>
    </w:p>
    <w:p>
      <w:pPr>
        <w:spacing w:after="0" w:line="18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ability of our products to operate effectively can be negatively impacted by many different elements unrelated to our products. Although certain technical problems experienced by customers of the products incorporating our products may not be caused by our products, users may perceive them to be the underlying cause of poor performance of the wireless network. This perception, even if incorrect, could harm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data security risks, including security breaches.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collect, process, store and transmit substantial amounts of information, including information about our customers. We take steps to protect the security and integrity of the information we collect, process, store and transmit, but there is no guarantee that inadvertent or unauthorized use or disclosure will not occur or that third parties will not gain unauthorized access to this information despite such efforts. Security breaches, computer malware, computer hacking attacks, ransomware and other compromises of information security measures have become more prevalent in the business world and may occur on our systems or those of our vendors in the future. Large Internet companies and websites have from time to time disclosed sophisticated and targeted attacks on portions of their websites, and an increasing number have reported such attacks resulting in breaches of their information security. We and our third-party vendors are at risk of suffering from similar attacks and breaches. Although we take steps to maintain confidential and proprietary information on our information systems, these measures and technology may not adequately prevent security breaches and we rely on our third-party vendors to take appropriate measures to protect the security and integrity of the information on those information systems. Because techniques used to obtain unauthorized access to or to sabotage information systems change frequently and may not be known until launched against us, we may be unable to anticipate or prevent these attacks. In addition, a party that is able to illicitly obtain a customer’s identification and password credentials may be able to access our customer’s accounts and certain account data.</w:t>
      </w:r>
    </w:p>
    <w:p>
      <w:pPr>
        <w:spacing w:after="0" w:line="187"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We rely on email and other electronic means of communication to connect with our existing and potential customers. Our customers may be targeted by parties using fraudulent spoofing and phishing emails to misappropriate passwords, payment information or other personal information or to introduce viruses through Trojan horse programs or otherwise through our customers’ computers, smartphones, tablets or other devices. Despite our efforts to mitigate the effectiveness of such malicious email campaigns through product improvements, spoofing and phishing may damage our brand and increase our costs.</w:t>
      </w:r>
    </w:p>
    <w:p>
      <w:pPr>
        <w:spacing w:after="0" w:line="18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Any actual, perceived or suspected security breach or other compromise of our security measures or those of our third-party vendors, whether as a result of hacking efforts, denial-of-service attacks, viruses, malicious software, break-ins, phishing attacks, social engineering or otherwise, could harm our reputation and business, damage our brand and make it harder to retain existing customers or acquire new ones, require us to expend significant capital and other resources to address the breach, and result in a violation of applicable laws, regulations or other legal obligations. We could also be exposed to a risk of loss or litigation and potential liability under laws, regulations and contracts that protect the privacy and security of personal information. Our insurance policies may not be adequate to reimburse us for direct losses caused by any such security breach or indirect losses due to resulting customer attrition. Any of these events or circumstances could materially adversely affect our business, financial condition and operating results.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8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satisfy data protection, security, privacy and other government- and industry-specific requirements or regulations, our business, results of operations and financial condition could be harmed.</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regulatory frameworks relating to privacy, data protection and information security matters are rapidly evolving and are likely to remain uncertain for the foreseeable future. The cost of compliance with, and other burdens imposed by new privacy and data security laws may limit the use and adoption of our products and could have an adverse impact on our business, results of operations and financial condition. Although we work to comply with applicable privacy and data security laws and regulations, industry standards, contractual obligations and other legal obligations, those laws, regulations, standards and obligations are evolving and may be modified, interpreted and applied in an inconsistent manner from one jurisdiction to another, and may conflict with one another. As such, we cannot assure ongoing compliance with all such laws, regulations, standards and obligations. Any failure or perceived failure by us to comply with applicable laws, regulations, standards or obligations, or any actual or suspected security incident, whether or not resulting in unauthorized access to, or acquisition, release or transfer of personally identifiable information or other data, may result in governmental enforcement actions and prosecutions, private litigation, fines and penalties or adverse publicity, and could cause our licensing partners to lose trust in us, which could have an adverse effect on our reputation and business.</w:t>
      </w:r>
    </w:p>
    <w:p>
      <w:pPr>
        <w:spacing w:after="0" w:line="188"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secure advantageous license agreements for our technology, our business and results of operations will be adversely affected.</w:t>
      </w:r>
    </w:p>
    <w:p>
      <w:pPr>
        <w:spacing w:after="0" w:line="15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may pursue the licensing of our technology as a primary means of revenue generation. Creating a licensing business relationship often takes substantial effort, as we expect to have to convince the counterparty of the efficacy of our technology, meet design and manufacturing requirements, satisfy marketing and product needs, and comply with selection, review, and contracting requirements. It is critical that we continue to evolve our intellectual property portfolio, particularly in 5G. If we do not maintain a strong portfolio that is applicable to current and future standards, products and services, our future licensing revenues could be negatively impacted. There can be no assurance that we will be able to gain access to potential licensing partners, or that they will ultimately decide to integrate our technology with their products. We also cannot guarantee that existing licensing partners will continue their relationships with us. We may not be able to secure license agreements with customers on advantageous terms, and the timing and volume of revenue earned from license agreements will be outside of our control. If the license agreements we enter into do not prove to be advantageous to us, our business and results of operations will be adversely affected.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Regulation of Our Business</w:t>
      </w:r>
    </w:p>
    <w:p>
      <w:pPr>
        <w:spacing w:after="0" w:line="22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Domestic and international regulators may deny approval for our technology, and future legislative or regulatory changes may impair our business.</w:t>
      </w:r>
    </w:p>
    <w:p>
      <w:pPr>
        <w:spacing w:after="0" w:line="15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Our charging technology involves power transmission using RF energy, which is subject to regulation by the FCC in the United States and by comparable regulatory agencies worldwide. It may also be subject to regulation by other agencies. Regulatory concerns include whether human exposure to RF emissions falls below specified thresholds. Higher levels of exposure require separate approval. For example, transmitting more power over a certain distance or transmitting power over a greater distance may require separate regulatory approvals. In addition, we design our technology to operate in an RF band that is also used for Wi-Fi routers and other wireless electronics, and we also design it to operate at different frequencies, as demanded for some customer applications. Applications at different frequencies may require separate regulatory approvals. Efforts to obtain regulatory approval for devices using our technology are costly and time consuming, and there can be no assurance that requisite regulatory approvals will be obtained. If approvals are not obtained in a timely and cost-efficient manner, our business and operating results could be materially adversely affected. In addition, legal or regulatory developments could impose additional restrictions or costs on us that could require us to redesign our technology or future products, or that are difficult or impracticable to comply with, all of which would adversely affect our revenues and financial results.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Personnel</w:t>
      </w:r>
    </w:p>
    <w:p>
      <w:pPr>
        <w:spacing w:after="0" w:line="225" w:lineRule="exact"/>
        <w:rPr>
          <w:sz w:val="20"/>
          <w:szCs w:val="20"/>
          <w:color w:val="auto"/>
        </w:rPr>
      </w:pPr>
    </w:p>
    <w:p>
      <w:pPr>
        <w:ind w:right="1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are highly dependent on key members of our executive management team. Our inability to retain these individuals could impede our business plan and growth strategies, which could have a negative impact on our business and the value of your investment.</w:t>
      </w:r>
    </w:p>
    <w:p>
      <w:pPr>
        <w:spacing w:after="0" w:line="13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ability to implement our business plan depends, to a critical extent, on the continued efforts and services of a very small number of key executives. If we lose the services of any of the key members of our executive management team, we could be required to expend significant time and money in the pursuit of replacements, which may result in a delay in the implementation of our business plan and plan of operations. If it becomes necessary to replace any key executives, we can give no assurance that we could find satisfactory permanent replacements for these individuals at all or on terms that would not be unduly expensive or burdensome to us. We do not currently carry any key-person life insurance that would help us recoup our costs in the event of the death or disability of any of these executives.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and growth depend on our ability to attract, integrate and retain high-level engineering talent.</w:t>
      </w:r>
    </w:p>
    <w:p>
      <w:pPr>
        <w:spacing w:after="0" w:line="22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Because of the highly specialized and complex nature of our business, our success depends on our ability to attract, hire, train, integrate and retain high-level engineering talent. Competition for such personnel is intense because we compete for talent against many large profitable companies and our inability to adequately staff our operations with highly qualified and well-trained engineers could render us less efficient and impede our ability to develop and deliver a commercial product. Further, in recent years, the increased availability of hybrid or remote working arrangements has expanded the pool of companies that can compete for our employees and employment candidates. A number of such competitors for talent are significantly larger than us and/or offer compensation in excess of what we offer or other benefits that we do not offer. Such a competitive market could put upward pressure on labor costs for engineering talent. We may incur significant costs to attract and retain highly qualified talent, and we may lose new employees to our competitors or other technology companies before we realize the benefit of our investment in recruiting and training them. Volatility or lack of performance in our stock price may also affect our ability to attract and retain qualified personnel.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our utilization of engineering consultants.</w:t>
      </w:r>
    </w:p>
    <w:p>
      <w:pPr>
        <w:spacing w:after="0" w:line="229"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To improve productivity and accelerate our development efforts while we build out our own engineering team, we use experienced consultants to assist in selected development projects. We take steps to monitor and regulate the performance of these independent third parties. However, arrangements with third party service providers may make our operations vulnerable if these consultants fail to satisfy their obligations to us as a result of their performance, changes in their own operations, financial condition, or other matters outside of our control. Effective management of our consultants is important to our business and strategy. Failure of our consultants to perform as anticipated could result in substantial costs, divert management’s attention from other strategic activities, or create other operational or financial problems for us. Terminating or transitioning arrangements with key consultants could result in additional costs and a risk of operational delays, potential errors and possible control issues as a result of the termination or during the transition.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the reduced disclosure requirements applicable to smaller reporting companies could make our common stock less attractive to investors.</w:t>
      </w:r>
    </w:p>
    <w:p>
      <w:pPr>
        <w:spacing w:after="0" w:line="15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We are a “smaller reporting company,” meaning that we are not an investment company, an asset-backed issuer, or a majority-owned subsidiary of a parent company that is not a “smaller reporting company,” and have either: (i) a public float of less than $250 million or (ii) annual revenues of less than $100 million during the most recently completed fiscal year and a public float of less than $700 million. As a “smaller reporting company,” we are subject to reduced disclosure obligations in our SEC filings compared to other issuers, including with respect to disclosure obligations regarding executive compensation in our periodic reports and proxy statements. Until such time as we cease to be a “smaller reporting company,” such reduced disclosure in our SEC filings may make it harder for investors to analyze our operating results and financial prospects.</w:t>
      </w:r>
    </w:p>
    <w:p>
      <w:pPr>
        <w:spacing w:after="0" w:line="18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If some investors find our common stock less attractive as a result of any choices to reduce future disclosure we may make, there may be a less active trading market for our common stock and our stock price may be more volatile.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effective internal control over financial reporting, investors may lose confidence in the accuracy of our financial reports.</w:t>
      </w:r>
    </w:p>
    <w:p>
      <w:pPr>
        <w:spacing w:after="0" w:line="159" w:lineRule="exact"/>
        <w:rPr>
          <w:sz w:val="20"/>
          <w:szCs w:val="20"/>
          <w:color w:val="auto"/>
        </w:rPr>
      </w:pPr>
    </w:p>
    <w:p>
      <w:pPr>
        <w:ind w:firstLine="648"/>
        <w:spacing w:after="0" w:line="289" w:lineRule="auto"/>
        <w:rPr>
          <w:sz w:val="20"/>
          <w:szCs w:val="20"/>
          <w:color w:val="auto"/>
        </w:rPr>
      </w:pPr>
      <w:r>
        <w:rPr>
          <w:rFonts w:ascii="Times New Roman" w:cs="Times New Roman" w:eastAsia="Times New Roman" w:hAnsi="Times New Roman"/>
          <w:sz w:val="17"/>
          <w:szCs w:val="17"/>
          <w:color w:val="auto"/>
        </w:rPr>
        <w:t>As a public company, we are required to maintain internal control over financial reporting and to report any material weaknesses in such internal controls. Although our management has determined that our internal control over financial reporting was effective as of December 31, 2025, we cannot assure you that we will not identify any material weakness in our internal control in the future.</w:t>
      </w:r>
    </w:p>
    <w:p>
      <w:pPr>
        <w:spacing w:after="0" w:line="15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qualify as a “smaller reporting company” and are therefore not required to file an auditor attestation report. If we experience a material weakness in our internal controls, we may fail to detect errors in our financial accounting, which may require a financial statement restatement or otherwise harm our operating results, cause us to fail to meet our SEC reporting obligations or listing requirements of The Nasdaq Stock Market LLC (“Nasdaq”), adversely affect our reputation, cause our stock price to decline or result in inaccurate financial reporting or material misstatements in our annual or interim financial statements. Further, if there are material weaknesses or failures in our ability to meet any of the requirements related to the maintenance and reporting of our internal controls over financial reporting, investors may lose confidence in the accuracy and completeness of our financial reports and that could cause the price of our common stock to decline. We could become subject to investigations by Nasdaq, the SEC or other regulatory authorities, which could require additional management attention and financial resources which could adversely affect our business.</w:t>
      </w:r>
    </w:p>
    <w:p>
      <w:pPr>
        <w:spacing w:after="0" w:line="188"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In addition, our internal control over financial reporting will not prevent or detect all errors and fraud. Because of the inherent limitations in all control systems, no evaluation of controls can provide absolute assurance that misstatements due to error or fraud will not occur or that all control issues and instances of fraud will be detected.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likely to continue to be volatile.</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has fluctuated significantly since our initial public offering in 2014. The price of our common stock is likely to continue to fluctuate significantly in response to many factors that are beyond our control, including:</w:t>
      </w:r>
    </w:p>
    <w:p>
      <w:pPr>
        <w:spacing w:after="0" w:line="162" w:lineRule="exact"/>
        <w:rPr>
          <w:sz w:val="20"/>
          <w:szCs w:val="20"/>
          <w:color w:val="auto"/>
        </w:rPr>
      </w:pPr>
    </w:p>
    <w:p>
      <w:pPr>
        <w:ind w:left="1000" w:hanging="317"/>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announcements and approvals;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operating results;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61"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macroeconomic, political, industry and market conditions, including increases in inflation, fluctuating interest rates, volatile global financial markets, the potential of government shutdowns and uncertainty regarding the federal budget and debt ceiling, disruptions to global supply chains and transportation, and perceptions of future economic growth prospects in the economy at large;</w:t>
      </w:r>
    </w:p>
    <w:p>
      <w:pPr>
        <w:spacing w:after="0" w:line="17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uncertainty in the global banking sector;</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conflicts around the world, terrorist acts, acts of war or periods of widespread civil unrest;</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other calamities, including global pandemics and other public health crises;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and/or market valuations of other technology companies;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announcements of significant strategic partnerships, regulatory developments and other events;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innovations and other developments by other companies in our industry;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articles published or rumors circulated by third parties regarding our business, technology or licensing partners;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 and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other transactions involving our capital stock or securities exercisable or convertible for our capital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not paid dividends in the past and have no immediate plans to pay dividends.</w:t>
      </w:r>
    </w:p>
    <w:p>
      <w:pPr>
        <w:spacing w:after="0" w:line="22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We plan to reinvest all of our earnings, to the extent we have earnings, in order to market our products and technology and to cover operating costs and to otherwise become and remain competitive. We do not plan to pay any cash dividends with respect to our securities in the foreseeable future. We cannot assure you that we would, at any time, generate sufficient surplus cash that would be available for distribution to the holders of our common stock as a dividend.</w:t>
      </w:r>
    </w:p>
    <w:p>
      <w:pPr>
        <w:spacing w:after="0" w:line="17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continue to incur significant costs as a result of being a public reporting company and our management will be required to devote substantial time to meet our compliance obligations.</w:t>
      </w:r>
    </w:p>
    <w:p>
      <w:pPr>
        <w:spacing w:after="0" w:line="15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As a public reporting company, we incur significant legal, accounting and other expenses. We are subject to reporting requirements of the Exchange Act and rules subsequently implemented by the SEC that require us to establish and maintain effective disclosure controls and internal controls over financial reporting, as well as some specific corporate governance practices. Our management and other personnel are expected to devote a substantial amount of time to compliance initiatives associated with our public reporting company status. Those costs will increase significantly if we cease to qualify as a smaller reporting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Our stock price has fluctuated in the past, reacting to news such as our past announcements of FCC approvals and it may be volatile in the future. In the past, companies that have experienced volatility in the market price of their securities have been subject to securities class action litigation, and we may be the target of litigation of this sort in the future. Securities litigation is costly and can divert management attention from other business concerns, which could seriously harm our business and the value of your investment in our company.</w:t>
      </w:r>
    </w:p>
    <w:p>
      <w:pPr>
        <w:spacing w:after="0" w:line="17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Federal net operating loss carry forwards to reduce future tax payments may be limited if our taxable income does not reach sufficient levels.</w:t>
      </w:r>
    </w:p>
    <w:p>
      <w:pPr>
        <w:spacing w:after="0" w:line="159"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color w:val="auto"/>
        </w:rPr>
        <w:t>As of December 31, 2025, we had Federal and State net operating loss (“NOL”) carryforwards of approximately $340.0 million and $304.5 million, respectively. Under the Internal Revenue Code of 1986, as amended, NOLs arising in tax years ending on or before December 31, 2017 can generally be carried forward to offset future taxable income for a period of 20 years, and NOLs arising in</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tax years ending after December 31, 2017 can generally be carried forward indefinitely. Our ability to use our NOLs will be dependent on our ability to generate taxable income, and the NOLs that arose in tax years ending on or before December 31, 2017 could expire before we generate sufficient taxable income to take advantage of the NOLs. As of December 31, 2025, based on our history of operating losses it is possible that a portion of our NOLs will not be fully realizable.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charter documents and Delaware law may inhibit a takeover that stockholders consider favorable.</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Provisions of our certificate of incorporation and bylaws, and applicable Delaware law, may delay or discourage transactions involving an actual or potential change in control or change in our management, including transactions in which stockholders might otherwise receive a premium for their shares, or transactions that our stockholders might otherwise deem to be in their best interests. The provisions in our certificate of incorporation and bylaws:</w:t>
      </w:r>
    </w:p>
    <w:p>
      <w:pPr>
        <w:spacing w:after="0" w:line="180" w:lineRule="exact"/>
        <w:rPr>
          <w:sz w:val="20"/>
          <w:szCs w:val="20"/>
          <w:color w:val="auto"/>
        </w:rPr>
      </w:pPr>
    </w:p>
    <w:p>
      <w:pPr>
        <w:jc w:val="both"/>
        <w:ind w:left="1000" w:right="400" w:hanging="317"/>
        <w:spacing w:after="0" w:line="266"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to issue preferred stock without stockholder approval and to designate the rights, preferences and privileges of each class; if issued, such preferred stock would increase the number of outstanding shares of our capital stock and could include terms that may deter an acquisition of us;</w:t>
      </w:r>
    </w:p>
    <w:p>
      <w:pPr>
        <w:spacing w:after="0" w:line="17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stockholder meetings;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permit stockholders to act by written consent;</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provide for cumulative voting rights; and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right="180" w:hanging="317"/>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may be filled by the affirmative vote of a majority of directors then in office, even if less than a quorum.</w:t>
      </w:r>
    </w:p>
    <w:p>
      <w:pPr>
        <w:spacing w:after="0" w:line="16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addition, Section 203 of the Delaware General Corporation Law may limit our ability to engage in any business combination with a person who beneficially owns 15% or more of our outstanding voting stock unless certain conditions are satisfied. This restriction lasts for a period of three years following the share acquisition. These provisions may have the effect of entrenching our management team and may deprive you of the opportunity to sell your shares to potential acquirers at a premium over prevailing prices. This potential inability to obtain a control premium could reduce the price of our common stock.</w:t>
      </w:r>
    </w:p>
    <w:p>
      <w:pPr>
        <w:spacing w:after="0" w:line="17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warrants that are accounted for as liabilities and the changes in value of our warrants could have a material effect on the market price of our common stock or our financial results.</w:t>
      </w:r>
    </w:p>
    <w:p>
      <w:pPr>
        <w:spacing w:after="0" w:line="159"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We account for our outstanding warrants in accordance with the guidance contained in Accounting Standards Codification (“ASC”) 815, Derivatives and Hedging. Such guidance provides that, because some of our warrants did not meet the criteria for equity treatment thereunder, each warrant was recorded as a liability. Accordingly, we classified each warrant as a liability at its fair value. This liability was subject to re-measurement at each balance sheet date, with a resulting non-cash gain or loss related to the change in the fair value being recognized in earnings in the statements of operations. With each such remeasurement, the warrant liability was adjusted to fair value, with the change in fair value recognized in our statement of operations and therefore our reported earnings. As a result of the recurring fair value measurement, our financial statements and results of operations fluctuated quarterly based on factors which are outside of our control. Due to the recurring fair value measurement, we recognized non-cash gains or losses on the warrants each reporting period and that the amount of such gains or losses could be material. As of December 31, 2025, we did not have any warrants outstanding classified as a liability.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Cybersecurity</w:t>
      </w:r>
    </w:p>
    <w:p>
      <w:pPr>
        <w:spacing w:after="0" w:line="22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Cybersecurity incidents, including data security breaches or computer viruses, could harm our business by disrupting our business operations, compromising our products and services, damaging our reputation or exposing us to liability.</w:t>
      </w:r>
    </w:p>
    <w:p>
      <w:pPr>
        <w:spacing w:after="0" w:line="15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Cyber criminals and hackers may attempt to penetrate our network security, or the network security of third parties we work with, including our third-party vendors, service providers, manufacturers, solution providers, partners and consultants, misappropriate our proprietary information or cause business interruptions, or access or misappropriate other sensitive data. Because the techniques used by such computer programmers to access or sabotage networks change frequently and may not be recognized until launched against a target, we may be unable to anticipate these techniques or to implement adequate preventative measures. In the past, we and relevant third parties have faced compromises to our network security, though no prior incidents we have identified to date have materially affected our business, results of operations or financial condition. Companies are facing additional attacks as workforces have become more distributed as a result of remote and hybrid working arrangements. Additionally, geopolitical events may increase the cybersecurity risks we and the third parties we work with face. Our business operations utilize and rely upon numerous third-party vendors, service providers, manufacturers, solution providers, partners and consultants, and any failure of such third parties’ cybersecurity measures could materially and adversely affect or disrupt our business. While we have invested in and continue to update our network security and cybersecurity infrastructure and systems, if our cybersecurity systems, or the cybersecurity systems of relevant third parties, fail to protect against unauthorized access, sophisticated cyber-attacks, phishing schemes, ransomware and other malicious code, data protection breaches, computer viruses, denial-of-service attacks, or disruptions from unauthorized tampering or human error, our ability to conduct our business effectively could be damaged in a number of ways, including:</w:t>
      </w:r>
    </w:p>
    <w:p>
      <w:pPr>
        <w:spacing w:after="0" w:line="196" w:lineRule="exact"/>
        <w:rPr>
          <w:sz w:val="20"/>
          <w:szCs w:val="20"/>
          <w:color w:val="auto"/>
        </w:rPr>
      </w:pPr>
    </w:p>
    <w:p>
      <w:pPr>
        <w:ind w:left="1000" w:right="800" w:hanging="317"/>
        <w:spacing w:after="0" w:line="261"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and other proprietary data, or financial assets, could be stolen, lost, altered, or otherwise unavailable;</w:t>
      </w:r>
    </w:p>
    <w:p>
      <w:pPr>
        <w:ind w:left="1000" w:hanging="31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conduct our business operations could be seriously disrupted;</w:t>
      </w:r>
    </w:p>
    <w:p>
      <w:pPr>
        <w:spacing w:after="0" w:line="9" w:lineRule="exact"/>
        <w:rPr>
          <w:rFonts w:ascii="Times New Roman" w:cs="Times New Roman" w:eastAsia="Times New Roman" w:hAnsi="Times New Roman"/>
          <w:sz w:val="18"/>
          <w:szCs w:val="18"/>
          <w:color w:val="auto"/>
        </w:rPr>
      </w:pPr>
    </w:p>
    <w:p>
      <w:pPr>
        <w:ind w:left="1000" w:right="320" w:hanging="317"/>
        <w:spacing w:after="0" w:line="250"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and security vulnerabilities could be introduced into our product offerings, thereby damaging the reputation and perceived reliability and security of our products; and</w:t>
      </w:r>
    </w:p>
    <w:p>
      <w:pPr>
        <w:ind w:left="1000" w:right="40" w:hanging="317"/>
        <w:spacing w:after="0" w:line="255"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or otherwise sensitive information, including personal data of our customers, employees and business partners, could be compromised and lead to unauthorized, unlawful, or accidental access to, or acquisition, use, corruption, loss, destruction, unavailability, alteration or dissemination of, or damage to, such information.</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In addition, our systems, and the systems of third parties we work with, are potentially vulnerable to breakdown or other damage or interruption from service interruptions, system malfunction, natural disasters, terrorism, war and telecommunication and electrical failures, as well as security breaches and incidents from inadvertent or intentional actions by our employees, contractors, consultants, business partners, and/or other third parties, which may compromise our system infrastructure or lead to the loss, destruction, alteration, prevention of access to, disclosure, or dissemination of, or damage or unauthorized access to, our data (including trade secrets or other confidential information, intellectual property, proprietary business information, and personal information) or data that is processed or maintained on our behalf, or other assets.</w:t>
      </w:r>
    </w:p>
    <w:p>
      <w:pPr>
        <w:spacing w:after="0" w:line="18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Should any of the above events occur, or be perceived to have occurred, our reputation, competitive position and business could be significantly harmed, and we could be subject to claims, demands and litigation from customers, third parties, and other individuals and groups, and investigations or other proceedings by governmental authorities, and may be subject to fines, penalties, damages, and other liabilities. Additionally, we could incur significant costs in order to upgrade our cybersecurity systems and remediate damages and otherwise respond to the incident. Consequently, our business, operating results, financial condition and cash flows could be materially and adversely affected.</w:t>
      </w:r>
    </w:p>
    <w:p>
      <w:pPr>
        <w:spacing w:after="0" w:line="18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We may not have applicable or otherwise adequate insurance to protect us from, or adequately mitigate, liabilities or damages resulting from security breaches or incidents. The successful assertion of one or more large claims against us that exceeds any available insurance coverage that we might have, or results in changes to insurance policies (including premium increases or the imposition of large deductible or co-insurance requirements), could have an adverse effect on our business. In addition, we cannot be sure that insurance coverage will be available on acceptable terms or that insurers will not deny coverage as to any future claim.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macroeconomic conditions, natural disasters or reduced technology spending could adversely affect our business, operating results, and financial condition.</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business generally depends on the overall demand for our technology and on the economic health of our current and prospective customers. In addition, the purchase of our products is often discretionary and may involve a significant commitment of capital and other resources. Weak global and regional macroeconomic conditions, including labor shortages, supply chain and transportation disruptions, rising interest rates and inflation, low spending environments, geopolitical instability, warfare and uncertainty, tariffs, trade protectionism or other barriers to trade, weak economic conditions in certain regions or a reduction in technology spending regardless of macroeconomic conditions, including as a result of the ongoing conflict between Russia and the Ukraine and the global response thereto, could adversely affect our business, operating results, and financial condition, including resulting in longer sales cycles, a negative impact on our ability to attract and retain new customers or expand our platform or sell additional products to our existing customers, lower prices for our products, higher default rates among our current suppliers and customers and reduced sales to new or existing customers.</w:t>
      </w:r>
    </w:p>
    <w:p>
      <w:pPr>
        <w:spacing w:after="0" w:line="19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There have been disruptions and uncertainty in the global banking system in recent years. For example, in the first half of 2023, Silicon Valley Bank (“SVB”), Signature Bank and First Republic were closed by state regulators and the Federal Deposit Insurance Corporation (the “FDIC”) was appointed as receiver for each bank. While we do not have any exposure to SVB, Signature Bank, or First Republic, we do maintain our cash at financial institutions, often in balances that exceed the current FDIC insurance limits. If other banks and financial institutions in which we hold funds for working capital and operating expenses enter receivership or become insolvent in the future, our ability to access our cash and cash equivalents, including transferring funds, making payments or receiving funds, may be threatened and could have a material adverse effect on our business and financial condition. Moreover, such events, in addition to the global macroeconomic conditions discussed above, may cause further turbulence and uncertainty in the capital markets, which may adversely affect the trading price of our common stock and potentially our results of operations. Further, deterioration of the global macroeconomic environment and any regulatory action taken in response thereto may also adversely affect our business, operating results, and financial condition.</w:t>
      </w:r>
    </w:p>
    <w:p>
      <w:pPr>
        <w:spacing w:after="0" w:line="192" w:lineRule="exact"/>
        <w:rPr>
          <w:sz w:val="20"/>
          <w:szCs w:val="20"/>
          <w:color w:val="auto"/>
        </w:rPr>
      </w:pPr>
    </w:p>
    <w:p>
      <w:pPr>
        <w:ind w:right="380" w:firstLine="648"/>
        <w:spacing w:after="0" w:line="258" w:lineRule="auto"/>
        <w:rPr>
          <w:sz w:val="20"/>
          <w:szCs w:val="20"/>
          <w:color w:val="auto"/>
        </w:rPr>
      </w:pPr>
      <w:r>
        <w:rPr>
          <w:rFonts w:ascii="Times New Roman" w:cs="Times New Roman" w:eastAsia="Times New Roman" w:hAnsi="Times New Roman"/>
          <w:sz w:val="18"/>
          <w:szCs w:val="18"/>
          <w:color w:val="auto"/>
        </w:rPr>
        <w:t>Further, natural disasters or other catastrophic events may cause damage or disruption to our operations, international commerce, and the global economy, and thus could have an adverse effect on us. Our business operations are also subject to, among other things, interruption by fire, power shortages, flooding, and other events beyond our control. In the event of a natural disaster, including a major earthquake, blizzard, or hurricane, or a catastrophic event such as a fire, power loss, cyberattack, or telecommunications failure, we may be unable to continue our operations, the products which embody our technology may not</w:t>
      </w:r>
    </w:p>
    <w:p>
      <w:pPr>
        <w:sectPr>
          <w:pgSz w:w="11900" w:h="16838" w:orient="portrait"/>
          <w:cols w:equalWidth="0" w:num="1">
            <w:col w:w="9900"/>
          </w:cols>
          <w:pgMar w:left="980" w:top="513" w:right="1019"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function properly or at all, and we may endure system interruptions, reputational harm, delays in development of our products, lengthy interruptions in service, breaches of data security, loss of critical data, and reduced sales, all of which could have an adverse effect on our operating results. Climate change could result in an increase in the frequency or severity of such natural disasters. For example, our corporate offices are located in California, a state that frequently experiences earthquakes, wildfires, heatwaves and droughts.</w:t>
      </w:r>
    </w:p>
    <w:p>
      <w:pPr>
        <w:spacing w:after="0" w:line="176"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publish negative reports about our business, our stock price and trading volume could decline.</w:t>
      </w:r>
    </w:p>
    <w:p>
      <w:pPr>
        <w:spacing w:after="0" w:line="15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or our business. We do not have any control over these analysts. There can be no assurance that analysts will continue to cover us or provide favorable coverage. If one or more of the analysts who cover us downgrade our stock or change their opinion of our stock, our stock price would likely decline. If one or more of these analysts cease coverage of our company or fail to regularly publish reports on us, we could lose visibility in the financial markets, which could cause our stock price or trading volume to decline.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We believe cybersecurity is critical to supporting our vision and enabling our strategy. We have servers, computers, and other technological equipment with electronic files containing Company intellectual property including customer information. We also have hardware and firmware that is provided to third parties for testing as part of our manufacturing process. Additionally, we are an IoT service provider through the e-Compass cloud-based platform. Although we mitigate the threat of a cyber-attack with updates, patches, lifecycle replacements of legacy equipment and employee training, no system is completely safe from an attack or theft of intellectual property that could cause significant loss or business interruption.</w:t>
      </w:r>
    </w:p>
    <w:p>
      <w:pPr>
        <w:spacing w:after="0" w:line="18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generally face a multitude of cybersecurity threats that are common to most industries. Examples of threats to our systems could include: (i) ransomware allowing unauthorized users to access our databases, encrypt the data and demand payment in order to provide a decryption key, (ii) denial of Service (DoS) where an unauthorized user exerts heavy traffic on our servers, making them unavailable, (iii) SQL Infection where unauthorized users cause interference with database content, (iv) insider threats where users misuse our platforms, creating data loss or corruption, and (v) cloud misconfigurations leading to unintended exposure of sensitive data. A significant breach of our systems or those of our third-party vendors could result in the loss of sensitive data, intellectual property, or customer information, leading to operational disruptions, reputational damage, and litigation. Our customers, suppliers, and partners also face similar cybersecurity threats and, while we have not been materially affected to date, a cybersecurity incident impacting us or any of these entities could materially adversely affect our operations, performance, and results of operations. These cybersecurity threats and related risks make it imperative that we maintain a strong focus on cybersecurity.</w:t>
      </w:r>
    </w:p>
    <w:p>
      <w:pPr>
        <w:spacing w:after="0" w:line="194"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We assess, identify and manage material risks from cybersecurity threats through various policies, procedures and processes of our information technology (“IT”) department, which include 1) review of IT security policy and change management policy review, 2) IT control procedures, 3) firewall reviews, 4) system backups and 5) procurement of cyber liability insurance.</w:t>
      </w:r>
    </w:p>
    <w:p>
      <w:pPr>
        <w:spacing w:after="0" w:line="17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have one full-time IT employee, with over a decade of cybersecurity experience. This IT employee reports to the General Counsel, a former Certified Information Systems Security Professional. The General Counsel and other executive officers provide direct updates to the Audit Committee at least annually, or if a significant event were to occur, immediately. We also train our employees on cybersecurity threats on a regular basis and numerous cybersecurity service providers are engaged to monitor and proactively protect our IT systems. Cyber insurance coverage is maintained to mitigate risks to our operations. We conduct continuous vulnerability scanning. All vendor agreements are reviewed by our legal department, and risks are highlighted and mitigated through discussions with IT, and our Chief Executive Officer and Chief Financial Officer.</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During the fiscal year ended December 31, 2025, we did not experience any cybersecurity incidents that, individually or in the aggregate, were determined to be material to our financial condition or results of operations. We have not faced any threats that have resulted in loss of information, or inability to operate for any period of time; nor have any threats affected or been deemed likely to materially affect our business strategy, results of operations, or financial condition. If a material cybersecurity incident were to occur, it would be evaluated based on both quantitative and qualitative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Board of Directors oversees the risks of cybersecurity threats and communicates with the Chief Executive Officer and Chief Financial Officer regarding controls in place. The Board of Directors receives periodic briefings from the Chief Executive Officer and Chief Financial Officer, concerning cybersecurity, information security and technology risks, and our related risk mitigation programs. Any material cybersecurity threats, breaches or other concerns are immediately communicated to the Board of Directors.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 2025, we entered into a lease agreement for our corporate headquarters located at 3590 North First Street in San Jose, California. The lease is valid through the end of 2027. This space, with a total of 12,783 square feet, is used for our headquarters and for research and development efforts.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are not currently a party to any legal proceedings that we believe will have a material adverse effect on our business or financial condition. We may, however, be subject to various claims and legal actions arising in the ordinary course of business from time to time.</w:t>
      </w:r>
    </w:p>
    <w:p>
      <w:pPr>
        <w:spacing w:after="0" w:line="118" w:lineRule="exact"/>
        <w:rPr>
          <w:sz w:val="20"/>
          <w:szCs w:val="20"/>
          <w:color w:val="auto"/>
        </w:rPr>
      </w:pPr>
    </w:p>
    <w:p>
      <w:pPr>
        <w:jc w:val="center"/>
        <w:ind w:right="750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00" w:lineRule="exact"/>
        <w:rPr>
          <w:sz w:val="20"/>
          <w:szCs w:val="20"/>
          <w:color w:val="auto"/>
        </w:rPr>
      </w:pPr>
    </w:p>
    <w:p>
      <w:pPr>
        <w:jc w:val="center"/>
        <w:ind w:right="7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3" w:lineRule="exact"/>
        <w:rPr>
          <w:sz w:val="20"/>
          <w:szCs w:val="20"/>
          <w:color w:val="auto"/>
        </w:rPr>
      </w:pPr>
    </w:p>
    <w:p>
      <w:pPr>
        <w:ind w:right="660"/>
        <w:spacing w:after="0" w:line="503"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 for Common Stock</w:t>
      </w: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Our common stock began trading on the Nasdaq Capital Market under the symbol “WATT” on March 31, 2014. Prior to that date, there was no public trading market for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As of March 17, 2026, there were 6 stockholders of record of our common stock, and we believe we have significantly more beneficial owners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right="500" w:firstLine="648"/>
        <w:spacing w:after="0" w:line="261" w:lineRule="auto"/>
        <w:rPr>
          <w:sz w:val="20"/>
          <w:szCs w:val="20"/>
          <w:color w:val="auto"/>
        </w:rPr>
      </w:pPr>
      <w:r>
        <w:rPr>
          <w:rFonts w:ascii="Times New Roman" w:cs="Times New Roman" w:eastAsia="Times New Roman" w:hAnsi="Times New Roman"/>
          <w:sz w:val="18"/>
          <w:szCs w:val="18"/>
          <w:color w:val="auto"/>
        </w:rPr>
        <w:t>We have never paid cash dividends on our securities, and we do not anticipate paying any cash dividends on our shares of common stock in the foreseeable future. We intend to retain any future earnings for reinvestment in our business. Any future determination to pay cash dividends will be at the discretion of our Board of Directors, and will be dependent upon our financial condition, results of operations, capital requirements and such other factors as our Board of Directors deems relevant.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We have developed scalable, over-the-air WPN technology that integrates advanced semiconductor chipsets, software controls, hardware designs, and antenna systems to enable RF-based charging for ambient IoT devices, transforming supply chain capabilities from limited tracking to overall business intelligence. Our WPN technology consists of transmitter systems, receiver integrated circuits, and supporting software designed to deliver power and data to battery-free IoT devices across a range of operating distances and power levels. These capabilities support applications that require continuous operation without wired power connections or periodic battery replacement.</w:t>
      </w:r>
    </w:p>
    <w:p>
      <w:pPr>
        <w:spacing w:after="0" w:line="187"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With a patent portfolio exceeding 300 patents, our solutions support both near-field and at-a-distance wireless power transmission and include advanced receiver technology designed for use across multiple device categories. Applications include retail sensors, ESLs, asset trackers, air quality monitors, motion detectors, and other monitoring solutions.</w:t>
      </w:r>
    </w:p>
    <w:p>
      <w:pPr>
        <w:spacing w:after="0" w:line="176"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To date, we have developed and released multiple transmitter and battery-free receiver products. Our transmitters vary in form factors, power specifications, and operating frequencies, and our receivers are designed to support a range of wireless power-enabled device applications, including:</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9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Device Type</w:t>
            </w:r>
          </w:p>
        </w:tc>
        <w:tc>
          <w:tcPr>
            <w:tcW w:w="496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Application</w:t>
            </w:r>
          </w:p>
        </w:tc>
      </w:tr>
      <w:tr>
        <w:trPr>
          <w:trHeight w:val="209"/>
        </w:trPr>
        <w:tc>
          <w:tcPr>
            <w:tcW w:w="4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RF Tags</w:t>
            </w:r>
          </w:p>
        </w:tc>
        <w:tc>
          <w:tcPr>
            <w:tcW w:w="4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Cold Chain, Asset Tracking, Medical IoT</w:t>
            </w:r>
          </w:p>
        </w:tc>
      </w:tr>
      <w:tr>
        <w:trPr>
          <w:trHeight w:val="210"/>
        </w:trPr>
        <w:tc>
          <w:tcPr>
            <w:tcW w:w="4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Ambient IoT Sensors</w:t>
            </w:r>
          </w:p>
        </w:tc>
        <w:tc>
          <w:tcPr>
            <w:tcW w:w="4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Cold Chain, Logistics, Asset Tracking</w:t>
            </w:r>
          </w:p>
        </w:tc>
      </w:tr>
      <w:tr>
        <w:trPr>
          <w:trHeight w:val="210"/>
        </w:trPr>
        <w:tc>
          <w:tcPr>
            <w:tcW w:w="4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Electronic Shelf Labels</w:t>
            </w:r>
          </w:p>
        </w:tc>
        <w:tc>
          <w:tcPr>
            <w:tcW w:w="4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Retail and Industrial IoT</w:t>
            </w:r>
          </w:p>
        </w:tc>
      </w:tr>
    </w:tbl>
    <w:p>
      <w:pPr>
        <w:spacing w:after="0" w:line="198"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first WPN-enabled product featuring our technology entered the market in 2019. In the fourth quarter of 2021, we commenced shipments of at-a-distance PowerBridge transmitter systems for commercial IoT applications and proof-of-concept deployments. In the second quarter of 2025, we introduced the battery-free e-Sense tag and the e-Compass cloud-based software platform, which together supported the first end-to-end wireless power-enabled IoT device monitoring and management solution. As we continue to innovate our technology applications, we anticipate the release of additional wireless power-enabled products.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Current Global Economic Conditions on Our Business</w:t>
      </w:r>
    </w:p>
    <w:p>
      <w:pPr>
        <w:spacing w:after="0" w:line="22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Uncertainty in the global economy presents significant risks to our business. We are subject to ongoing exposure related to the current macroeconomic environment, including inflation, rising interest rates, geopolitical factors such as the ongoing conflict between Russia and Ukraine, tensions between the United States and China as well as China and Taiwan, conflicts in the Middle East, and supply chain disruptions. These conditions may affect various aspects of our business, including our operations, financial position, cash flow, inventory management, supply chains, global regulatory approvals, purchasing trends, customer payment patterns, and the broader industry environment, as well as our employees.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 and Policies</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following discussion and analysis of financial condition and results of operations is based upon our financial statements, which have been prepared in conformity with accounting principles generally accepted in the United States of America. Certain accounting policies and estimates are particularly important to the understanding of our financial position and results of operations and require the application of significant judgment by our management or can be materially affected by changes from period to period in economic factors or conditions that are outside of our control. As a result, they are subject to an inherent degree of uncertainty. In applying these policies, our management uses their judgment to determine the appropriate assumptions to be used in the determination of certain estimates. Those estimates are based on our historical operations, our future business plans and projected financial results, the terms of existing contracts, our observance of trends in the industry, information provided by our customers and information</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40"/>
          </w:cols>
          <w:pgMar w:left="980" w:top="513" w:right="9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available from other outside sources, as appropriate. Please see Note 3 to our financial statements for a more complete description of our significant accounting policies.</w:t>
      </w:r>
    </w:p>
    <w:p>
      <w:pPr>
        <w:spacing w:after="0" w:line="16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generally accepted accounting principles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United States of America (“U.S. GAAP”) requires management to make estimates and assumptions that affect the reported amounts of assets and liabilities and the disclosure of contingent liabilities at the date of the financial statements as well as the reported amounts of revenue and expenses during the reporting periods.</w:t>
      </w:r>
    </w:p>
    <w:p>
      <w:pPr>
        <w:spacing w:after="0" w:line="182"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Some of these judgments can be subjective and complex, and, consequently, actual results may differ from these estimates. Although we believe that our estimates and assumptions are reasonable, they are based upon information available at the time the estimates and assumptions were made. Actual results could differ from those estimates.</w:t>
      </w:r>
    </w:p>
    <w:p>
      <w:pPr>
        <w:spacing w:after="0" w:line="17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Going Concern. </w:t>
      </w:r>
      <w:r>
        <w:rPr>
          <w:rFonts w:ascii="Times New Roman" w:cs="Times New Roman" w:eastAsia="Times New Roman" w:hAnsi="Times New Roman"/>
          <w:sz w:val="18"/>
          <w:szCs w:val="18"/>
          <w:color w:val="auto"/>
        </w:rPr>
        <w:t>Accounting Standards Codification (“ASC”) 205-40</w:t>
      </w:r>
      <w:r>
        <w:rPr>
          <w:rFonts w:ascii="Times New Roman" w:cs="Times New Roman" w:eastAsia="Times New Roman" w:hAnsi="Times New Roman"/>
          <w:sz w:val="18"/>
          <w:szCs w:val="18"/>
          <w:i w:val="1"/>
          <w:iCs w:val="1"/>
          <w:color w:val="auto"/>
        </w:rPr>
        <w:t xml:space="preserve"> Presentation of Financial Statements - Going Concern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management to assess our ability to continue as a going concern. In accordance with this guidance, we have evaluated whether there are conditions and events, considered in the aggregate, that raise substantial doubt about our ability to continue as a going concern within one year after the date that the financial statements are issued. We anticipate cash flows generated from operations and our cash and cash equivalents will be sufficient to meet our liquidity needs for at least the next 12 months.</w:t>
      </w:r>
    </w:p>
    <w:p>
      <w:pPr>
        <w:spacing w:after="0" w:line="185"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Determining the extent to which conditions or events raise substantial doubt about our ability to continue as a going concern requires significant judgment and estimation by us. Our significant estimates related to this analysis may include identifying business factors used in the forecasted financial results and liquidity. We believe that the estimated values used in our going concern analysis are based on reasonable assumptions. However, such assumptions are inherently uncertain, and actual results could differ materially from those estimates.</w:t>
      </w:r>
    </w:p>
    <w:p>
      <w:pPr>
        <w:spacing w:after="0" w:line="181"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Warrants. </w:t>
      </w:r>
      <w:r>
        <w:rPr>
          <w:rFonts w:ascii="Times New Roman" w:cs="Times New Roman" w:eastAsia="Times New Roman" w:hAnsi="Times New Roman"/>
          <w:sz w:val="18"/>
          <w:szCs w:val="18"/>
          <w:color w:val="auto"/>
        </w:rPr>
        <w:t>We account for warrants as either equity-classified or liability-classified instruments based on an assessment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specific terms and applicable authoritative guidance in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85"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as a liability at their initial fair value on the date of issuance, and each balance sheet date thereafter. Changes in the estimated fair value of the warrants are recognized as a non-cash gain or loss on the statements of operations. The fair value of the warrants is estimated using an appropriate valuation model. Such warrant classification is also subject to re-evaluation at each reporting period.</w:t>
      </w:r>
    </w:p>
    <w:p>
      <w:pPr>
        <w:spacing w:after="0" w:line="187" w:lineRule="exact"/>
        <w:rPr>
          <w:sz w:val="20"/>
          <w:szCs w:val="20"/>
          <w:color w:val="auto"/>
        </w:rPr>
      </w:pPr>
    </w:p>
    <w:p>
      <w:pPr>
        <w:jc w:val="both"/>
        <w:ind w:right="440" w:firstLine="648"/>
        <w:spacing w:after="0" w:line="266" w:lineRule="auto"/>
        <w:rPr>
          <w:sz w:val="20"/>
          <w:szCs w:val="20"/>
          <w:color w:val="auto"/>
        </w:rPr>
      </w:pPr>
      <w:r>
        <w:rPr>
          <w:rFonts w:ascii="Times New Roman" w:cs="Times New Roman" w:eastAsia="Times New Roman" w:hAnsi="Times New Roman"/>
          <w:sz w:val="18"/>
          <w:szCs w:val="18"/>
          <w:color w:val="auto"/>
        </w:rPr>
        <w:t>Offering costs associated with warrants classified as liabilities are expensed as incurred and are presented as offering cost related to warrant liability in the statement of operations. Offering costs associated with the sale of warrants classified as equity are charged against proceeds received.</w:t>
      </w:r>
    </w:p>
    <w:p>
      <w:pPr>
        <w:spacing w:after="0" w:line="174"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We follow ASC 606, “Revenue from Contracts with Customers” (“Topic 606”). In accordance with Topic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606, we recognize revenue using the following five-step approach:</w:t>
      </w:r>
    </w:p>
    <w:p>
      <w:pPr>
        <w:spacing w:after="0" w:line="160" w:lineRule="exact"/>
        <w:rPr>
          <w:sz w:val="20"/>
          <w:szCs w:val="20"/>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the customer.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 of the contract.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of the contract.</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performance obligations are satisfied.</w:t>
      </w:r>
    </w:p>
    <w:p>
      <w:pPr>
        <w:spacing w:after="0" w:line="22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Our revenue consists of its single segment of wireless charging system solutions. The wireless charging system revenue consists of revenue from product development projects and production-level systems.</w:t>
      </w:r>
    </w:p>
    <w:p>
      <w:pPr>
        <w:spacing w:after="0" w:line="16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record a majority of our revenue based on the shipment of products that we sell. Generally, there is a five-day return policy on our shipment of products. Additionally, we record revenue associated with product development projects that we enter into with certain customers. In general, these product development projects are complex, and we do not have certainty about our ability to achieve the project milestones. The achievement of a milestone is dependent on our performance obligation and requires acceptance by the customer. We recognize this revenue at the point in time at which the performance obligation is met. The payment associated with achieving the performance obligation is generally commensurate with our effort or the value of the deliverable and is nonrefundable. Any deferred revenue is recognized upon achievement of the performance obligation or expiration of a support agreement.</w:t>
      </w:r>
    </w:p>
    <w:p>
      <w:pPr>
        <w:spacing w:after="0" w:line="18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Inventory</w:t>
      </w:r>
      <w:r>
        <w:rPr>
          <w:rFonts w:ascii="Times New Roman" w:cs="Times New Roman" w:eastAsia="Times New Roman" w:hAnsi="Times New Roman"/>
          <w:sz w:val="18"/>
          <w:szCs w:val="18"/>
          <w:color w:val="auto"/>
        </w:rPr>
        <w:t>. We state inventory at the lower of cost, determined on a weighted average cost method, or net realizable value.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realizable value is calculated at the end of each reporting period and an adjustment, if needed, is made. At the point of loss recognition, a new lower cost basis for that inventory is established and subsequent changes in facts and circumstances do not result in the restoration or increase in the new cost basis.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229" w:lineRule="exact"/>
        <w:rPr>
          <w:sz w:val="20"/>
          <w:szCs w:val="20"/>
          <w:color w:val="auto"/>
        </w:rPr>
      </w:pPr>
    </w:p>
    <w:p>
      <w:pPr>
        <w:ind w:right="200" w:firstLine="648"/>
        <w:spacing w:after="0" w:line="254" w:lineRule="auto"/>
        <w:rPr>
          <w:sz w:val="20"/>
          <w:szCs w:val="20"/>
          <w:color w:val="auto"/>
        </w:rPr>
      </w:pPr>
      <w:r>
        <w:rPr>
          <w:rFonts w:ascii="Times New Roman" w:cs="Times New Roman" w:eastAsia="Times New Roman" w:hAnsi="Times New Roman"/>
          <w:sz w:val="18"/>
          <w:szCs w:val="18"/>
          <w:color w:val="auto"/>
        </w:rPr>
        <w:t>Cost of revenue consists of direct materials, direct labor and overhead for our production-level wireless charging systems. Research and development expenses include costs associated with our efforts to develop our technology, including personnel compensation, consulting, engineering supplies and components, regulatory expense and general office expenses specifically related to the research and development department. Sales and marketing expenses include costs associated with selling and marketing our technology to our customers, including personnel compensation, public relations, graphic design, tradeshow, engineering supplies utilized by the sales team and general office expenses specifically related to the sales and marketing department. General and administrative expenses include costs for general and corporate functions, including personnel compensation, facility fees, travel, telecommunications, insurance, professional fees, consulting fees, general office expenses, and other overhead.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2025 and 2024</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selected Condensed Statements of Operations data (in thousands) and such data as a percentage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 Change</w:t>
            </w:r>
          </w:p>
        </w:tc>
        <w:tc>
          <w:tcPr>
            <w:tcW w:w="1040" w:type="dxa"/>
            <w:vAlign w:val="bottom"/>
            <w:gridSpan w:val="4"/>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 % Change</w:t>
            </w: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1000" w:type="dxa"/>
            <w:vAlign w:val="bottom"/>
            <w:gridSpan w:val="2"/>
          </w:tcPr>
          <w:p>
            <w:pPr>
              <w:ind w:left="7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gridSpan w:val="3"/>
            <w:vMerge w:val="continue"/>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20" w:type="dxa"/>
            <w:vAlign w:val="bottom"/>
            <w:tcBorders>
              <w:right w:val="single" w:sz="8" w:color="CCEEFF"/>
            </w:tcBorders>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209"/>
        </w:trPr>
        <w:tc>
          <w:tcPr>
            <w:tcW w:w="5120" w:type="dxa"/>
            <w:vAlign w:val="bottom"/>
            <w:vMerge w:val="continue"/>
            <w:shd w:val="clear" w:color="auto" w:fill="CCEEFF"/>
          </w:tcPr>
          <w:p>
            <w:pPr>
              <w:spacing w:after="0"/>
              <w:rPr>
                <w:sz w:val="18"/>
                <w:szCs w:val="18"/>
                <w:color w:val="auto"/>
              </w:rPr>
            </w:pPr>
          </w:p>
        </w:tc>
        <w:tc>
          <w:tcPr>
            <w:tcW w:w="820" w:type="dxa"/>
            <w:vAlign w:val="bottom"/>
            <w:tcBorders>
              <w:right w:val="single" w:sz="8" w:color="CCEEFF"/>
            </w:tcBorders>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w:t>
            </w:r>
          </w:p>
        </w:tc>
        <w:tc>
          <w:tcPr>
            <w:tcW w:w="2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8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376 %</w:t>
            </w: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16,808 %</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Severance expense</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from abandoned financing transaction</w:t>
            </w:r>
          </w:p>
        </w:tc>
        <w:tc>
          <w:tcPr>
            <w:tcW w:w="8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9"/>
        </w:trPr>
        <w:tc>
          <w:tcPr>
            <w:tcW w:w="5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8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12,044</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(10,015)</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09"/>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8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retirement of property and equipment</w:t>
            </w:r>
          </w:p>
        </w:tc>
        <w:tc>
          <w:tcPr>
            <w:tcW w:w="8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short-term debt</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fees from accounts receivable factoring agreements</w:t>
            </w:r>
          </w:p>
        </w:tc>
        <w:tc>
          <w:tcPr>
            <w:tcW w:w="8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9"/>
        </w:trPr>
        <w:tc>
          <w:tcPr>
            <w:tcW w:w="5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8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3,417 %</w:t>
            </w:r>
          </w:p>
        </w:tc>
        <w:tc>
          <w:tcPr>
            <w:tcW w:w="0" w:type="dxa"/>
            <w:vAlign w:val="bottom"/>
          </w:tcPr>
          <w:p>
            <w:pPr>
              <w:spacing w:after="0"/>
              <w:rPr>
                <w:sz w:val="1"/>
                <w:szCs w:val="1"/>
                <w:color w:val="auto"/>
              </w:rPr>
            </w:pPr>
          </w:p>
        </w:tc>
      </w:tr>
      <w:tr>
        <w:trPr>
          <w:trHeight w:val="210"/>
        </w:trPr>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2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(9,593)</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(18,398)</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8,805</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Revenues. </w:t>
      </w:r>
      <w:r>
        <w:rPr>
          <w:rFonts w:ascii="Times New Roman" w:cs="Times New Roman" w:eastAsia="Times New Roman" w:hAnsi="Times New Roman"/>
          <w:sz w:val="18"/>
          <w:szCs w:val="18"/>
          <w:color w:val="auto"/>
        </w:rPr>
        <w:t>During 2025 and 2024, we recorded revenue of $5.6 million and $0.8 million, respectively. The 633% year over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 is primarily due to the expansion of commercial applications with multinational enterprise retailers, including two Fortune 10 companies (one of which accounted for 85% of our 2025 revenue), deploying our WPN technology in connection with their infrastructure modernization initiatives as well as a proof-of-concept deployment with a Fortune 500 customer, referred through the Company’s participation in the Amazon Web Services (“AWS”) Partner Network.</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12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3780" w:type="dxa"/>
            <w:vAlign w:val="bottom"/>
          </w:tcPr>
          <w:p>
            <w:pPr>
              <w:spacing w:after="0"/>
              <w:rPr>
                <w:sz w:val="12"/>
                <w:szCs w:val="12"/>
                <w:color w:val="auto"/>
              </w:rPr>
            </w:pPr>
          </w:p>
        </w:tc>
        <w:tc>
          <w:tcPr>
            <w:tcW w:w="2340" w:type="dxa"/>
            <w:vAlign w:val="bottom"/>
            <w:gridSpan w:val="2"/>
          </w:tcPr>
          <w:p>
            <w:pPr>
              <w:ind w:left="20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2"/>
                <w:szCs w:val="12"/>
                <w:color w:val="auto"/>
              </w:rPr>
            </w:pPr>
          </w:p>
        </w:tc>
        <w:tc>
          <w:tcPr>
            <w:tcW w:w="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756</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2,845</w:t>
            </w: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w:t>
            </w: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Percent of total revenue</w:t>
            </w:r>
          </w:p>
        </w:tc>
        <w:tc>
          <w:tcPr>
            <w:tcW w:w="2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64 %</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Cost of revenue was $3.6 million and $0.8 million, respectively, for 2025 and 2024. The increase is primarily due to higher sales volume of PowerBridge Pro transmitters that were shipped during 2025. With the continued ramp up of our volume manufacturing during 2025 and other strategic efforts made to optimize operations, product margins improved significantly, transitioning from a gross profit in 2024 of $12,000 to a gross profit in 2025 of approximately $2.0 million.</w:t>
      </w:r>
    </w:p>
    <w:p>
      <w:pPr>
        <w:spacing w:after="0" w:line="176" w:lineRule="exact"/>
        <w:rPr>
          <w:sz w:val="20"/>
          <w:szCs w:val="20"/>
          <w:color w:val="auto"/>
        </w:rPr>
      </w:pPr>
    </w:p>
    <w:p>
      <w:pPr>
        <w:ind w:right="54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expenses and Loss from Operations. </w:t>
      </w:r>
      <w:r>
        <w:rPr>
          <w:rFonts w:ascii="Times New Roman" w:cs="Times New Roman" w:eastAsia="Times New Roman" w:hAnsi="Times New Roman"/>
          <w:sz w:val="18"/>
          <w:szCs w:val="18"/>
          <w:color w:val="auto"/>
        </w:rPr>
        <w:t>Operating expenses are made up of research and development, sales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marketing, general and administrative, severance expense, and expenses from an abandoned financing transaction. The loss from operations was $10.0 million and $18.4 million, respectively, for 2025 and 2024.</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1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5"/>
                <w:szCs w:val="15"/>
                <w:color w:val="auto"/>
              </w:rPr>
            </w:pPr>
          </w:p>
        </w:tc>
        <w:tc>
          <w:tcPr>
            <w:tcW w:w="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2240" w:type="dxa"/>
            <w:vAlign w:val="bottom"/>
            <w:gridSpan w:val="2"/>
          </w:tcPr>
          <w:p>
            <w:pPr>
              <w:ind w:left="19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7,686</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(3,560)</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Percent of total revenue</w:t>
            </w: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73 %</w:t>
            </w:r>
          </w:p>
        </w:tc>
        <w:tc>
          <w:tcPr>
            <w:tcW w:w="200" w:type="dxa"/>
            <w:vAlign w:val="bottom"/>
          </w:tcPr>
          <w:p>
            <w:pPr>
              <w:spacing w:after="0"/>
              <w:rPr>
                <w:sz w:val="20"/>
                <w:szCs w:val="20"/>
                <w:color w:val="auto"/>
              </w:rPr>
            </w:pPr>
          </w:p>
        </w:tc>
        <w:tc>
          <w:tcPr>
            <w:tcW w:w="9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1,001 %</w:t>
            </w:r>
          </w:p>
        </w:tc>
        <w:tc>
          <w:tcPr>
            <w:tcW w:w="40" w:type="dxa"/>
            <w:vAlign w:val="bottom"/>
          </w:tcPr>
          <w:p>
            <w:pPr>
              <w:spacing w:after="0"/>
              <w:rPr>
                <w:sz w:val="20"/>
                <w:szCs w:val="20"/>
                <w:color w:val="auto"/>
              </w:rPr>
            </w:pPr>
          </w:p>
        </w:tc>
        <w:tc>
          <w:tcPr>
            <w:tcW w:w="7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costs for 2025 and 2024 were $4.1 million and $7.7 million, respectively. The decrease of $3.6 million is primarily due to a $2.0 million decrease in employee-related costs, consisting primarily of an approximately $1.9 million decrease in personnel-related expenses and a $0.2 million decrease in stock-based compensation, a $1.3 million decrease in engineering prototype related expenses, supplies, and software costs, and a $0.2 million decrease in miscellaneous office expenses.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Costs: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1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5"/>
                <w:szCs w:val="15"/>
                <w:color w:val="auto"/>
              </w:rPr>
            </w:pPr>
          </w:p>
        </w:tc>
        <w:tc>
          <w:tcPr>
            <w:tcW w:w="7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2340" w:type="dxa"/>
            <w:vAlign w:val="bottom"/>
            <w:gridSpan w:val="2"/>
          </w:tcPr>
          <w:p>
            <w:pPr>
              <w:ind w:left="20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gridSpan w:val="2"/>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(707)</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Percent of total revenue</w:t>
            </w:r>
          </w:p>
        </w:tc>
        <w:tc>
          <w:tcPr>
            <w:tcW w:w="2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42 %</w:t>
            </w:r>
          </w:p>
        </w:tc>
        <w:tc>
          <w:tcPr>
            <w:tcW w:w="2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399 %</w:t>
            </w:r>
          </w:p>
        </w:tc>
        <w:tc>
          <w:tcPr>
            <w:tcW w:w="40" w:type="dxa"/>
            <w:vAlign w:val="bottom"/>
          </w:tcPr>
          <w:p>
            <w:pPr>
              <w:spacing w:after="0"/>
              <w:rPr>
                <w:sz w:val="20"/>
                <w:szCs w:val="20"/>
                <w:color w:val="auto"/>
              </w:rPr>
            </w:pPr>
          </w:p>
        </w:tc>
        <w:tc>
          <w:tcPr>
            <w:tcW w:w="7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costs for 2025 and 2024 were $2.4 million and $3.1 million, respectively. The decrease of $0.7 million is primarily due to a $0.5 million decrease in consulting, public relations, and recruiting fees, a $0.1 million decrease in marketing and tradeshow expenses, and a $0.1 million decrease in trademark and promotional expenses.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Costs: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1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5"/>
                <w:szCs w:val="15"/>
                <w:color w:val="auto"/>
              </w:rPr>
            </w:pPr>
          </w:p>
        </w:tc>
        <w:tc>
          <w:tcPr>
            <w:tcW w:w="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2220" w:type="dxa"/>
            <w:vAlign w:val="bottom"/>
            <w:gridSpan w:val="2"/>
          </w:tcPr>
          <w:p>
            <w:pPr>
              <w:ind w:left="19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4,495</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6,293</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(1,798)</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Percent of total revenue</w:t>
            </w:r>
          </w:p>
        </w:tc>
        <w:tc>
          <w:tcPr>
            <w:tcW w:w="2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80 %</w:t>
            </w:r>
          </w:p>
        </w:tc>
        <w:tc>
          <w:tcPr>
            <w:tcW w:w="2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819 %</w:t>
            </w:r>
          </w:p>
        </w:tc>
        <w:tc>
          <w:tcPr>
            <w:tcW w:w="40" w:type="dxa"/>
            <w:vAlign w:val="bottom"/>
          </w:tcPr>
          <w:p>
            <w:pPr>
              <w:spacing w:after="0"/>
              <w:rPr>
                <w:sz w:val="20"/>
                <w:szCs w:val="20"/>
                <w:color w:val="auto"/>
              </w:rPr>
            </w:pPr>
          </w:p>
        </w:tc>
        <w:tc>
          <w:tcPr>
            <w:tcW w:w="7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General and administrative costs for 2025 and 2024 were $4.5 million and $6.3 million, respectively. The decrease of $1.8 million is primarily due to a $0.6 million decrease in legal fees, a $0.4 million decrease in corporate expenses primarily related to stock registration and annual meeting fees, a $0.3 million decrease in consulting, investor relations fees, a $0.2 million decrease in office rent, a $0.2 million decrease in insurance premiums, a $0.1 million decrease in supplies, a $0.1 million decrease in recruiting costs, and a $0.1 million decrease in stock-based compensation, partially offset by a $0.3 million increase in payroll costs accrued as a result of key milestones achieved during 2025 under the 2025 Bonus Plan and higher employee benefit costs.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Severance Expense: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1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5"/>
                <w:szCs w:val="15"/>
                <w:color w:val="auto"/>
              </w:rPr>
            </w:pPr>
          </w:p>
        </w:tc>
        <w:tc>
          <w:tcPr>
            <w:tcW w:w="7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2340" w:type="dxa"/>
            <w:vAlign w:val="bottom"/>
            <w:gridSpan w:val="2"/>
          </w:tcPr>
          <w:p>
            <w:pPr>
              <w:ind w:left="20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2"/>
                <w:szCs w:val="12"/>
                <w:color w:val="auto"/>
              </w:rPr>
            </w:pPr>
          </w:p>
        </w:tc>
        <w:tc>
          <w:tcPr>
            <w:tcW w:w="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720" w:type="dxa"/>
            <w:vAlign w:val="bottom"/>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expense</w:t>
            </w:r>
          </w:p>
        </w:tc>
        <w:tc>
          <w:tcPr>
            <w:tcW w:w="2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403</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(974)</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Percent of total revenue</w:t>
            </w:r>
          </w:p>
        </w:tc>
        <w:tc>
          <w:tcPr>
            <w:tcW w:w="2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7 %</w:t>
            </w:r>
          </w:p>
        </w:tc>
        <w:tc>
          <w:tcPr>
            <w:tcW w:w="2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40" w:type="dxa"/>
            <w:vAlign w:val="bottom"/>
          </w:tcPr>
          <w:p>
            <w:pPr>
              <w:spacing w:after="0"/>
              <w:rPr>
                <w:sz w:val="20"/>
                <w:szCs w:val="20"/>
                <w:color w:val="auto"/>
              </w:rPr>
            </w:pPr>
          </w:p>
        </w:tc>
        <w:tc>
          <w:tcPr>
            <w:tcW w:w="7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Severance expense for 2025 and 2024 was $0.4 million and $1.4 million, respectively. Severance expense during 2025 was related to separations with certain non-executive employees. Severance expense during 2024 was primarily due to the departure of our former CEO, representing approximately $1.2 million in recorded severance expense.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Expenses from Abandoned Financing Transaction: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04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60" w:type="dxa"/>
            <w:vAlign w:val="bottom"/>
          </w:tcPr>
          <w:p>
            <w:pPr>
              <w:spacing w:after="0"/>
              <w:rPr>
                <w:sz w:val="15"/>
                <w:szCs w:val="15"/>
                <w:color w:val="auto"/>
              </w:rPr>
            </w:pPr>
          </w:p>
        </w:tc>
        <w:tc>
          <w:tcPr>
            <w:tcW w:w="800" w:type="dxa"/>
            <w:vAlign w:val="bottom"/>
            <w:gridSpan w:val="2"/>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42"/>
        </w:trPr>
        <w:tc>
          <w:tcPr>
            <w:tcW w:w="4160" w:type="dxa"/>
            <w:vAlign w:val="bottom"/>
          </w:tcPr>
          <w:p>
            <w:pPr>
              <w:spacing w:after="0"/>
              <w:rPr>
                <w:sz w:val="12"/>
                <w:szCs w:val="12"/>
                <w:color w:val="auto"/>
              </w:rPr>
            </w:pPr>
          </w:p>
        </w:tc>
        <w:tc>
          <w:tcPr>
            <w:tcW w:w="1980" w:type="dxa"/>
            <w:vAlign w:val="bottom"/>
            <w:gridSpan w:val="2"/>
          </w:tcPr>
          <w:p>
            <w:pPr>
              <w:ind w:left="17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260" w:type="dxa"/>
            <w:vAlign w:val="bottom"/>
            <w:gridSpan w:val="2"/>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w w:val="99"/>
              </w:rPr>
              <w:t>$ Change</w:t>
            </w:r>
          </w:p>
        </w:tc>
        <w:tc>
          <w:tcPr>
            <w:tcW w:w="98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r>
      <w:tr>
        <w:trPr>
          <w:trHeight w:val="209"/>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from abandoned financing transaction</w:t>
            </w:r>
          </w:p>
        </w:tc>
        <w:tc>
          <w:tcPr>
            <w:tcW w:w="17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w:t>
            </w: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Percent of total revenue</w:t>
            </w:r>
          </w:p>
        </w:tc>
        <w:tc>
          <w:tcPr>
            <w:tcW w:w="1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846"/>
        </w:trPr>
        <w:tc>
          <w:tcPr>
            <w:tcW w:w="4160" w:type="dxa"/>
            <w:vAlign w:val="bottom"/>
          </w:tcPr>
          <w:p>
            <w:pPr>
              <w:spacing w:after="0"/>
              <w:rPr>
                <w:sz w:val="24"/>
                <w:szCs w:val="24"/>
                <w:color w:val="auto"/>
              </w:rPr>
            </w:pPr>
          </w:p>
        </w:tc>
        <w:tc>
          <w:tcPr>
            <w:tcW w:w="178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547"/>
        </w:trPr>
        <w:tc>
          <w:tcPr>
            <w:tcW w:w="4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Expenses related to our abandoned financing transaction were $0.7 million during 2025, primarily attributable to our decision to terminate and refund the previously announced convertible preferred equity offering under Regulation A. There was no such expense during 2024.</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6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 Change</w:t>
            </w:r>
          </w:p>
        </w:tc>
        <w:tc>
          <w:tcPr>
            <w:tcW w:w="1000" w:type="dxa"/>
            <w:vAlign w:val="bottom"/>
            <w:gridSpan w:val="3"/>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1020" w:type="dxa"/>
            <w:vAlign w:val="bottom"/>
            <w:gridSpan w:val="3"/>
          </w:tcPr>
          <w:p>
            <w:pPr>
              <w:ind w:left="7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2"/>
                <w:szCs w:val="12"/>
                <w:color w:val="auto"/>
              </w:rPr>
            </w:pPr>
          </w:p>
        </w:tc>
        <w:tc>
          <w:tcPr>
            <w:tcW w:w="400" w:type="dxa"/>
            <w:vAlign w:val="bottom"/>
            <w:gridSpan w:val="2"/>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gridSpan w:val="4"/>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8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257</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166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retirement of property and equipment</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short-term debt</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fees from accounts receivable factoring agreements</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0"/>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422</w:t>
            </w:r>
          </w:p>
        </w:tc>
        <w:tc>
          <w:tcPr>
            <w:tcW w:w="20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gridSpan w:val="2"/>
          </w:tcPr>
          <w:p>
            <w:pPr>
              <w:spacing w:after="0"/>
              <w:rPr>
                <w:sz w:val="18"/>
                <w:szCs w:val="18"/>
                <w:color w:val="auto"/>
              </w:rPr>
            </w:pP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3,417 %</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Other income resulting from the change in fair value of the warrant liability was approximately $0.3 million in both 2024 and 2025. The changes for both periods were due to a lower market value of our common stock. As of December 31, 2025, the 2023 Warrants were fully exercised, eliminating the related warrant liability.</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Net interest income for 2025 was $0.2 million and $0 for 2024. During 2025, we earned $0.5 million in interest from our money market account, partially offset by $0.3 million in interest expense related to a short-term loan, originated in 2024 and paid off in 2025. During 2024, we earned $0.2 million in interest from our money market account, offset by $0.2 million in interest expense from a short-term loan.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Loss on extinguishment of short-term debt was $0.2 million during 2024. We did not incur such cost during 2025.</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Net Loss. </w:t>
      </w:r>
      <w:r>
        <w:rPr>
          <w:rFonts w:ascii="Times New Roman" w:cs="Times New Roman" w:eastAsia="Times New Roman" w:hAnsi="Times New Roman"/>
          <w:sz w:val="18"/>
          <w:szCs w:val="18"/>
          <w:color w:val="auto"/>
        </w:rPr>
        <w:t>As a result of the factors described above, the net loss for 2025 was $9.6 million, compared to $18.4 million for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Offering Program</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June 21, 2024, we entered into the At the Market Offering Agreement with H.C. Wainwright &amp; Co., LLC (“Wainwright”), as sales agent, pursuant to which we could issue and sell of up to $3.45 million in shares of our common stock (as amended to date, the “ATM Program”). During the year ended December 31, 2024, we sold 228,392 shares of our common stock under the ATM Program for net proceeds of approximately $3.2 million (net of commissions and other related offering expenses of approximately $0.3 million).</w:t>
      </w:r>
    </w:p>
    <w:p>
      <w:pPr>
        <w:spacing w:after="0" w:line="180"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Among other adjustments since June 2024, we filed a prospectus supplement on February 13, 2025, providing for the issuance and sale of up to an additional $80.0 million of shares of common stock under the ATM Program. The maximum capacity under this prospectus supplement was subsequently reduced to $70.0 million on September 10, 2025. During the three months ended December 31, 2025, we sold 25,093 shares of our common stock under the ATM Program for net proceeds of approximately $0.1 million. During the year ended December 31, 2025, we sold 555,155 shares of common stock pursuant to the February 2025 prospectus supplement, resulting in net proceeds of approximately $5.0 million (net of commissions and other related offering expenses of approximately $0.4 million). In total, during the year ended December 31, 2025, we sold an aggregate of 1,107,968 shares of common stock under all prospectus supplements to the ATM Program for net proceeds of approximately $18.4 million (net of commissions and other related offering expenses of approximately $1.2 million). As of December 31, 2025, approximately $64.6 million in shares of common stock remained available for issuance under the ATM Program, subject to availability of authorized shares.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Offering</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On September 10, 2025, we entered into a securities purchase agreement with an institutional investor (the “Investor”), providing for the issuance and sale, in a registered direct offering (the “2025 Offering”), of (i) 120,000 shares of our common stock, (ii) pre-funded warrants to purchase up to 465,347 shares of common stock (the “2025 Pre-Funded Warrants”), and (iii) warrants to purchase up to an aggregate of 585,347 shares of common stock (the “2025 Warrants”). Each share of common stock and 2025 Pre-Funded Warrant was offered and sold together with an accompanying 2025 Warrant at a combined price of $7.92 per share of common stock or 2025 Pre-Funded Warrant and accompanying 2025 Warrant, as applicable. Each 2025 Pre-Funded Warrant and 2025 Warrant is exercisable at any time on or after the date of issuance to purchase one share of common stock at a price of either $0.00001 per share, in the case of the 2025 Pre-Funded Warrants, or $7.79 per share, in the case of the 2025 Warrants. The 2025 Pre-Funded Warrants expire when they are exercised in full and the 2025 Warrants expire five years from the date of issuance.</w:t>
      </w:r>
    </w:p>
    <w:p>
      <w:pPr>
        <w:spacing w:after="0" w:line="188"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2025 Offering closed on September 11, 2025. We received net proceeds of approximately $4.0 million from the 2025 Offering, after deducting placement agent fees and estimated offering expenses.</w:t>
      </w:r>
    </w:p>
    <w:p>
      <w:pPr>
        <w:spacing w:after="0" w:line="16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Additionally, pursuant to the Engagement Letter, dated as of July 9, 2024, as amended on December 20, 2024 and August 20, 2025 (the “Original Engagement Letter”), between the Company and Wainwright, and the Engagement Letter Joinder Agreement, dated as of September 10, 2025 (the “Joinder Agreement” and, together with the Original Engagement Letter, the “Engagement Letter”), by and among Energous, Wainwright and Rodman &amp; Renshaw LLC (“Rodman &amp; Renshaw” and, together with Wainwright, the “Placement Agents”), Energous, in connection with the closing of the 2025 Offering, agreed to issue to the Placement Agents or their respective designees warrants (the “Registered Direct Offering Placement Agent Warrants”) to purchase up to an aggregate of 40,974 shares of common stock. The Registered Direct Offering Placement Agent Warrants have substantially the same terms as the 2025 Warrants, except the Registered Direct Offering Placement Agent Warrants are exercisable at any time on or after the date of issuance to purchase one share of common stock at a price of $9.90 per share and the Registered Direct Offering Placement Agent Warrants expire on September 10, 2030.</w:t>
      </w:r>
    </w:p>
    <w:p>
      <w:pPr>
        <w:spacing w:after="0" w:line="194"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On September 10, 2025, in connection with the 2025 Offering, we entered into a letter agreement (the “Letter Agreement”) with the Investor for the immediate exercise of certain of our 2023 Warrants and 2024 Warrants to purchase an aggregate of 47,764 shares of common stock and having exercise prices of $6.7595 and $55.20 per share, respectively (the “Concurrent Warrant Exercise Transaction”). The 2023 Warrants were exercised at the exercise price of $6.8845 and the 2024 Warrants were exercised at a reduced exercise price of $7.92 per share for aggregate gross proceeds to the Company of approximately $364,000.</w:t>
      </w:r>
    </w:p>
    <w:p>
      <w:pPr>
        <w:spacing w:after="0" w:line="183"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As consideration for the exercise of the 2023 Warrants and 2024 Warrants for cash, we issued new unregistered warrants (the “New Warrants”) to purchase up to an aggregate of 47,764 shares of common stock at an exercise price of $7.79 per share (the “New Warrant Shares”). The New Warrants are exercisable immediately upon issuance and will expire five years following the initial issuance date. Except as described herein, the New Warrants are substantially similar to the 2023 Warrants and 2024 Warrants. The closing of the Concurrent Warrant Exercise Transaction occurred on September 11, 2025.</w:t>
      </w:r>
    </w:p>
    <w:p>
      <w:pPr>
        <w:spacing w:after="0" w:line="183"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Also pursuant to the Engagement Letter, Energous, in connection with the closing of the Concurrent Warrant Exercise Transaction, agreed to issue to the Placement Agents or their respective designees warrants (the “Concurrent Warrant Exercise Transaction Placement Agent Warrants”) to purchase up to an aggregate of 3,343 shares of Common Stock. The Concurrent Warrant Exercise Transaction Placement Agent Warrants have substantially the same terms as the New Warrants, except the Concurrent Warrant Exercise Transaction Placement Agent Warrants are immediately exercisable to purchase one share of common stock at a price of $9.90 per share and the Concurrent Warrant Exercise Transaction Placement Agent Warrants expire on September 10, 2030.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Agile Subordinated Loan Agreement</w:t>
      </w:r>
    </w:p>
    <w:p>
      <w:pPr>
        <w:spacing w:after="0" w:line="2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Effective October 1, 2024, we entered into a subordinated business loan agreement (the “Original Loan Agreement”) with Agile Capital Funding, LLC and Agile Lending, LLC (collectively, the “Lender”), which provided for an initial term loan of $525,000, with the ability to receive additional term loans of up to $1.6 million, subject to certain conditions (such loans, the “Original Term Loan”).</w:t>
      </w:r>
    </w:p>
    <w:p>
      <w:pPr>
        <w:spacing w:after="0" w:line="1"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Principal and interest on the Original Term Loan in the aggregate amount of $756,000 was to be repaid in weekly payments of $27,000 commencing on October 14, 2024 and fully repaid on or before the maturity date of April 21, 2025.</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Effective November 5, 2024, we entered into an amended subordinated business loan agreement with the Lender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Loan Agreement”) to refinance the Original Term Loan. The Amended Loan Agreement provided for a new term loan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$997,000, with the ability to receive additional term loans of up to $1.6 million, subject to certain conditions (such new loans, the “New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Loan”). Principal and interest on the New Term Loan in the aggregate amount of $1,415,740 was repaid in weekly payments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$39,000 and was fully repaid before the maturity date of July 17, 2025 on July 7, 2025. The proceeds of the New 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Loan were used to repay in full the Original Term Loan, which had a settlement value of $648,000 on November 5, 2024. The New Term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was expressly subordinated to our obligations on certain senior indebtedness of the Company as provided in the Amended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On July 7, 2025, we repaid all outstanding amounts owed to the lender under the Amended Loan Agreement. As a result, the Company has no remaining obligations under the Amended Loan Agreement, and no amounts were outstanding as of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During 2025 and 2024, we recorded revenue of $5.6 million and $0.8 million, respectively. We incurred a net loss of $9.6 million and $18.4 million for 2025 and 2024, respectively. Net cash used in operating activities was $12.4 million and $17.6 million for 2025 and 2024, respectively. As of December 31, 2025, we had cash on hand of $10.4 million. We are currently meeting our liquidity requirements through the collection of accounts receivable and net proceeds of securities offerings through the at-the-market ATM Program. As of March 23, 2026, cash on hand was $39.4 million.</w:t>
      </w:r>
    </w:p>
    <w:p>
      <w:pPr>
        <w:spacing w:after="0" w:line="183"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Based on current operating levels and continuation of cost reduction efforts implemented during 2025, we believe we have sufficient cash on hand to fund the next 12 months of operations.</w:t>
      </w:r>
    </w:p>
    <w:p>
      <w:pPr>
        <w:spacing w:after="0" w:line="162"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As we gain traction in the market with our new technology and continue to invest capital in transitioning and scaling the business from research and development of new technologies to commercial production, there can be no assurance that our available resources and revenue generated from our business operations will be sufficient to sustain our operations.</w:t>
      </w:r>
    </w:p>
    <w:p>
      <w:pPr>
        <w:spacing w:after="0" w:line="17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Accordingly, we expect to pursue additional financing, which could include offerings of equity or debt securities, bank financing, commercial agreements with customers or strategic partners, and other alternatives, depending upon market conditions. There is no assurance that such financing will be available on terms that we would find acceptable, or at all. If we are unsuccessful in implementing this plan, we will be required to make further cost and expense reductions or modifications to our on-going and strategic plans.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8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Operating Activities - </w:t>
      </w:r>
      <w:r>
        <w:rPr>
          <w:rFonts w:ascii="Times New Roman" w:cs="Times New Roman" w:eastAsia="Times New Roman" w:hAnsi="Times New Roman"/>
          <w:sz w:val="18"/>
          <w:szCs w:val="18"/>
          <w:color w:val="auto"/>
        </w:rPr>
        <w:t>During 2025, cash flows used in operating activities were $12.4 million, consisting of a net loss of $9.6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less adjustments to reconcile net loss to net cash used in operating activities aggregating $0.2 million (principally stock-based compensation of $0.3 million and depreciation and amortization expense of $0.1 million, partially offset by change in fair value of warrant liability of $0.3 million), a $2.9 million increase in accounts receivable, a $1.0 million increase in inventory, a $0.9 million decrease in accounts payable and a $0.5 million increase in operating lease liabilities, partially offset by a $1.0 million increase in accrued liabilities, a $0.7 million decrease in prepaid expenses and other current assets, net of other assets, and a $0.6 million increase in operating lease right-of-use assets.</w:t>
      </w:r>
    </w:p>
    <w:p>
      <w:pPr>
        <w:spacing w:after="0" w:line="18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During 2024, cash flows used in operating activities were $17.6 million, consisting of a net loss of $18.4 million, less adjustments to reconcile net loss to net cash used in operating activities aggregating $1.1 million (principally stock-based compensation of $0.8 million, depreciation and amortization expense of $0.2 million, loss on extinguishment of short-term debt of $0.2 million, issuance of common stock to consultant of $0.1 million and accrued interest of $0.1 million, partially offset by change in fair value of warrant liability of $0.3 million), a $0.5 million decrease in operating lease liabilities, a $0.2 million decrease in accrued expenses, a $0.1 million decrease in accrued severance expense and a $0.1 million increase in inventory, partially offset by $0.7 million decrease in operating lease right-of-use assets.</w:t>
      </w:r>
    </w:p>
    <w:p>
      <w:pPr>
        <w:spacing w:after="0" w:line="187" w:lineRule="exact"/>
        <w:rPr>
          <w:sz w:val="20"/>
          <w:szCs w:val="20"/>
          <w:color w:val="auto"/>
        </w:rPr>
      </w:pPr>
    </w:p>
    <w:p>
      <w:pPr>
        <w:ind w:right="3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Investing Activities - </w:t>
      </w:r>
      <w:r>
        <w:rPr>
          <w:rFonts w:ascii="Times New Roman" w:cs="Times New Roman" w:eastAsia="Times New Roman" w:hAnsi="Times New Roman"/>
          <w:sz w:val="18"/>
          <w:szCs w:val="18"/>
          <w:color w:val="auto"/>
        </w:rPr>
        <w:t>During both 2025 and 2024, cash flows used in investing activities were $0.1 million. The cash used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and 2024 was for the purchases of testing hardware and computer equipment.</w:t>
      </w:r>
    </w:p>
    <w:p>
      <w:pPr>
        <w:sectPr>
          <w:pgSz w:w="11900" w:h="16838" w:orient="portrait"/>
          <w:cols w:equalWidth="0" w:num="1">
            <w:col w:w="9900"/>
          </w:cols>
          <w:pgMar w:left="980" w:top="513" w:right="1019" w:bottom="1440" w:gutter="0" w:footer="0" w:header="0"/>
        </w:sect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Financing Activities - </w:t>
      </w:r>
      <w:r>
        <w:rPr>
          <w:rFonts w:ascii="Times New Roman" w:cs="Times New Roman" w:eastAsia="Times New Roman" w:hAnsi="Times New Roman"/>
          <w:sz w:val="18"/>
          <w:szCs w:val="18"/>
          <w:color w:val="auto"/>
        </w:rPr>
        <w:t>During 2025, cash flows provided by financing activities were $21.6 million, which primarily consisted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$18.4 million in net proceeds from the sale of shares of our common stock under the ATM Program, $4.0 million in net proceeds from the sale of stock and warrants and $0.4 million in proceeds from warrant exercises, partially offset by $0.9 million in repayments of a short-term loan and $0.3 million in repayments of financed insurance. During 2024, cash flows provided by financing activities were $5.1 million, which primarily consisted of $3.2 million in net proceeds from the sale of shares of our common stock under the ATM Program, $1.8 million in net proceeds from a registered direct offering that included the sale of common stock, pre-funded warrants and warrants and net borrowings of $0.8 million from a short-term loan, partially offset by $0.3 million in repayments of financed insurance and $0.3 million in repayments of a short-term loan.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firstLine="648"/>
        <w:spacing w:after="0" w:line="289" w:lineRule="auto"/>
        <w:rPr>
          <w:sz w:val="20"/>
          <w:szCs w:val="20"/>
          <w:color w:val="auto"/>
        </w:rPr>
      </w:pPr>
      <w:r>
        <w:rPr>
          <w:rFonts w:ascii="Times New Roman" w:cs="Times New Roman" w:eastAsia="Times New Roman" w:hAnsi="Times New Roman"/>
          <w:sz w:val="17"/>
          <w:szCs w:val="17"/>
          <w:color w:val="auto"/>
        </w:rPr>
        <w:t>In the ordinary course of business, we may be exposed to certain market risks, such as interest rates. However, after an assessment of these risks to our operations, we do not believe that the primary market risk exposures (within the meaning of Regulation S-K Item 305) will have any material adverse impact on our financial position, results of operations or cash flows for the next fiscal year.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Energous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INDEX TO FINANCIAL STATEMENTS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600" w:type="dxa"/>
            <w:vAlign w:val="bottom"/>
            <w:gridSpan w:val="2"/>
          </w:tcPr>
          <w:p>
            <w:pPr>
              <w:ind w:left="140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Page(s)</w:t>
            </w:r>
          </w:p>
        </w:tc>
      </w:tr>
      <w:tr>
        <w:trPr>
          <w:trHeight w:val="169"/>
        </w:trPr>
        <w:tc>
          <w:tcPr>
            <w:tcW w:w="9100" w:type="dxa"/>
            <w:vAlign w:val="bottom"/>
            <w:gridSpan w:val="7"/>
          </w:tcPr>
          <w:p>
            <w:pPr>
              <w:spacing w:after="0" w:line="169"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Number 207)</w:t>
            </w: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41</w:t>
            </w:r>
          </w:p>
        </w:tc>
      </w:tr>
      <w:tr>
        <w:trPr>
          <w:trHeight w:val="196"/>
        </w:trPr>
        <w:tc>
          <w:tcPr>
            <w:tcW w:w="422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Balance Sheets as of December 31, 2025 and 2024</w:t>
            </w:r>
          </w:p>
        </w:tc>
        <w:tc>
          <w:tcPr>
            <w:tcW w:w="4980" w:type="dxa"/>
            <w:vAlign w:val="bottom"/>
            <w:gridSpan w:val="5"/>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20"/>
        </w:trPr>
        <w:tc>
          <w:tcPr>
            <w:tcW w:w="21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54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Statements of Operations for the years ended December 31, 2025 and 2024</w:t>
            </w:r>
          </w:p>
        </w:tc>
        <w:tc>
          <w:tcPr>
            <w:tcW w:w="3780" w:type="dxa"/>
            <w:vAlign w:val="bottom"/>
            <w:gridSpan w:val="4"/>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196"/>
        </w:trPr>
        <w:tc>
          <w:tcPr>
            <w:tcW w:w="76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Statement of Changes in Stockholders’ Equity/(Deficit) for the years ended December 31, 2025 and 2024</w:t>
            </w:r>
          </w:p>
        </w:tc>
        <w:tc>
          <w:tcPr>
            <w:tcW w:w="1600" w:type="dxa"/>
            <w:vAlign w:val="bottom"/>
            <w:gridSpan w:val="2"/>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196"/>
        </w:trPr>
        <w:tc>
          <w:tcPr>
            <w:tcW w:w="54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Statements of Cash Flows for the years ended December 31, 2025 and 2024</w:t>
            </w:r>
          </w:p>
        </w:tc>
        <w:tc>
          <w:tcPr>
            <w:tcW w:w="3720" w:type="dxa"/>
            <w:vAlign w:val="bottom"/>
            <w:gridSpan w:val="3"/>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196"/>
        </w:trPr>
        <w:tc>
          <w:tcPr>
            <w:tcW w:w="92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20"/>
        </w:trPr>
        <w:tc>
          <w:tcPr>
            <w:tcW w:w="216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Energous Corporation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balance sheets of Energous Corporation (a Delaware corporation) as of December 31, 2025 and 2024, and the related statements of operations, stockholders’ equity (deficit), and cash flows for each of the two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BPM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2026</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Energous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0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320" w:type="dxa"/>
            <w:vAlign w:val="bottom"/>
            <w:vMerge w:val="restart"/>
          </w:tcPr>
          <w:p>
            <w:pPr>
              <w:ind w:left="7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0" w:type="dxa"/>
            <w:vAlign w:val="bottom"/>
          </w:tcPr>
          <w:p>
            <w:pPr>
              <w:jc w:val="right"/>
              <w:ind w:right="52"/>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60" w:type="dxa"/>
            <w:vAlign w:val="bottom"/>
          </w:tcPr>
          <w:p>
            <w:pPr>
              <w:spacing w:after="0"/>
              <w:rPr>
                <w:sz w:val="10"/>
                <w:szCs w:val="10"/>
                <w:color w:val="auto"/>
              </w:rPr>
            </w:pPr>
          </w:p>
        </w:tc>
        <w:tc>
          <w:tcPr>
            <w:tcW w:w="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right"/>
              <w:ind w:right="112"/>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10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top w:val="single" w:sz="8" w:color="CCEEFF"/>
            </w:tcBorders>
            <w:shd w:val="clear" w:color="auto" w:fill="CCEEFF"/>
          </w:tcPr>
          <w:p>
            <w:pPr>
              <w:ind w:left="32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10,401</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16,742</w:t>
            </w:r>
          </w:p>
        </w:tc>
        <w:tc>
          <w:tcPr>
            <w:tcW w:w="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vMerge w:val="restart"/>
          </w:tcPr>
          <w:p>
            <w:pPr>
              <w:ind w:left="11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3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severance expense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Warrant liability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Short-term loan payable, net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long-term portion</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6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4,244</w:t>
            </w: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2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Preferred Stock, $0.00001 par value, 10,000,000 shares authorized as of December 31, 2025 and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2024; no shares issued or outstanding as of December 31, 2025 and 2024.</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2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Common Stock, $0.00001 par value, 200,000,000 shares authorized as of December 31, 2025</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and 2024; 2,200,240 and 452,533 shares issued and outstanding as of December 31, 2025 and</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2024, respectively.</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422,530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(410,033)</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(400,440)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12,498</w:t>
            </w:r>
          </w:p>
        </w:tc>
        <w:tc>
          <w:tcPr>
            <w:tcW w:w="60" w:type="dxa"/>
            <w:vAlign w:val="bottom"/>
            <w:tcBorders>
              <w:top w:val="single" w:sz="8" w:color="auto"/>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16,742</w:t>
            </w:r>
          </w:p>
        </w:tc>
        <w:tc>
          <w:tcPr>
            <w:tcW w:w="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Note: Share and per share amounts have been retroactively adjusted to reflect the impact of a 1-for-30 reverse stock split effected in August 2025, as discussed in Note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Energous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8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2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Severance expense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Expenses from abandoned financing transaction</w:t>
            </w:r>
          </w:p>
        </w:tc>
        <w:tc>
          <w:tcPr>
            <w:tcW w:w="1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12,044</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 net</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retirement of property and equipment</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extinguishment of short-term debt</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Discount fees from accounts receivable factoring agreements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6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(9,593)</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and diluted loss per common share</w:t>
            </w:r>
          </w:p>
        </w:tc>
        <w:tc>
          <w:tcPr>
            <w:tcW w:w="16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980" w:type="dxa"/>
            <w:vAlign w:val="bottom"/>
            <w:tcBorders>
              <w:bottom w:val="single" w:sz="8" w:color="CCEEFF"/>
            </w:tcBorders>
            <w:vMerge w:val="continue"/>
          </w:tcPr>
          <w:p>
            <w:pPr>
              <w:spacing w:after="0"/>
              <w:rPr>
                <w:sz w:val="20"/>
                <w:szCs w:val="20"/>
                <w:color w:val="auto"/>
              </w:rPr>
            </w:pPr>
          </w:p>
        </w:tc>
        <w:tc>
          <w:tcPr>
            <w:tcW w:w="160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(6.46)</w:t>
            </w:r>
          </w:p>
        </w:tc>
        <w:tc>
          <w:tcPr>
            <w:tcW w:w="6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(77.16)</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9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basic and diluted</w:t>
            </w:r>
          </w:p>
        </w:tc>
        <w:tc>
          <w:tcPr>
            <w:tcW w:w="1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1,485,101</w:t>
            </w: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238,453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Note: Share and per share amounts have been retroactively adjusted to reflect the impact of a 1-for-30 reverse stock split effected in August 2025, as discussed in Note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Energous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CHANGES IN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55"/>
        </w:trPr>
        <w:tc>
          <w:tcPr>
            <w:tcW w:w="58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4"/>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13"/>
                <w:szCs w:val="13"/>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Stockholders’</w:t>
            </w:r>
          </w:p>
        </w:tc>
      </w:tr>
      <w:tr>
        <w:trPr>
          <w:trHeight w:val="129"/>
        </w:trPr>
        <w:tc>
          <w:tcPr>
            <w:tcW w:w="5880" w:type="dxa"/>
            <w:vAlign w:val="bottom"/>
            <w:gridSpan w:val="2"/>
          </w:tcPr>
          <w:p>
            <w:pPr>
              <w:ind w:left="57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gridSpan w:val="2"/>
          </w:tcPr>
          <w:p>
            <w:pPr>
              <w:jc w:val="right"/>
              <w:ind w:right="28"/>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26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tcPr>
          <w:p>
            <w:pPr>
              <w:jc w:val="right"/>
              <w:ind w:right="220"/>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940" w:type="dxa"/>
            <w:vAlign w:val="bottom"/>
            <w:gridSpan w:val="4"/>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​​​Equity (Deficit)</w:t>
            </w:r>
          </w:p>
        </w:tc>
      </w:tr>
      <w:tr>
        <w:trPr>
          <w:trHeight w:val="128"/>
        </w:trPr>
        <w:tc>
          <w:tcPr>
            <w:tcW w:w="580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Balance, January 1, 2024</w:t>
            </w: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182,380</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393,539</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(382,042)</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gridSpan w:val="2"/>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11,498</w:t>
            </w:r>
          </w:p>
        </w:tc>
      </w:tr>
      <w:tr>
        <w:trPr>
          <w:trHeight w:val="135"/>
        </w:trPr>
        <w:tc>
          <w:tcPr>
            <w:tcW w:w="5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 - stock options</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72</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72</w:t>
            </w:r>
          </w:p>
        </w:tc>
      </w:tr>
      <w:tr>
        <w:trPr>
          <w:trHeight w:val="135"/>
        </w:trPr>
        <w:tc>
          <w:tcPr>
            <w:tcW w:w="5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 - restricted stock units (“RSUs”)</w:t>
            </w: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722</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722</w:t>
            </w:r>
          </w:p>
        </w:tc>
      </w:tr>
      <w:tr>
        <w:trPr>
          <w:trHeight w:val="135"/>
        </w:trPr>
        <w:tc>
          <w:tcPr>
            <w:tcW w:w="5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 - employee stock purchase plan (“ESPP”)</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r>
      <w:tr>
        <w:trPr>
          <w:trHeight w:val="135"/>
        </w:trPr>
        <w:tc>
          <w:tcPr>
            <w:tcW w:w="5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Issuance of shares for RSUs</w:t>
            </w: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1,146</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5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Shares purchased from contributions to the ESPP</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r>
      <w:tr>
        <w:trPr>
          <w:trHeight w:val="135"/>
        </w:trPr>
        <w:tc>
          <w:tcPr>
            <w:tcW w:w="5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Shares issued to consultants for services</w:t>
            </w: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5,433</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95</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95</w:t>
            </w:r>
          </w:p>
        </w:tc>
      </w:tr>
      <w:tr>
        <w:trPr>
          <w:trHeight w:val="135"/>
        </w:trPr>
        <w:tc>
          <w:tcPr>
            <w:tcW w:w="5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Pre-funded warrants exercised</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15,014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5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Issuance of shares in a sale of common stock, pre-funded warrants and warrants, net of $230 in issuance costs</w:t>
            </w: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19,000</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1,770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1,770</w:t>
            </w:r>
          </w:p>
        </w:tc>
      </w:tr>
      <w:tr>
        <w:trPr>
          <w:trHeight w:val="135"/>
        </w:trPr>
        <w:tc>
          <w:tcPr>
            <w:tcW w:w="5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Issuance of shares in an at-the-market (“ATM”) placement, net of $346 in issuance costs</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229,322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3,153</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3,153</w:t>
            </w:r>
          </w:p>
        </w:tc>
      </w:tr>
      <w:tr>
        <w:trPr>
          <w:trHeight w:val="135"/>
        </w:trPr>
        <w:tc>
          <w:tcPr>
            <w:tcW w:w="5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(18,398)</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(18,398)</w:t>
            </w:r>
          </w:p>
        </w:tc>
      </w:tr>
      <w:tr>
        <w:trPr>
          <w:trHeight w:val="128"/>
        </w:trPr>
        <w:tc>
          <w:tcPr>
            <w:tcW w:w="580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Balance, December 31, 2024</w:t>
            </w: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452,533</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399,362</w:t>
            </w: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(400,440)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(1,077)</w:t>
            </w:r>
          </w:p>
        </w:tc>
      </w:tr>
      <w:tr>
        <w:trPr>
          <w:trHeight w:val="135"/>
        </w:trPr>
        <w:tc>
          <w:tcPr>
            <w:tcW w:w="5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 - RSUs</w:t>
            </w: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281</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281</w:t>
            </w:r>
          </w:p>
        </w:tc>
      </w:tr>
      <w:tr>
        <w:trPr>
          <w:trHeight w:val="135"/>
        </w:trPr>
        <w:tc>
          <w:tcPr>
            <w:tcW w:w="5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Issuance of shares for RSUs</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4,128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5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Shares issued to consultants for services</w:t>
            </w: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2,500</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w:t>
            </w:r>
          </w:p>
        </w:tc>
      </w:tr>
      <w:tr>
        <w:trPr>
          <w:trHeight w:val="135"/>
        </w:trPr>
        <w:tc>
          <w:tcPr>
            <w:tcW w:w="5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Warrants exercised</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47,764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364</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364</w:t>
            </w:r>
          </w:p>
        </w:tc>
      </w:tr>
      <w:tr>
        <w:trPr>
          <w:trHeight w:val="135"/>
        </w:trPr>
        <w:tc>
          <w:tcPr>
            <w:tcW w:w="5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Reclassification of a warrant liability upon warrant exercise</w:t>
            </w: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101</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101</w:t>
            </w:r>
          </w:p>
        </w:tc>
      </w:tr>
      <w:tr>
        <w:trPr>
          <w:trHeight w:val="135"/>
        </w:trPr>
        <w:tc>
          <w:tcPr>
            <w:tcW w:w="5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Pre-funded warrants exercised</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465,347</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5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Issuance of shares in a sale of common stock, pre-funded warrants and warrants, net of $592 in issuance costs</w:t>
            </w: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120,000</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4,044</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4,044</w:t>
            </w:r>
          </w:p>
        </w:tc>
      </w:tr>
      <w:tr>
        <w:trPr>
          <w:trHeight w:val="135"/>
        </w:trPr>
        <w:tc>
          <w:tcPr>
            <w:tcW w:w="58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Issuance of shares in an ATM placement, net of $1,155 in issuance costs</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1,107,968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18,353</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18,353</w:t>
            </w:r>
          </w:p>
        </w:tc>
      </w:tr>
      <w:tr>
        <w:trPr>
          <w:trHeight w:val="135"/>
        </w:trPr>
        <w:tc>
          <w:tcPr>
            <w:tcW w:w="5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(9,593)</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(9,593)</w:t>
            </w:r>
          </w:p>
        </w:tc>
      </w:tr>
      <w:tr>
        <w:trPr>
          <w:trHeight w:val="128"/>
        </w:trPr>
        <w:tc>
          <w:tcPr>
            <w:tcW w:w="580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Balance, December 31, 2025</w:t>
            </w: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2,200,240</w:t>
            </w:r>
          </w:p>
        </w:tc>
        <w:tc>
          <w:tcPr>
            <w:tcW w:w="14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422,530</w:t>
            </w: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(410,033)</w:t>
            </w:r>
          </w:p>
        </w:tc>
        <w:tc>
          <w:tcPr>
            <w:tcW w:w="4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160" w:type="dxa"/>
            <w:vAlign w:val="bottom"/>
            <w:tcBorders>
              <w:top w:val="single" w:sz="8" w:color="auto"/>
            </w:tcBorders>
          </w:tcPr>
          <w:p>
            <w:pPr>
              <w:jc w:val="right"/>
              <w:ind w:right="82"/>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12,498</w:t>
            </w:r>
          </w:p>
        </w:tc>
      </w:tr>
      <w:tr>
        <w:trPr>
          <w:trHeight w:val="20"/>
        </w:trPr>
        <w:tc>
          <w:tcPr>
            <w:tcW w:w="5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Note: Share and per share amounts have been retroactively adjusted to reflect the impact of a 1-for-30 reverse stock split effected in August 2025, as discussed in Note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Energous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0" w:type="dxa"/>
            <w:vAlign w:val="bottom"/>
          </w:tcPr>
          <w:p>
            <w:pPr>
              <w:spacing w:after="0"/>
              <w:rPr>
                <w:sz w:val="1"/>
                <w:szCs w:val="1"/>
                <w:color w:val="auto"/>
              </w:rPr>
            </w:pPr>
          </w:p>
        </w:tc>
      </w:tr>
      <w:tr>
        <w:trPr>
          <w:trHeight w:val="202"/>
        </w:trPr>
        <w:tc>
          <w:tcPr>
            <w:tcW w:w="6300" w:type="dxa"/>
            <w:vAlign w:val="bottom"/>
          </w:tcPr>
          <w:p>
            <w:pPr>
              <w:spacing w:after="0"/>
              <w:rPr>
                <w:sz w:val="17"/>
                <w:szCs w:val="17"/>
                <w:color w:val="auto"/>
              </w:rPr>
            </w:pPr>
          </w:p>
        </w:tc>
        <w:tc>
          <w:tcPr>
            <w:tcW w:w="1260" w:type="dxa"/>
            <w:vAlign w:val="bottom"/>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top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500" w:type="dxa"/>
            <w:vAlign w:val="bottom"/>
            <w:gridSpan w:val="2"/>
          </w:tcPr>
          <w:p>
            <w:pPr>
              <w:ind w:left="12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(9,593)</w:t>
            </w:r>
          </w:p>
        </w:tc>
        <w:tc>
          <w:tcPr>
            <w:tcW w:w="4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(18,398)</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Loss on retirement of property and equipment</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Common stock issued to consultants for services</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Loss on extinguishment of short-term debt</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Accrued interest</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Amortization of short-term loan fees</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Accounts receivable, net</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(2,910)</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Inventory</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Other assets</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Operating lease right-of-use (“ROU”) assets</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Accounts payable</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Accrued expenses</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Accrued severance expense</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Deferred revenue</w:t>
            </w:r>
          </w:p>
        </w:tc>
        <w:tc>
          <w:tcPr>
            <w:tcW w:w="12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2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(12,420)</w:t>
            </w:r>
          </w:p>
        </w:tc>
        <w:tc>
          <w:tcPr>
            <w:tcW w:w="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(17,573)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3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2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borrowings from short-term loan</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Repayments of short-term loan</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proceeds from exercise of warrant liability</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Repayments of financed insurance</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proceeds from an ATM offering</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18,353</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proceeds from a sale of common stock and warrant issuance</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4,044</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Proceeds from contributions to the ESPP</w:t>
            </w:r>
          </w:p>
        </w:tc>
        <w:tc>
          <w:tcPr>
            <w:tcW w:w="12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2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21,550</w:t>
            </w:r>
          </w:p>
        </w:tc>
        <w:tc>
          <w:tcPr>
            <w:tcW w:w="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cash equivalents and restricted cash - beginning</w:t>
            </w:r>
          </w:p>
        </w:tc>
        <w:tc>
          <w:tcPr>
            <w:tcW w:w="12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1,353</w:t>
            </w:r>
          </w:p>
        </w:tc>
        <w:tc>
          <w:tcPr>
            <w:tcW w:w="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3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Cash, cash equivalents and restricted cash - ending</w:t>
            </w:r>
          </w:p>
        </w:tc>
        <w:tc>
          <w:tcPr>
            <w:tcW w:w="12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10,401</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3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1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6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paid</w:t>
            </w:r>
          </w:p>
        </w:tc>
        <w:tc>
          <w:tcPr>
            <w:tcW w:w="1500" w:type="dxa"/>
            <w:vAlign w:val="bottom"/>
            <w:gridSpan w:val="2"/>
          </w:tcPr>
          <w:p>
            <w:pPr>
              <w:ind w:left="12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4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63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Supplemental disclosure of non-cash investing and financing activities:</w:t>
            </w:r>
          </w:p>
        </w:tc>
        <w:tc>
          <w:tcPr>
            <w:tcW w:w="12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Decrease in ROU assets and operating lease liabilities from lease amendment</w:t>
            </w:r>
          </w:p>
        </w:tc>
        <w:tc>
          <w:tcPr>
            <w:tcW w:w="1500" w:type="dxa"/>
            <w:vAlign w:val="bottom"/>
            <w:gridSpan w:val="2"/>
          </w:tcPr>
          <w:p>
            <w:pPr>
              <w:ind w:left="12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63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Increase in ROU assets and operating lease liabilities from lease modification</w:t>
            </w:r>
          </w:p>
        </w:tc>
        <w:tc>
          <w:tcPr>
            <w:tcW w:w="126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Decrease in ROU assets from shares issued to landlord</w:t>
            </w:r>
          </w:p>
        </w:tc>
        <w:tc>
          <w:tcPr>
            <w:tcW w:w="126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00" w:type="dxa"/>
            <w:vAlign w:val="bottom"/>
            <w:tcBorders>
              <w:bottom w:val="single" w:sz="8" w:color="CCEEFF"/>
            </w:tcBorders>
            <w:vMerge w:val="continue"/>
          </w:tcPr>
          <w:p>
            <w:pPr>
              <w:spacing w:after="0"/>
              <w:rPr>
                <w:sz w:val="19"/>
                <w:szCs w:val="19"/>
                <w:color w:val="auto"/>
              </w:rPr>
            </w:pPr>
          </w:p>
        </w:tc>
        <w:tc>
          <w:tcPr>
            <w:tcW w:w="1260" w:type="dxa"/>
            <w:vAlign w:val="bottom"/>
            <w:tcBorders>
              <w:bottom w:val="single" w:sz="8" w:color="CCEEFF"/>
            </w:tcBorders>
            <w:vMerge w:val="continue"/>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20" w:type="dxa"/>
            <w:vAlign w:val="bottom"/>
            <w:tcBorders>
              <w:bottom w:val="single" w:sz="8" w:color="CCEEFF"/>
            </w:tcBorders>
            <w:vMerge w:val="continue"/>
          </w:tcPr>
          <w:p>
            <w:pPr>
              <w:spacing w:after="0"/>
              <w:rPr>
                <w:sz w:val="19"/>
                <w:szCs w:val="19"/>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3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Accrued interest in short-term loan payable</w:t>
            </w:r>
          </w:p>
        </w:tc>
        <w:tc>
          <w:tcPr>
            <w:tcW w:w="12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2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Reclassification of warrant liability to equity upon warrant exercise</w:t>
            </w:r>
          </w:p>
        </w:tc>
        <w:tc>
          <w:tcPr>
            <w:tcW w:w="126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00" w:type="dxa"/>
            <w:vAlign w:val="bottom"/>
            <w:tcBorders>
              <w:bottom w:val="single" w:sz="8" w:color="CCEEFF"/>
            </w:tcBorders>
            <w:vMerge w:val="continue"/>
          </w:tcPr>
          <w:p>
            <w:pPr>
              <w:spacing w:after="0"/>
              <w:rPr>
                <w:sz w:val="19"/>
                <w:szCs w:val="19"/>
                <w:color w:val="auto"/>
              </w:rPr>
            </w:pPr>
          </w:p>
        </w:tc>
        <w:tc>
          <w:tcPr>
            <w:tcW w:w="1260" w:type="dxa"/>
            <w:vAlign w:val="bottom"/>
            <w:tcBorders>
              <w:bottom w:val="single" w:sz="8" w:color="CCEEFF"/>
            </w:tcBorders>
            <w:vMerge w:val="continue"/>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220" w:type="dxa"/>
            <w:vAlign w:val="bottom"/>
            <w:tcBorders>
              <w:bottom w:val="single" w:sz="8" w:color="CCEEFF"/>
            </w:tcBorders>
            <w:vMerge w:val="continue"/>
          </w:tcPr>
          <w:p>
            <w:pPr>
              <w:spacing w:after="0"/>
              <w:rPr>
                <w:sz w:val="19"/>
                <w:szCs w:val="19"/>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3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Financing of insurance premiums</w:t>
            </w:r>
          </w:p>
        </w:tc>
        <w:tc>
          <w:tcPr>
            <w:tcW w:w="12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2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60"/>
          </w:cols>
          <w:pgMar w:left="980" w:top="513" w:right="9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ENERGOUS CORPORATION</w:t>
      </w:r>
    </w:p>
    <w:p>
      <w:pPr>
        <w:spacing w:after="0" w:line="3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Organization, Nature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Energous Corporation d/b/a Energous Wireless Power Solutions (the “Company”) has developed scalable, over-the-air Wireless Power Network (“WPN”) technology that integrates advanced semiconductor chipsets, software controls, hardware designs, and antenna systems to enable radio frequency (“RF”)-based charging for ambient Internet of Things (“IoT”) devices, transforming supply chain capabilities from limited tracking to overall business intelligence. The Company’s WPN technology consists of transmitter systems, receiver integrated circuits, and supporting software designed to deliver power and data to battery-free IoT devices across a range of operating distances and power levels. These capabilities support applications that require continuous operation without wired power connections or periodic battery replacement.</w:t>
      </w:r>
    </w:p>
    <w:p>
      <w:pPr>
        <w:spacing w:after="0" w:line="18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With a patent portfolio exceeding 300 patents, the Company’s solutions support both near-field and at-a-distance wireless power transmission and include advanced receiver technology designed for use across multiple device categories. Applications include retail sensors, electronic shelf labels (“ESLs”), asset trackers, air quality monitors, motion detectors, and other monitoring solutions.</w:t>
      </w:r>
    </w:p>
    <w:p>
      <w:pPr>
        <w:spacing w:after="0" w:line="176"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To date, the Company has developed and released multiple transmitter and battery-free receiver products. The Company’s transmitters vary in form factors, power specifications, and operating frequencies, and our receivers are designed to support a range of wireless power-enabled device applications, including:</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4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Device Type</w:t>
            </w:r>
          </w:p>
        </w:tc>
        <w:tc>
          <w:tcPr>
            <w:tcW w:w="552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Application</w:t>
            </w:r>
          </w:p>
        </w:tc>
      </w:tr>
      <w:tr>
        <w:trPr>
          <w:trHeight w:val="21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RF Tags</w:t>
            </w:r>
          </w:p>
        </w:tc>
        <w:tc>
          <w:tcPr>
            <w:tcW w:w="5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Cold Chain, Asset Tracking, Medical IoT</w:t>
            </w:r>
          </w:p>
        </w:tc>
      </w:tr>
      <w:tr>
        <w:trPr>
          <w:trHeight w:val="21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Ambient IoT Sensors</w:t>
            </w:r>
          </w:p>
        </w:tc>
        <w:tc>
          <w:tcPr>
            <w:tcW w:w="5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Cold Chain, Logistics, Asset Tracking</w:t>
            </w:r>
          </w:p>
        </w:tc>
      </w:tr>
      <w:tr>
        <w:trPr>
          <w:trHeight w:val="21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Electronic Shelf Labels</w:t>
            </w:r>
          </w:p>
        </w:tc>
        <w:tc>
          <w:tcPr>
            <w:tcW w:w="5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Retail and Industrial IoT</w:t>
            </w:r>
          </w:p>
        </w:tc>
      </w:tr>
    </w:tbl>
    <w:p>
      <w:pPr>
        <w:spacing w:after="0" w:line="198"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The first WPN-enabled product featuring the Company’s technology entered the market in 2019. In the fourth quarter of 2021, the Company commenced shipments of at-a-distance PowerBridge transmitter systems for commercial IoT applications and proof-of-concept deployments. In the second quarter of 2025, the Company introduced the battery-free e-Sense tag and the e-Compass cloud-based software platform, which together supported the first end-to-end wireless power-enabled IoT device monitoring and management solution. As the Company continues to innovate its technology applications, the Company anticipates the release of additional wireless power-enabled products.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229"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At the Company’s 2025 annual meeting of stockholders held on June 11, 2025, the Company’s stockholders approved a proposal to effect a reverse stock split of the Company’s common stock by a ratio not to exceed 1-for-50.</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On August 7, 2025, the Company announced that its Board of Directors (“the Board”) had determined to set the reverse stock split ratio at 1-for-30 and that the Company’s common stock would begin trading at the split-adjusted price beginning August 11, 2025. Upon effectiveness of the reverse stock split, every thirty shares of issued and outstanding common stock held were combined into one share of common stock. No fractional shares were distributed as a result of the reverse stock split and stockholders were entitled to a cash payment in lieu of fractional shares. Additionally, the par value of the Company’s common stock did not change.</w:t>
      </w:r>
    </w:p>
    <w:p>
      <w:pPr>
        <w:spacing w:after="0" w:line="183"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All information presented herein, unless otherwise indicated herein, reflects the 1-for-30 reverse stock split of the Company’s outstanding shares of common stock, and unless otherwise indicated, all such amounts and corresponding conversion price or exercise price data set forth herein have been adjusted to give effect to such reverse stock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40"/>
          </w:cols>
          <w:pgMar w:left="980" w:top="513" w:right="9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Liquidity and Management Plans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2025 and 2024, the Company recorded revenue of $5.6 million and $0.8 million, respectively. The Company incurred a net loss of $9.6 million and $18.4 million for the years ended December 31, 2025 and 2024, respectively. Net cash used in operating activities was $12.4 million and $17.6 million for the years ended December 31, 2025 and 2024, respectively.</w:t>
      </w:r>
    </w:p>
    <w:p>
      <w:pPr>
        <w:spacing w:after="0" w:line="18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had cash on hand of $10.4 million. The Company is currently meeting its liquidity requirements through the collection of accounts receivable and net proceeds generated from securities offerings through the Company’s ATM Program (see Note 10 – Capital Stock and Warrants and Note 17 – Subsequent Events) and selectively capital stock and warrants financings.</w:t>
      </w:r>
    </w:p>
    <w:p>
      <w:pPr>
        <w:spacing w:after="0" w:line="178"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Accounting Standards Codification (“ASC”) 205-40, </w:t>
      </w:r>
      <w:r>
        <w:rPr>
          <w:rFonts w:ascii="Times New Roman" w:cs="Times New Roman" w:eastAsia="Times New Roman" w:hAnsi="Times New Roman"/>
          <w:sz w:val="18"/>
          <w:szCs w:val="18"/>
          <w:i w:val="1"/>
          <w:iCs w:val="1"/>
          <w:color w:val="auto"/>
        </w:rPr>
        <w:t>Presentation of Financial Statements - Going Concern</w:t>
      </w:r>
      <w:r>
        <w:rPr>
          <w:rFonts w:ascii="Times New Roman" w:cs="Times New Roman" w:eastAsia="Times New Roman" w:hAnsi="Times New Roman"/>
          <w:sz w:val="18"/>
          <w:szCs w:val="18"/>
          <w:color w:val="auto"/>
        </w:rPr>
        <w:t>, requires management to assess the Company’s ability to continue as a going concern. In accordance with this guidance, the Company’s management has evaluated whether there are conditions and events, considered in the aggregate, that raise substantial doubt about the Company’s ability to continue as a going concern within one year after the date that the financial statements are issued.</w:t>
      </w:r>
    </w:p>
    <w:p>
      <w:pPr>
        <w:spacing w:after="0" w:line="18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 addition to cash on hand as of December 31, 2025, the Company raised net proceeds in the ATM Program of approximately $31.9 million between January 2 and March 23, 2026 (see Note 17 – Subsequent Events). Based on current operating levels and cost reductions implemented during 2025, the Company believes it has sufficient cash on hand and access to capital to fund operations for at least the next 12 months.</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As the Company gains traction in the market with its new technology and continues to invest capital in transitioning and scaling the business from research and development of new technologies to commercial production, there can be no assurance that its available resources and revenue generated from its business operations will be sufficient to sustain its operations, as adoption of this emerging technology by enterprise customers may take longer than expected. Accordingly, the Company may decide to pursue additional financing, which could include offerings of equity or debt securities, bank financing, commercial agreements with customers or strategic partners, and other alternatives, depending upon market conditions. There is no assurance that such financing will be available on terms that the Company would find acceptable, or at all. If the Company is unsuccessful in implementing this plan, the Company will be required to make further cost and expense reductions or modifications to its on-going operations and strategic plans.</w:t>
      </w:r>
    </w:p>
    <w:p>
      <w:pPr>
        <w:spacing w:after="0" w:line="192"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market for products using the Company’s technology is broad and evolving, so the Company’s success is dependent upon many factors, including customer acceptance of its existing products, technical feasibility of future products, regulatory approvals, the development of complementary technologies, competition and global market fluctuations.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8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accounting principles generally accepted in the United States of America (“U.S. GAAP”), and pursuant to the accounting and disclosure rules and regulations of the U.S. Securities and Exchange Commission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Certain reclassifications have been made to the fiscal year 2024 financial statements to conform to the 2025 presentation. The Company reclassified certain expenses between research and development and general and administrative expenses. The amounts were not considered material to the financial statements. The reclassifications had no impact on total assets, total liabilities, stockholders’ equity (deficit) or net loss.</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the disclosure of contingent liabilities at the date of the financial statements as well as the reported amounts of revenue and expenses during the reporting periods.</w:t>
      </w:r>
    </w:p>
    <w:p>
      <w:pPr>
        <w:spacing w:after="0" w:line="13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Company’s significant estimates and assumptions include recognition of revenue, inventory valuation, fair value of warrant liabilities, accounting for lease obligations and the valuation allowance on deferred tax assets. Some of these judgments can be subjective and complex, and, consequently, actual results may differ from these estimates. Although the Company believes that its estimates and assumptions are reasonable, they are based upon information available at the time the estimates and assumptions were made. Actual results could differ from those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ind w:right="160" w:firstLine="648"/>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primarily of cash and cash equivalents, and accounts receivable. As of December 31, 2025 and 2024, and periodically throughout the year, the Company had cash balances in various operating accounts in excess of federally insured limits. The Company maintains its cash and cash equivalents with what it considers high credit quality financial institutions.</w:t>
      </w:r>
    </w:p>
    <w:p>
      <w:pPr>
        <w:spacing w:after="0" w:line="18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One customer accounted for approximately 85% of the Company's revenue for the year ended December 31, 2025 and two customers accounted for approximately 76% of the Company's revenue for the year ended December 31, 2024. One customer accounted for approximately 99% of the Company's accounts receivable balance as of December 31, 2025. Two customers accounted for approximately 99% of the Company's accounts receivable balance as of December 31, 2024. The Company does not require collateral or other security to support accounts receivable. To reduce risk, the Company's management performs ongoing credit evaluations of its customers' financial condition. The Company maintains allowances for potential credit losses in its financial statements.</w:t>
      </w:r>
    </w:p>
    <w:p>
      <w:pPr>
        <w:spacing w:after="0" w:line="18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Substantially all of the Company's product sales were supplied by one contract manufacturer during the years ended December 31, 2025 and 2024 which exposes it to various risks.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02"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highly liquid investments with an original maturity at the date of purchase of three months or less to be cash equivalents.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Company accounts for warrants as either equity-classified or liability-classified instruments based on an assessment of the warrant’s specific terms and applicable authoritative guidance in Financial Accounting Standards Board (“FASB”)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65"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as a liability at their initial fair value on the date of issuance, and each balance sheet date thereafter. Changes in the estimated fair value of the warrants are recognized as a non-cash gain or loss on the statements of operations. The fair value of the warrants is estimated using an appropriate valuation model. Such warrant classification is also subject to re-evaluation at each reporting period.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Summary of Significant Accounting Policies, continued</w:t>
      </w:r>
    </w:p>
    <w:p>
      <w:pPr>
        <w:spacing w:after="0" w:line="229" w:lineRule="exact"/>
        <w:rPr>
          <w:sz w:val="20"/>
          <w:szCs w:val="20"/>
          <w:color w:val="auto"/>
        </w:rPr>
      </w:pPr>
    </w:p>
    <w:p>
      <w:pPr>
        <w:jc w:val="both"/>
        <w:ind w:right="460" w:firstLine="648"/>
        <w:spacing w:after="0" w:line="266" w:lineRule="auto"/>
        <w:rPr>
          <w:sz w:val="20"/>
          <w:szCs w:val="20"/>
          <w:color w:val="auto"/>
        </w:rPr>
      </w:pPr>
      <w:r>
        <w:rPr>
          <w:rFonts w:ascii="Times New Roman" w:cs="Times New Roman" w:eastAsia="Times New Roman" w:hAnsi="Times New Roman"/>
          <w:sz w:val="18"/>
          <w:szCs w:val="18"/>
          <w:color w:val="auto"/>
        </w:rPr>
        <w:t>Offering costs associated with warrants classified as liabilities are expensed as incurred and are presented as offering costs related to warrant liability in the statement of operations. Offering costs associated with the sale of warrants classified as equity are charged against proceeds received.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Company follows ASC 820, “Fair Value Measurements” (“ASC 820”), which establishes a common definition of fair value to be applied when U.S. GAAP requires the use of fair value, establishes a framework for measuring fair value, and requires certain disclosure about such fair value measurements.</w:t>
      </w:r>
    </w:p>
    <w:p>
      <w:pPr>
        <w:spacing w:after="0" w:line="162"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ASC 820 establishes a hierarchy for inputs used in measuring fair value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what market participants would use in pricing the asset or liability based on the best information available in the circumstances. The hierarchy is broken down into three levels based on the reliability of inputs as follows:</w:t>
      </w:r>
    </w:p>
    <w:p>
      <w:pPr>
        <w:spacing w:after="0" w:line="160" w:lineRule="exact"/>
        <w:rPr>
          <w:sz w:val="20"/>
          <w:szCs w:val="20"/>
          <w:color w:val="auto"/>
        </w:rPr>
      </w:pPr>
    </w:p>
    <w:p>
      <w:pPr>
        <w:ind w:left="1000" w:right="140" w:hanging="317"/>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Observable inputs such as quoted prices in active markets for identical assets or liabilities to which the Company has access at a measurement date.</w:t>
      </w:r>
    </w:p>
    <w:p>
      <w:pPr>
        <w:spacing w:after="0" w:line="148" w:lineRule="exact"/>
        <w:rPr>
          <w:rFonts w:ascii="Times New Roman" w:cs="Times New Roman" w:eastAsia="Times New Roman" w:hAnsi="Times New Roman"/>
          <w:sz w:val="18"/>
          <w:szCs w:val="18"/>
          <w:color w:val="auto"/>
        </w:rPr>
      </w:pPr>
    </w:p>
    <w:p>
      <w:pPr>
        <w:ind w:left="1000" w:hanging="317"/>
        <w:spacing w:after="0" w:line="261"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Observable inputs other than Level 1 quoted prices that are observable for the asset or liability, either directly or indirectly; these include quoted prices for similar assets or liabilities in an active market, quoted prices for identical assets and liabilities in markets that are not active, or other inputs that are observable or can be corroborated by observable market data for substantially the full term of the assets or liabilities.</w:t>
      </w:r>
    </w:p>
    <w:p>
      <w:pPr>
        <w:spacing w:after="0" w:line="166" w:lineRule="exact"/>
        <w:rPr>
          <w:rFonts w:ascii="Times New Roman" w:cs="Times New Roman" w:eastAsia="Times New Roman" w:hAnsi="Times New Roman"/>
          <w:sz w:val="18"/>
          <w:szCs w:val="18"/>
          <w:color w:val="auto"/>
        </w:rPr>
      </w:pPr>
    </w:p>
    <w:p>
      <w:pPr>
        <w:ind w:left="1000" w:right="280" w:hanging="317"/>
        <w:spacing w:after="0" w:line="266"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for which little or no market data exists and for which the Company must develop its own assumptions regarding the assumptions that market participants would use in pricing the asset or liability, including assumptions regarding risk.</w:t>
      </w:r>
    </w:p>
    <w:p>
      <w:pPr>
        <w:spacing w:after="0" w:line="149"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Because of the uncertainties inherent in the valuation of assets or liabilities for which there are no observable inputs, those estimated fair values may differ significantly from the values that may have been used had a ready market for the assets or liabilities existed.</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carrying amounts of the Company’s financial assets and liabilities, such as cash, cash equivalents, prepaid expenses and other current assets, accounts payable and accrued expenses, are an approximate of their fair values because of the short maturity of these instruments. The carrying amounts of the Company’s short-term debt and lease liabilities approximate fair value due to the market interest rates that these obligations bear and interest rates currently available to the Company. The Company’s derivative liabilities recognized at fair value on a recurring basis are a level 3 measurement (see Note 15 – Fair Value Measurement).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follows ASC 606, “Revenue from Contracts with Customers” (“Topic 606”). In accordance with Topic 606,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recognizes revenue using the following five-step approach:</w:t>
      </w:r>
    </w:p>
    <w:p>
      <w:pPr>
        <w:spacing w:after="0" w:line="193" w:lineRule="exact"/>
        <w:rPr>
          <w:sz w:val="20"/>
          <w:szCs w:val="20"/>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the customer.</w:t>
      </w:r>
    </w:p>
    <w:p>
      <w:pPr>
        <w:spacing w:after="0" w:line="21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 of the contract.</w:t>
      </w:r>
    </w:p>
    <w:p>
      <w:pPr>
        <w:spacing w:after="0" w:line="21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of the contract.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performance obligations are satisfied.</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Summary of Significant Accounting Policies, continued</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Company’s revenue consists of its single segment of wireless charging system solutions. The wireless charging system revenue consists of revenue from product development projects and production-level systems. During the years ended December 31, 2025 and 2024, the Company recognized $5.6 million and $0.8 million in revenue, respectively (see Note 12 – Revenue Recognition for additional information on revenue disaggregation).</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records a majority of its revenue based on the shipment of products that it sells. Generally, there is a five-day return policy on the Company’s shipment of products. Additionally, the Company records revenue associated with product development projects that it enters into with certain customers. In general, these product development projects are complex, and the Company does not have certainty about its ability to achieve the project milestones. The achievement of a milestone is dependent on the Company’s performance obligation and requires acceptance by the customer. The Company recognizes this revenue at the point in time at which the performance obligation is met. The payment associated with achieving the performance obligation is generally commensurate with the Company’s effort or the value of the deliverable and is nonrefundable. Any deferred revenue is recognized upon achievement of the performance obligation or expiration of a support agreement. Payment terms for most customer invoices are a minimum of net 30 days. Product sales are usually subject to a warranty of a minimum of one year.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w:t>
      </w:r>
    </w:p>
    <w:p>
      <w:pPr>
        <w:spacing w:after="0" w:line="229"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The Company reflects the cost of shipping its products to customers as a cost of revenue. Reimbursements received from customers for freight costs are recognized as product revenue.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reviews its receivables for collectibility based on historical loss patterns, aging of the receivables, and assessments of specific identifiable client accounts considered at risk or uncollectible and provides allowances for potential credit losses, as needed. The Company also considers any changes to the financial condition of its clients and any other external market factors that could impact the collectibility of the receivables in the determination of the allowance for credit losses. Based on these assessments, the Company recorded $0 for credit losses on its accounts receivable as of both December 31, 2025 and 2024.</w:t>
      </w:r>
    </w:p>
    <w:p>
      <w:pPr>
        <w:spacing w:after="0" w:line="18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Company follows ASC Topic 310, </w:t>
      </w:r>
      <w:r>
        <w:rPr>
          <w:rFonts w:ascii="Times New Roman" w:cs="Times New Roman" w:eastAsia="Times New Roman" w:hAnsi="Times New Roman"/>
          <w:sz w:val="18"/>
          <w:szCs w:val="18"/>
          <w:i w:val="1"/>
          <w:iCs w:val="1"/>
          <w:color w:val="auto"/>
        </w:rPr>
        <w:t>Receivables</w:t>
      </w:r>
      <w:r>
        <w:rPr>
          <w:rFonts w:ascii="Times New Roman" w:cs="Times New Roman" w:eastAsia="Times New Roman" w:hAnsi="Times New Roman"/>
          <w:sz w:val="18"/>
          <w:szCs w:val="18"/>
          <w:color w:val="auto"/>
        </w:rPr>
        <w:t xml:space="preserve"> (“Topic 310”) to account for transactions related to factoring accounts receivable. The Company has entered into an agreement to sell certain accounts receivable to a third-party financial institution under which the Company receives the proceeds of customer invoices from the third-party financial institution, less a discount fee. The third-party financial institution is responsible for subsequent collection of the amount due from the customer without recourse. Proceeds from the factoring agreements are reflected as a reduction of accounts receivable on the Company’s balance sheets and included in the cash flows operating activities in the statements of cash flows. The Company received proceeds under its accounts receivable factoring agreement of approximately $0 and $0.3 million during the years ended December 31, 2025 and 2024, respectively. There were no outstanding receivables due under the accounts receivable factoring agreement as of December 31, 2025 and 2024. Discount fees from factoring accounts receivable were approximately $0 and $31,000 for the years ended December 31, 2025 and 2024, respectively, and are included in other income (expense), net on the statement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color w:val="auto"/>
        </w:rPr>
        <w:t>Inventory is stated at the lower of cost, determined on a weighted average cost method, or net realizable value. Net realizable value is calculated at the end of each reporting period and adjustment, if needed, is made. At the point of loss recognition, a new lower cost basis for that inventory is established and subsequent changes in facts and circumstances do not result in the restoration or increase in the new cost basis.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are charged to operations as incurred. The Company incurred research and development costs of $4.1 million and $7.7 million for the years ended December 31, 2025 and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Company accounts for equity instruments issued to employees, board members and contractors in accordance with accounting guidance that requires awards to be recorded at their fair value on the date of grant and amortized over the vesting period of the award. The Company amortizes compensation costs on a straight-line basis over the requisite service period of the award, which is typically the vesting term of the equity instrument issued. Forfeitures are recorded as they occur.</w:t>
      </w:r>
    </w:p>
    <w:p>
      <w:pPr>
        <w:spacing w:after="0" w:line="18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Under the ESPP, employees purchased a limited number of shares of the Company’s common stock at a 15% discount from the lower of the closing market prices measured on the first and last days of each half-year period. The Company recognized stock-based compensation expense for the fair value of the purchase options, as measured on the grant date. The Company discontinued the ESPP as of January 21,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 follows the asset and liability method of accounting for income taxes under ASC 740, Income Taxes (“ASC 740”). Deferred tax assets and liabilities are recognized for the expected future tax consequences of temporary differences between consolidated financial statement carrying amounts and the tax basis of existing assets and liabilities and net operating loss and tax credit carryforwards. Deferred tax assets and liabilities are measured using the enacted tax rates expected to apply in the years in which those tax assets and liabilities are expected to be realized. The effect on deferred tax assets and liabilities of a change in tax rates is recognized in the period that includes the enactment date. A valuation allowances is established if it is more likely than not that all or a portion of the deferred tax asset will not be realized.</w:t>
      </w:r>
    </w:p>
    <w:p>
      <w:pPr>
        <w:spacing w:after="0" w:line="18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become deductible. The Company continues to assess the need for a valuation allowance on the deferred tax assets by evaluating both positive and negative evidence that may exist. Any adjustment to the valuation allowance on deferred tax assets would be recorded in the statements of operations for the period that the adjustment is determined to be required.</w:t>
      </w:r>
    </w:p>
    <w:p>
      <w:pPr>
        <w:spacing w:after="0" w:line="18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 accounts for uncertain tax position in accordance with ASC 740. Tax benefits are recognized only for tax positions that are more likely than not to be sustained upon examination by tax authorities. The amount recognized is measured as the largest amount of benefit that is greater than 50 percent likely to be realized upon settlement. A liability for “unrecognized tax benefits” is recorded for any tax benefits claimed in the Company’s tax returns that do not meet these recognition and measurement standards. The guidance from ASC 740 also discusses the classification of related interest and penalties on income taxes. The Company’s policy is to record interest and penalties on uncertain tax positions as a component of income tax expense.</w:t>
      </w:r>
    </w:p>
    <w:p>
      <w:pPr>
        <w:spacing w:after="0" w:line="18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Among other provisions, this act includes permanently extending and modifying certain expiring provisions of the 2017 Tax Cuts and Jobs Act and immediate expensing of domestic research and development expenses. The Company does not believe the impact of these provisions and the OBBBA to have a material impact on its financial statements.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Common Share</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loss by the weighted average number of shares of common stock outstanding during the period. Diluted net loss per common share is computed using the weighted average number of common shares and, if dilutive, potential common shares outstanding during the period. Potential common shares consist of the incremental common shares issuable upon the exercise of warrants (using the treasury stock method) and the vesting of RSUs. The computation of diluted net loss per common share excludes potentially dilutive securities of 688,419 and 65,710 for the years ended December 31, 2025 and 2024, respectively, because their inclusion would be antidilutive.</w:t>
      </w:r>
    </w:p>
    <w:p>
      <w:pPr>
        <w:spacing w:after="0" w:line="187"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Potentially dilutive securities outlined in the table below have been excluded from the computation of diluted net loss per share because the effect of their inclusion would have been anti-dilutive.</w:t>
      </w:r>
    </w:p>
    <w:p>
      <w:pPr>
        <w:spacing w:after="0" w:line="15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For the year ended</w:t>
            </w: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173"/>
        </w:trPr>
        <w:tc>
          <w:tcPr>
            <w:tcW w:w="3980" w:type="dxa"/>
            <w:vAlign w:val="bottom"/>
          </w:tcPr>
          <w:p>
            <w:pPr>
              <w:spacing w:after="0"/>
              <w:rPr>
                <w:sz w:val="15"/>
                <w:szCs w:val="15"/>
                <w:color w:val="auto"/>
              </w:rPr>
            </w:pP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December 31, 2025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December 31, 2024</w:t>
            </w:r>
          </w:p>
        </w:tc>
      </w:tr>
      <w:tr>
        <w:trPr>
          <w:trHeight w:val="209"/>
        </w:trPr>
        <w:tc>
          <w:tcPr>
            <w:tcW w:w="3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issued to investors</w:t>
            </w:r>
          </w:p>
        </w:tc>
        <w:tc>
          <w:tcPr>
            <w:tcW w:w="14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677,428</w:t>
            </w:r>
          </w:p>
        </w:tc>
        <w:tc>
          <w:tcPr>
            <w:tcW w:w="1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47,764</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RSUs</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10,991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17,946</w:t>
            </w:r>
          </w:p>
        </w:tc>
      </w:tr>
      <w:tr>
        <w:trPr>
          <w:trHeight w:val="210"/>
        </w:trPr>
        <w:tc>
          <w:tcPr>
            <w:tcW w:w="39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potentially dilutive securities</w:t>
            </w:r>
          </w:p>
        </w:tc>
        <w:tc>
          <w:tcPr>
            <w:tcW w:w="144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688,419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65,710</w:t>
            </w:r>
          </w:p>
        </w:tc>
      </w:tr>
      <w:tr>
        <w:trPr>
          <w:trHeight w:val="20"/>
        </w:trPr>
        <w:tc>
          <w:tcPr>
            <w:tcW w:w="3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2025, the table above includes 633,111 warrants expiring on September 10, 2030, which have an exercise price of $7.79 per share, and 44,317 warrants expiring on September 10, 2030, which have an exercise price of $9.90 per share. For the year ended December 31, 2024, the table above includes 34,014 warrants expiring on February 20, 2029, which have an exercise price of $55.20 per share and 13,750 warrants expiring on March 28, 2029, which, as of December 31, 2024 had an exercise price of $9.00 per share.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and are depreciated using the straight-line method over the useful lives (in years) of the related asset. The Company currently uses the following expected life terms for depreciating property and equipment: computer software – 1-2 years, computer hardware – 3 years, furniture and fixtures – 7 years, leasehold improvements – shorter of estimated life or remaining life of the lease.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Company determines if an arrangement is a lease at the inception of the arrangement. The Company applies the short-term lease recognition exemption and recognizes lease payments in profit or loss at lease commencement for facility or equipment leases that have a lease term of 12 months or less and do not include a purchase option whose exercise is reasonably certain. Operating leases are included in operating lease right-of-use (“ROU”) assets and operating lease liabilities.</w:t>
      </w:r>
    </w:p>
    <w:p>
      <w:pPr>
        <w:spacing w:after="0" w:line="18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ROU assets represent the right to use an underlying asset for the lease term, and lease liabilities represent the obligation to make lease payments arising from the lease. Operating lease ROU assets and liabilities are measured and recorded at the service commencement date based on the present value of lease payments over the lease term. The Company uses the implicit interest rate when readily determinable; however, most leases do not establish an implicit rate, so the Company uses an estimate of the incremental borrowing rate based on the information available at the time of measurement. Lease expense for lease payments is recognized on a straight-line basis over the lease term. See Note 8 – Commitments and Contingencies, </w:t>
      </w:r>
      <w:r>
        <w:rPr>
          <w:rFonts w:ascii="Times New Roman" w:cs="Times New Roman" w:eastAsia="Times New Roman" w:hAnsi="Times New Roman"/>
          <w:sz w:val="18"/>
          <w:szCs w:val="18"/>
          <w:i w:val="1"/>
          <w:iCs w:val="1"/>
          <w:color w:val="auto"/>
        </w:rPr>
        <w:t>Operating Leases</w:t>
      </w:r>
      <w:r>
        <w:rPr>
          <w:rFonts w:ascii="Times New Roman" w:cs="Times New Roman" w:eastAsia="Times New Roman" w:hAnsi="Times New Roman"/>
          <w:sz w:val="18"/>
          <w:szCs w:val="18"/>
          <w:color w:val="auto"/>
        </w:rPr>
        <w:t xml:space="preserve"> for further discussion of the Company’s operating leases.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Company has one operating segment and one reportable segment as its chief operating decision maker (“CODM”), who is its Chief Executive Officer and Chief Financial Officer, reviews financial information on a regular basis for purposes of allocating resources and evaluating financial performance. The CODM also reviews and utilizes functional expenses, such as cost of revenue, research and development, sales and marketing and general and administrative, to manage the Company’s operations. All long-lived assets are located in the United States and substantially all revenue is attributed to customers based in the United States.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Standard</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(“ASU”) No. 2023-09, “Income Taxes (Topic 740), Improvements to Income Tax Disclosures” (“ASU 2023-09”). This standard is intended to enhance the transparency and usefulness of income tax disclosures to better assess how an entity’s operations and related tax risks and tax planning and operational opportunities affect its tax rate and prospects for future cash flows. The Company adopted this standard during the year ended December 31, 2025. The adoption of this standard did not have a material impact on the Company’s financial statements and related disclosures.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(Subtopic 220-40): Disaggregation of Income Statement Expenses.” This ASU requires the disaggregation of certain expenses in the notes to the financial statements, to provide enhanced transparency into the expense captions presented on the face of the income statement. This ASU is effective on a prospective basis for fiscal years beginning after December 15, 2026 and for interim periods beginning after December 15, 2027, with early adoption permitted. This ASU may be applied either prospectively or retrospectively. The Company is currently evaluating the impact of the new standard on the Company’s financial statements and related disclosures.</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July 2025, the FASB issued ASU 2025-05, “Measurement of Credit Losses for Accounts Receivable and Contract Assets”, which provides a practical expedient to measure credit losses on accounts receivable and contract assets. The ASU is effective for annual periods beginning after December 15, 2025, and interim periods within those annual reporting periods. Early adoption is permitted. The Company is currently evaluating the timing of the adoption and the impact of the new standard on the financial statements and related disclosures.</w:t>
      </w:r>
    </w:p>
    <w:p>
      <w:pPr>
        <w:spacing w:after="0" w:line="181"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(Topic 270): Narrow-Scope Improvements”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which intends to improve the navigability of the guidance in ASC 270, “Interim Reporting” (“ASC 270”) and clarify when it applies. The amendments also provide additional guidance on what disclosures should be provided in interim reporting periods. The guidance is effective for fiscal years beginning after December 15, 2027, including interim periods within those fiscal years, and permits prospective or full retrospective adoption. Early adoption is permitted. The Company is evaluating the impact of this guidance on its financial statements and related disclosures.</w:t>
      </w:r>
    </w:p>
    <w:p>
      <w:pPr>
        <w:spacing w:after="0" w:line="184"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December 2025, the FASB issued ASU 2025-12, “Codification Improvements”, which addresses suggestions received from stakeholders regarding the Accounting Standards Codification and makes other incremental improvements to U.S. GAAP. The update represents changes to the Codification that clarify, correct errors in or make other improvements to a variety of topics that are intended to make it easier to understand and apply. ASU 2025-12 is effective for fiscal years beginning after December 15, 2026 and interim periods within those fiscal years. Entities are required to apply the amendments to ASC 260, “Earnings Per Share” (“ASC 260”), retrospectively. All other amendments may be applied prospectively or retrospectively. Early adoption is permitted. The Company is evaluating the impact of this guidance on its financial statements and related disclosures.</w:t>
      </w:r>
    </w:p>
    <w:p>
      <w:pPr>
        <w:spacing w:after="0" w:line="18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Management has reviewed other recently issued accounting pronouncements issued or proposed by the FASB and does not believe any of these accounting pronouncements have or will have a material impact on the financial statements.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Prepaid Expenses and Other Current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1720" w:type="dxa"/>
            <w:vAlign w:val="bottom"/>
            <w:gridSpan w:val="3"/>
          </w:tcPr>
          <w:p>
            <w:pPr>
              <w:ind w:left="1180"/>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gridSpan w:val="4"/>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600" w:type="dxa"/>
            <w:vAlign w:val="bottom"/>
          </w:tcPr>
          <w:p>
            <w:pPr>
              <w:spacing w:after="0"/>
              <w:rPr>
                <w:sz w:val="15"/>
                <w:szCs w:val="15"/>
                <w:color w:val="auto"/>
              </w:rPr>
            </w:pPr>
          </w:p>
        </w:tc>
      </w:tr>
      <w:tr>
        <w:trPr>
          <w:trHeight w:val="142"/>
        </w:trPr>
        <w:tc>
          <w:tcPr>
            <w:tcW w:w="4160" w:type="dxa"/>
            <w:vAlign w:val="bottom"/>
          </w:tcPr>
          <w:p>
            <w:pPr>
              <w:spacing w:after="0"/>
              <w:rPr>
                <w:sz w:val="12"/>
                <w:szCs w:val="12"/>
                <w:color w:val="auto"/>
              </w:rPr>
            </w:pPr>
          </w:p>
        </w:tc>
        <w:tc>
          <w:tcPr>
            <w:tcW w:w="1260" w:type="dxa"/>
            <w:vAlign w:val="bottom"/>
          </w:tcPr>
          <w:p>
            <w:pPr>
              <w:ind w:left="11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1340" w:type="dxa"/>
            <w:vAlign w:val="bottom"/>
            <w:tcBorders>
              <w:top w:val="single" w:sz="8" w:color="auto"/>
            </w:tcBorders>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46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Deposit for intellectual property renewals</w:t>
            </w: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cost of revenue</w:t>
            </w: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Prepaid software and support</w:t>
            </w: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 with contract manufacturer</w:t>
            </w: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Prepaid subscriptions</w:t>
            </w: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Tradeshow deposits</w:t>
            </w: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Prepaid and deferred financing costs</w:t>
            </w: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deposits</w:t>
            </w: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60" w:type="dxa"/>
            <w:vAlign w:val="bottom"/>
            <w:gridSpan w:val="2"/>
          </w:tcPr>
          <w:p>
            <w:pPr>
              <w:spacing w:after="0"/>
              <w:rPr>
                <w:sz w:val="18"/>
                <w:szCs w:val="18"/>
                <w:color w:val="auto"/>
              </w:rPr>
            </w:pPr>
          </w:p>
        </w:tc>
        <w:tc>
          <w:tcPr>
            <w:tcW w:w="580" w:type="dxa"/>
            <w:vAlign w:val="bottom"/>
          </w:tcPr>
          <w:p>
            <w:pPr>
              <w:jc w:val="right"/>
              <w:ind w:right="46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r>
      <w:tr>
        <w:trPr>
          <w:trHeight w:val="20"/>
        </w:trPr>
        <w:tc>
          <w:tcPr>
            <w:tcW w:w="4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prepaid expenses and other current assets disclosed above, the Company had $0.3 million and $0 in other assets relating to deposits for intellectual property renewals as of December 31, 2025 and 2024,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w:t>
            </w: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Inventory</w:t>
            </w:r>
          </w:p>
        </w:tc>
        <w:tc>
          <w:tcPr>
            <w:tcW w:w="2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74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Below is a summary of the Company’s inventory as of December 31, 2025 and 2024 (in thousands):</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060" w:type="dxa"/>
            <w:vAlign w:val="bottom"/>
            <w:gridSpan w:val="2"/>
          </w:tcPr>
          <w:p>
            <w:pPr>
              <w:ind w:left="2300"/>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gridSpan w:val="3"/>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440" w:type="dxa"/>
            <w:vAlign w:val="bottom"/>
          </w:tcPr>
          <w:p>
            <w:pPr>
              <w:ind w:left="23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580" w:type="dxa"/>
            <w:vAlign w:val="bottom"/>
            <w:tcBorders>
              <w:top w:val="single" w:sz="8" w:color="auto"/>
            </w:tcBorders>
            <w:gridSpan w:val="5"/>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December 31, 2025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December 31, 2024</w:t>
            </w:r>
          </w:p>
        </w:tc>
        <w:tc>
          <w:tcPr>
            <w:tcW w:w="0" w:type="dxa"/>
            <w:vAlign w:val="bottom"/>
          </w:tcPr>
          <w:p>
            <w:pPr>
              <w:spacing w:after="0"/>
              <w:rPr>
                <w:sz w:val="1"/>
                <w:szCs w:val="1"/>
                <w:color w:val="auto"/>
              </w:rPr>
            </w:pPr>
          </w:p>
        </w:tc>
      </w:tr>
      <w:tr>
        <w:trPr>
          <w:trHeight w:val="210"/>
        </w:trPr>
        <w:tc>
          <w:tcPr>
            <w:tcW w:w="49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4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2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4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2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3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200" w:type="dxa"/>
            <w:vAlign w:val="bottom"/>
          </w:tcPr>
          <w:p>
            <w:pPr>
              <w:spacing w:after="0"/>
              <w:rPr>
                <w:sz w:val="18"/>
                <w:szCs w:val="18"/>
                <w:color w:val="auto"/>
              </w:rPr>
            </w:pPr>
          </w:p>
        </w:tc>
        <w:tc>
          <w:tcPr>
            <w:tcW w:w="6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0"/>
        </w:trPr>
        <w:tc>
          <w:tcPr>
            <w:tcW w:w="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6</w:t>
            </w:r>
          </w:p>
        </w:tc>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Property and Equipment</w:t>
            </w:r>
          </w:p>
        </w:tc>
        <w:tc>
          <w:tcPr>
            <w:tcW w:w="24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0" w:type="dxa"/>
            <w:vAlign w:val="bottom"/>
            <w:vMerge w:val="continue"/>
          </w:tcPr>
          <w:p>
            <w:pPr>
              <w:spacing w:after="0"/>
              <w:rPr>
                <w:sz w:val="24"/>
                <w:szCs w:val="24"/>
                <w:color w:val="auto"/>
              </w:rPr>
            </w:pPr>
          </w:p>
        </w:tc>
        <w:tc>
          <w:tcPr>
            <w:tcW w:w="4380" w:type="dxa"/>
            <w:vAlign w:val="bottom"/>
            <w:vMerge w:val="continue"/>
          </w:tcPr>
          <w:p>
            <w:pPr>
              <w:spacing w:after="0"/>
              <w:rPr>
                <w:sz w:val="24"/>
                <w:szCs w:val="24"/>
                <w:color w:val="auto"/>
              </w:rPr>
            </w:pPr>
          </w:p>
        </w:tc>
        <w:tc>
          <w:tcPr>
            <w:tcW w:w="2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Below is a summary of the Company’s property and equipment as of December 31, 2025 and 2024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25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4820" w:type="dxa"/>
            <w:vAlign w:val="bottom"/>
          </w:tcPr>
          <w:p>
            <w:pPr>
              <w:spacing w:after="0"/>
              <w:rPr>
                <w:sz w:val="12"/>
                <w:szCs w:val="12"/>
                <w:color w:val="auto"/>
              </w:rPr>
            </w:pPr>
          </w:p>
        </w:tc>
        <w:tc>
          <w:tcPr>
            <w:tcW w:w="24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auto"/>
            </w:tcBorders>
          </w:tcPr>
          <w:p>
            <w:pPr>
              <w:spacing w:after="0"/>
              <w:rPr>
                <w:sz w:val="12"/>
                <w:szCs w:val="12"/>
                <w:color w:val="auto"/>
              </w:rPr>
            </w:pPr>
          </w:p>
        </w:tc>
        <w:tc>
          <w:tcPr>
            <w:tcW w:w="2560" w:type="dxa"/>
            <w:vAlign w:val="bottom"/>
            <w:tcBorders>
              <w:top w:val="single" w:sz="8" w:color="auto"/>
            </w:tcBorders>
            <w:gridSpan w:val="5"/>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December 31, 2025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December 31, 2024</w:t>
            </w:r>
          </w:p>
        </w:tc>
        <w:tc>
          <w:tcPr>
            <w:tcW w:w="20" w:type="dxa"/>
            <w:vAlign w:val="bottom"/>
          </w:tcPr>
          <w:p>
            <w:pPr>
              <w:spacing w:after="0"/>
              <w:rPr>
                <w:sz w:val="12"/>
                <w:szCs w:val="12"/>
                <w:color w:val="auto"/>
              </w:rPr>
            </w:pP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hardware</w:t>
            </w:r>
          </w:p>
        </w:tc>
        <w:tc>
          <w:tcPr>
            <w:tcW w:w="2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20" w:type="dxa"/>
            <w:vAlign w:val="bottom"/>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2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20" w:type="dxa"/>
            <w:vAlign w:val="bottom"/>
          </w:tcPr>
          <w:p>
            <w:pPr>
              <w:spacing w:after="0"/>
              <w:rPr>
                <w:sz w:val="18"/>
                <w:szCs w:val="18"/>
                <w:color w:val="auto"/>
              </w:rPr>
            </w:pPr>
          </w:p>
        </w:tc>
      </w:tr>
      <w:tr>
        <w:trPr>
          <w:trHeight w:val="216"/>
        </w:trPr>
        <w:tc>
          <w:tcPr>
            <w:tcW w:w="4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0" w:type="dxa"/>
            <w:vAlign w:val="bottom"/>
          </w:tcPr>
          <w:p>
            <w:pPr>
              <w:spacing w:after="0"/>
              <w:rPr>
                <w:sz w:val="18"/>
                <w:szCs w:val="18"/>
                <w:color w:val="auto"/>
              </w:rPr>
            </w:pPr>
          </w:p>
        </w:tc>
      </w:tr>
      <w:tr>
        <w:trPr>
          <w:trHeight w:val="210"/>
        </w:trPr>
        <w:tc>
          <w:tcPr>
            <w:tcW w:w="482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20" w:type="dxa"/>
            <w:vAlign w:val="bottom"/>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Less – accumulated depreciation</w:t>
            </w: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20" w:type="dxa"/>
            <w:vAlign w:val="bottom"/>
          </w:tcPr>
          <w:p>
            <w:pPr>
              <w:spacing w:after="0"/>
              <w:rPr>
                <w:sz w:val="18"/>
                <w:szCs w:val="18"/>
                <w:color w:val="auto"/>
              </w:rPr>
            </w:pPr>
          </w:p>
        </w:tc>
      </w:tr>
      <w:tr>
        <w:trPr>
          <w:trHeight w:val="210"/>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4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0" w:type="dxa"/>
            <w:vAlign w:val="bottom"/>
          </w:tcPr>
          <w:p>
            <w:pPr>
              <w:spacing w:after="0"/>
              <w:rPr>
                <w:sz w:val="18"/>
                <w:szCs w:val="18"/>
                <w:color w:val="auto"/>
              </w:rPr>
            </w:pPr>
          </w:p>
        </w:tc>
      </w:tr>
      <w:tr>
        <w:trPr>
          <w:trHeight w:val="20"/>
        </w:trPr>
        <w:tc>
          <w:tcPr>
            <w:tcW w:w="48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Company disposed of $1.4 million in fully depreciated property and equipment during the year ended December 31, 2025. There were no disposals during the year ended December 31, 2024. Total depreciation and amortization expense of the Company’s property and equipment was $0.1 million and $0.2 million for the years ended December 31, 2025 and 2024, respectively, of which, $1,000 and $4,000 were included in cost of revenue for the years ended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Accrued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1760" w:type="dxa"/>
            <w:vAlign w:val="bottom"/>
            <w:gridSpan w:val="2"/>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4"/>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660" w:type="dxa"/>
            <w:vAlign w:val="bottom"/>
          </w:tcPr>
          <w:p>
            <w:pPr>
              <w:spacing w:after="0"/>
              <w:rPr>
                <w:sz w:val="15"/>
                <w:szCs w:val="15"/>
                <w:color w:val="auto"/>
              </w:rPr>
            </w:pPr>
          </w:p>
        </w:tc>
      </w:tr>
      <w:tr>
        <w:trPr>
          <w:trHeight w:val="20"/>
        </w:trPr>
        <w:tc>
          <w:tcPr>
            <w:tcW w:w="4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1340" w:type="dxa"/>
            <w:vAlign w:val="bottom"/>
            <w:gridSpan w:val="4"/>
            <w:shd w:val="clear" w:color="auto" w:fill="000000"/>
          </w:tcPr>
          <w:p>
            <w:pPr>
              <w:spacing w:after="0" w:line="20" w:lineRule="exact"/>
              <w:rPr>
                <w:sz w:val="1"/>
                <w:szCs w:val="1"/>
                <w:color w:val="auto"/>
              </w:rPr>
            </w:pPr>
          </w:p>
        </w:tc>
      </w:tr>
      <w:tr>
        <w:trPr>
          <w:trHeight w:val="142"/>
        </w:trPr>
        <w:tc>
          <w:tcPr>
            <w:tcW w:w="4060" w:type="dxa"/>
            <w:vAlign w:val="bottom"/>
          </w:tcPr>
          <w:p>
            <w:pPr>
              <w:spacing w:after="0"/>
              <w:rPr>
                <w:sz w:val="12"/>
                <w:szCs w:val="12"/>
                <w:color w:val="auto"/>
              </w:rPr>
            </w:pPr>
          </w:p>
        </w:tc>
        <w:tc>
          <w:tcPr>
            <w:tcW w:w="2540" w:type="dxa"/>
            <w:vAlign w:val="bottom"/>
            <w:gridSpan w:val="3"/>
          </w:tcPr>
          <w:p>
            <w:pPr>
              <w:ind w:left="1280"/>
              <w:spacing w:after="0" w:line="14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December 31, 2025</w:t>
            </w:r>
          </w:p>
        </w:tc>
        <w:tc>
          <w:tcPr>
            <w:tcW w:w="134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December 31, 2024</w:t>
            </w: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3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40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Accrued purchased inventory received</w:t>
            </w: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stock registration expense</w:t>
            </w: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Customer deposits received</w:t>
            </w: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legal expenses</w:t>
            </w: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13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09"/>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Pr>
          <w:p>
            <w:pPr>
              <w:spacing w:after="0"/>
              <w:rPr>
                <w:sz w:val="18"/>
                <w:szCs w:val="18"/>
                <w:color w:val="auto"/>
              </w:rPr>
            </w:pP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160" w:type="dxa"/>
            <w:vAlign w:val="bottom"/>
            <w:gridSpan w:val="2"/>
          </w:tcPr>
          <w:p>
            <w:pPr>
              <w:spacing w:after="0"/>
              <w:rPr>
                <w:sz w:val="18"/>
                <w:szCs w:val="18"/>
                <w:color w:val="auto"/>
              </w:rPr>
            </w:pPr>
          </w:p>
        </w:tc>
        <w:tc>
          <w:tcPr>
            <w:tcW w:w="520" w:type="dxa"/>
            <w:vAlign w:val="bottom"/>
          </w:tcPr>
          <w:p>
            <w:pPr>
              <w:jc w:val="right"/>
              <w:ind w:right="40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w:t>
            </w:r>
          </w:p>
        </w:tc>
      </w:tr>
      <w:tr>
        <w:trPr>
          <w:trHeight w:val="20"/>
        </w:trPr>
        <w:tc>
          <w:tcPr>
            <w:tcW w:w="4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San Jose Lease</w:t>
      </w:r>
    </w:p>
    <w:p>
      <w:pPr>
        <w:spacing w:after="0" w:line="22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May 20, 2022, the Company signed a lease amendment to the existing lease for its office space at its corporate headquarters in San Jose, California, extending the term of the lease for an additional three years ending on September 30, 2025. Upon signing the lease amendment, the Company recorded a new ROU lease asset of $2.1 million and operating lease liability of $2.1 million, using a present value discount rate of 3.0%, which was used as an incremental borrowing rate for a hypothetical fully collateralized real estate transaction. As of January 1, 2024, the discount rate was adjusted to 8% in order to reflect a realistic incremental borrowing rate at lease commencement. The adjustment created a one-time reduction to the ROU lease asset and operating lease liability of approximately $51,000. Upon expiration of the original lease on September 30, 2022, the new monthly lease payment starting October 1, 2022 was approximately $59,000, subject to annual escalations up to a maximum monthly lease payment of approximately $62,000. On July 31, 2024, the Company signed an additional lease amendment where the monthly payments through the remainder of 2024 were reduced to approximately $37,000 and the monthly payments from January 2025 through September 2025 increased to approximately $76,000. As a result of this amendment, the Company revalued its ROU lease asset to $0.8 million and its operating lease liability to $0.8 million on July 31, 2024.</w:t>
      </w:r>
    </w:p>
    <w:p>
      <w:pPr>
        <w:spacing w:after="0" w:line="190"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On March 19, 2025, the Company signed an amendment to the existing lease for its office space at its corporate headquarters in San Jose, California, relocating to a smaller suite within the same building and extending the lease through December 31, 2027. The Company agreed to issue 2,500 shares of its common stock to the landlord upon signing the amendment as partial consideration for the amended lease and agreed to new monthly payments beginning October 2025 of approximately $37,000, escalating to approximately $46,000 during 2026 and $51,000 during 2027. As a result of the new lease amendment signed on March 19, 2025, the ROU asset and operating lease liability were both increased by approximately $0.9 million. The Company recorded lease expense of $0.5 million and $0.8 million for the years ended December 31, 2025 and 2024,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Lease Commitments</w:t>
      </w:r>
    </w:p>
    <w:p>
      <w:pPr>
        <w:spacing w:after="0" w:line="22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follows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and recognizes the required ROU assets and operating lease liabilities on its balance sheets. The Company anticipates having future total lease payments of $1.2 million through the fourth quarter of 2027. As of December 31, 2025, the Company has total operating lease right-of-use assets of $0.9 million, current operating lease liabilities of $0.5 million and long-term operating lease liabilities of $0.6 million. The weighted average remaining lease term is 2.0 years as of December 31, 2025.</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Commitments and Contingencies,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undiscounted cash flows to lease liabilities recognized as of December 31, 2025 is as follows (in thousands):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year ending December 31,</w:t>
            </w: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9"/>
        </w:trPr>
        <w:tc>
          <w:tcPr>
            <w:tcW w:w="6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r>
      <w:tr>
        <w:trPr>
          <w:trHeight w:val="216"/>
        </w:trPr>
        <w:tc>
          <w:tcPr>
            <w:tcW w:w="6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21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r>
      <w:tr>
        <w:trPr>
          <w:trHeight w:val="216"/>
        </w:trPr>
        <w:tc>
          <w:tcPr>
            <w:tcW w:w="6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Present value discount (8.0% weighted average)</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09"/>
        </w:trPr>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r>
      <w:tr>
        <w:trPr>
          <w:trHeight w:val="20"/>
        </w:trPr>
        <w:tc>
          <w:tcPr>
            <w:tcW w:w="6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Litigations, Claims, and Assessments</w:t>
      </w:r>
    </w:p>
    <w:p>
      <w:pPr>
        <w:spacing w:after="0" w:line="202"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Company is from time to time involved in various disputes, claims, liens and litigation matters arising in the normal course of business. While the outcome of these disputes, claims, liens and litigation matters cannot be predicted with certainty, after consulting with legal counsel, management does not believe that the outcome of these matters will have a material adverse effect on the Company’s combined financial position, results of operations or cash flows.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MBO Bonus Plan</w:t>
      </w:r>
    </w:p>
    <w:p>
      <w:pPr>
        <w:spacing w:after="0" w:line="20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On May 30, 2024, the Board, on the recommendation of the Compensation Committee, approved the 2024 Corporate Bonus Plan (the “2024 Bonus Plan”), whereby employees’ bonuses will be based upon achievement of performance objectives set by the Compensation Committee and paid annually. Employees must be continuously employed throughout the applicable performance period and payment date and achieve the performance objectives.</w:t>
      </w:r>
    </w:p>
    <w:p>
      <w:pPr>
        <w:spacing w:after="0" w:line="153"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Under the 2024 Bonus Plan, the Compensation Committee is responsible for selecting the amounts of potential bonuses for executive officers and vice presidents, defining the performance metrics used to determine whether any such bonuses will be paid and determining whether those performance metrics have been achieved. During the year ended December 31, 2025, the Company did not record any expense under the 2024 Bonus Plan. During the year ended December 31, 2024, the Company recorded $0.3 million expense under the 2024 Bonus Plan which was paid out during the first quarter of 2025.</w:t>
      </w:r>
    </w:p>
    <w:p>
      <w:pPr>
        <w:spacing w:after="0" w:line="1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February 21, 2025, the Board, on the recommendation of the Compensation Committee, approved the 2025 Corporate Bonus Plan (the “2025 Bonus Plan”), whereby employees’ bonuses will be based upon achievement of performance objectives set by the Compensation Committee and paid annually. Employees must be continuously employed throughout the applicable performance period and payment date and achieve the performance objectives.</w:t>
      </w:r>
    </w:p>
    <w:p>
      <w:pPr>
        <w:spacing w:after="0" w:line="15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Under the 2025 Bonus Plan, the Compensation Committee is responsible for selecting the amounts of potential bonuses for executive officers and vice presidents and defining the annual performance metrics against which the bonus compensation will be measured. The level of achievement against pre-defined performance metrics is used to determine whether any such bonuses will be paid and whether those performance metrics have been satisfactorily achieved. The Company accrued $1.1 million in bonus expense under the 2025 Bonus Plan during the year ended December 31, 2025, which the Company plans to pay during the first quarter of 2026.</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and Change in Control Agreement</w:t>
      </w:r>
    </w:p>
    <w:p>
      <w:pPr>
        <w:spacing w:after="0" w:line="20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May 30, 2024, the Compensation Committee approved a new form of Severance Agreement and Change in Control Agreement (“Severance Agreement”) that the Company may enter into with executive officers and vice presidents (each, an “Executive”). Under the Severance Agreement, if an Executive party thereto is terminated without cause or in a qualifying change in control termination, the Company agrees to pay the Executive three to twelve months of that Executive’s monthly base salary and 25% to 100% of the Executive’s target bonus, and to accelerate the vesting of 25% to 100% of the Executive’s unvested equity awards. If an Executive elects continued coverage under the Consolidated Omnibus Budget Reconciliation Act of 1985, as amended (“COBRA”) the Company will pay the full amount of the Executive’s premiums under the Company’s health, dental and vision plans, including coverage for the Executive’s eligible dependents, for the three-to-twelve-month period, as applicable, following the Executive’s termination.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Commitments and Contingencies,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Transition – Cesar Johnston</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March 26, 2024, the Company announced that Cesar Johnston was no longer serving as President and Chief Executive Officer of the Company effective March 24, 2024. In connection with his cessation as an officer of the Company, Mr. Johnston was entitled to receive the benefits and payments set forth in the Amended and Restated Severance and Change in Control Agreement, dated December 6, 2021 (“Johnston Severance Agreement”), between the Company and Mr. Johnston. Accordingly, Mr. Johnston received (a) 18 months of his monthly salary plus the amount equal to 100% of his target bonus, (b) any outstanding unvested equity awards held by Mr. Johnston that were scheduled to vest during the next 18 months following the termination date, and (c) reimbursement for continued COBRA payments, if elected by Mr. Johnston, during the 18 months following the termination date. The Company recorded $1.2 million in total severance expense pertaining to Mr. Johnston’s departure during the year ended December 31, 2024, including $0.1 million in stock-based compensation as a result of accelerated vesting of RSUs and options (see Note 11 – Stock-Based Compensation for additional details).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the Company had no unpaid severance expense pertaining to the Johnston Severance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Short-term Debt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for Insurance Premiums</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On April 29, 2025, the Company financed approximately $0.3 million in business insurance premiums to be repaid in nine installments of approximately $35,000 with a borrowing rate of 6.99% per year. On October 15, 2025, the Company financed approximately $0.1 million in cyber liability and additional insurance premiums to be repaid in 11 installments of approximately $6,000 with a borrowing rate of 6.09% per year. As of December 31, 2025, the Company had an outstanding balance of approximately $0.1 million on the financing for its insurance premiums with a weighted average borrowing rate of 6.45% per year.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Agile Subordinated Loan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Effective October 1, 2024, the Company entered into a subordinated business loan agreement (the “Original Loan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Agile Capital Funding, LLC and Agile Lending, LLC (collectively, the “Lender”), which provided for an initial term loan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$525,000, with the ability to receive additional term loans of up to $1.6 million, subject to certain conditions (such loans, the “Original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Loan”). Principal and interest on the Original Term Loan in the aggregate amount of $756,000 was to be repaid in weekly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of $27,000 commencing on October 14, 2024 and fully repaid on or before the maturity date of April 21, 2025.</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Effective November 5, 2024, the Company entered into an amended subordinated business loan agreement with the Lender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Loan Agreement”) to refinance the Original Term Loan. The Amended Loan Agreement provided for a new term loan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$997,000, with the ability to receive additional term loans of up to $1.6 million, subject to certain conditions (such new loans, the “New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Loan”). Principal and interest on the New Term Loan in the aggregate amount of $1,415,740 was repaid in weekly payments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$39,000 and fully repaid before the maturity date of July 17, 2025 on July 7, 2025. The proceeds of the New Term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allocated to cover the administrative fee of $48,000 and to repay in full the Original Term Loan as described above, which had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carrying amount of $429,000 and settlement value of $648,000 on November 5, 2024. The New Term Loan was expressly subordinated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Company’s obligations on certain senior indebtedness of the Company as provided in the Amended Loan Agreement.</w:t>
      </w:r>
    </w:p>
    <w:p>
      <w:pPr>
        <w:spacing w:after="0" w:line="20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2025, the Company had no short-term loan payable balance in relation to the Agile loan agreement. The Company recorded interest expense of approximately $0.2 million related to the Amended Loan Agreement during the year ended December 31, 2025. The payment multiplier on the New Term Loan was 1.42. An administrative fee of $25,000 was paid on the Original Loan agreement, and an administrative fee of $48,000 was paid on the Amended Loan Agreement. These fees were recorded as a debt discount against the proceeds received. As of December 31, 2025, the debt discount was fully amortized. On July 7, 2025, the Company paid off all outstanding amounts owed to the Lender. As of December 31, 2025, no balance was owed pursuant to the Amended Loan Agreement.</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Capital Stock and Warrants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Capital</w:t>
      </w:r>
    </w:p>
    <w:p>
      <w:pPr>
        <w:spacing w:after="0" w:line="21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holders of the Company’s common stock are entitled to one vote per share. Holders of common stock are entitled to receive ratably such dividends, if any, as may be declared by the Board out of legally available funds. Upon the liquidation, dissolution or winding up of the Company, holders of common stock are entitled to share ratably in all assets of the Company that are legally available for distribution.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w:t>
      </w:r>
    </w:p>
    <w:p>
      <w:pPr>
        <w:spacing w:after="0" w:line="20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On November 15, 2021, the Company filed a shelf registration statement on Form S-3 with the SEC, which became effective on December 16, 2021. This shelf registration statement allowed the Company to sell, from time to time, any combination of debt or equity securities described in the registration statement up to aggregate proceeds of $100 million. Pursuant to this registration statement, on March 28, 2023, the Company completed an underwritten offering pursuant to which it issued and sold an aggregate of (i) 13,750 shares of its common stock and (ii) warrants to purchase up to 13,750 shares of its common stock (the “2023 Warrants”), for net proceeds of $2.7 million, after deducting underwriting discounts, commission and expenses payable by the Company. The 2023 Warrants were immediately exercisable upon issuance and had a term of six years and an initial exercise price of $240.00.</w:t>
      </w:r>
    </w:p>
    <w:p>
      <w:pPr>
        <w:spacing w:after="0" w:line="17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allocated the proceeds received first to the 2023 Warrants based on the fair value of the 2023 Warrants as determined at initial measurement, with the remaining proceeds allocated to the shares of common stock (see Note 14 – Warrant Liability and Note 15 – Fair Value Measurements). Pursuant to the terms of the 2023 Warrants, the exercise price was adjusted to $49.80 and $9.00 during 2023 and 2024, respectively, and was further adjusted to $8.40 as of June 30, 2025. As of December 31, 2025, the 2023 Warrants had been fully exercised.</w:t>
      </w:r>
    </w:p>
    <w:p>
      <w:pPr>
        <w:spacing w:after="0" w:line="170"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On December 13, 2024, the Company filed a shelf registration statement on Form S-3 with the SEC, which became effective February 12, 2025. This shelf registration statement allowed the Company to sell, from time to time, any combination of debt or equity securities described in the registration statement up to aggregate proceeds of $80 million.</w:t>
      </w:r>
    </w:p>
    <w:p>
      <w:pPr>
        <w:spacing w:after="0" w:line="14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On February 15, 2024, the Company entered into a securities purchase agreement with an institutional investor, providing for the issuance and sale by the Company in a registered direct offering (the “2024 Offering ”) of (i) 19,000 shares of the Company’s common stock, (ii) pre-funded warrants to purchase up to 15,014 shares of common stock (referred to individually as a “2024 Pre-Funded Warrant” and collectively as the “2024 Pre-Funded Warrants”), and (iii) warrants to purchase an aggregate of 34,014 shares of common stock (referred to individually as a “2024 Warrant” and collectively as the “2024 Warrants”). Each share of common stock and 2024 Pre-Funded Warrant was offered and sold, together with an accompanying 2024 Warrant at a combined price of $58.80 per share of common stock or 2024 Pre-Funded Warrant, as applicable, and the accompanying 2024 Warrant. Each 2024 Pre-Funded Warrant and 2024 Warrant was exercisable at any time on or after the date of issuance to purchase one share of common stock at a price of either $0.03 per share, in the case of 2024 Pre-Funded Warrants, or $55.20 per share, in the case of 2024 Warrants. The 2024 Pre-Funded Warrants expired upon full exercise in April 2024, and the 2024 Warrants had an expiration date of five years from the date of issuance. The 2024 Offering closed on February 20, 2024. The Company received net proceeds of approximately $1.8 million (net of $0.2 million in issuance costs) in the 2024 Offering. As of December 31, 2025, the 2024 Warrants had been fully exercised.</w:t>
      </w:r>
    </w:p>
    <w:p>
      <w:pPr>
        <w:spacing w:after="0" w:line="176"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On June 21, 2024, the Company filed a prospectus supplement covering the offering, issuance and sale of up to $3.4 million in shares of the Company’s common stock pursuant to an At the Market Offering Agreement, dated June 21, 2024, between the Company and H.C. Wainwright &amp; Co., LLC (the “ATM Program”). Prior to the commencement of the ATM Program, the Company sold 930 shares of its common stock for proceeds of $47,000 (net of commissions and fees of $2,000) during the year ended December 31, 2024 under the preceding ATM program. During the year ended December 31, 2024, the Company sold 228,392 shares of its common stock under the ATM Program for net proceeds of approximately $3.2 million (net of commissions and other related offering expenses of approximately $0.3 million).</w:t>
      </w:r>
    </w:p>
    <w:p>
      <w:pPr>
        <w:spacing w:after="0" w:line="175"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On December 30, 2024, the Company filed a prospectus supplement for the issuance and sale of an additional $7.46 million in shares of common stock under the ATM Program. During January 2025, the Company sold 209,348 shares of its common stock under the ATM Program for net proceeds of approximately $7.0 million (net of commissions and other related offering expenses of approximately $0.4 million).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Capital Stock and Warrants, continued</w:t>
      </w:r>
    </w:p>
    <w:p>
      <w:pPr>
        <w:spacing w:after="0" w:line="20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On January 6, 2025, the Company filed a prospectus supplement for the issuance and sale of an additional $6.6 million in shares of common stock under the ATM Program. During January and February 2025, the Company sold 343,465 shares of its common stock under the ATM Program for net proceeds of approximately $6.3 million (net of commissions and other related offering expenses of approximately $0.3 million).</w:t>
      </w:r>
    </w:p>
    <w:p>
      <w:pPr>
        <w:spacing w:after="0" w:line="16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On February 13, 2025, the Company filed a prospectus supplement for the issuance and sale of an additional $80.0 million in shares of common stock under the ATM Program. On September 10, 2025, the ATM Program was reduced to up to $70.0 million in shares of common stock. In total, during the year ended December 31, 2025, the Company sold 555,155 shares of its common stock for net proceeds of approximately $5.0 million (net of commissions and related offering expenses of approximately $0.4 million) under the ATM Program. As of December 31, 2025, approximately $64.6 million in shares of common stock remained available for issuance under the ATM Program, subject to availability of authorized shares.</w:t>
      </w:r>
    </w:p>
    <w:p>
      <w:pPr>
        <w:spacing w:after="0" w:line="174"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On September 10, 2025, the Company entered into a securities purchase agreement (the “Purchase Agreement”) with an institutional investor (the “Investor”), providing for the issuance and sale by the Company, in a registered direct offering (the “2025 Offering”), of (i) 120,000 shares of the Company’s common stock, (ii) pre-funded warrants to purchase up to 465,347 shares of common stock (the “2025 Pre-Funded Warrants”), and (iii) warrants to purchase up to an aggregate of 585,347 shares of common stock (the “2025 Warrants”). Each share of common stock and 2025 Pre-Funded Warrant was offered and sold together with an accompanying 2025 Warrant at a combined price of $7.92 per share of common stock or 2025 Pre-Funded Warrant and accompanying 2025 Warrant, as applicable. Each 2025 Pre-Funded Warrant and 2025 Warrant is exercisable at any time on or after the date of issuance to purchase one share of common stock at a price of either $0.00001 per share, in the case of the 2025 Pre-Funded Warrants, or $7.79 per share, in the case of the 2025 Warrants. The 2025 Pre-Funded Warrants expire when they are exercised in full and the 2025 Warrants expire five years from the date of issuance. As of December 31, 2025, no 2025 Pre-Funded Warrants and 585,347 2025 Warrants were outstanding.</w:t>
      </w:r>
    </w:p>
    <w:p>
      <w:pPr>
        <w:spacing w:after="0" w:line="16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2025 Offering closed on September 11, 2025. The Company received net proceeds of approximately $4.0 million from the 2025 Offering, after deducting placement agent fees and estimated offering expenses payable by the Company.</w:t>
      </w:r>
    </w:p>
    <w:p>
      <w:pPr>
        <w:spacing w:after="0" w:line="148"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Additionally, pursuant to the Engagement Letter, dated as of July 9, 2024, as amended to date (the “Original Engagement Letter”), between the Company and H.C. Wainwright &amp; Co., LLC (“Wainwright”), and the Engagement Letter Joinder Agreement, dated as of September 10, 2025 (the “Joinder Agreement” and, together with the Original Engagement Letter, the “Engagement Letter”), by and among the Company, Wainwright and Rodman &amp; Renshaw LLC (“Rodman &amp; Renshaw” and, together with Wainwright, the “Placement Agents”), the Company, in connection with the closing of the 2025 Offering, agreed to issue to the Placement Agents or their respective designees warrants (the “Registered Direct Offering Placement Agent Warrants”) to purchase up to an aggregate of 40,974 shares of common stock. The Registered Direct Offering Placement Agent Warrants have substantially the same terms as the 2025 Warrants, except the Registered Direct Offering Placement Agent Warrants are exercisable at any time on or after the date of issuance to purchase one share of common stock at a price of $9.90 per share and the Registered Direct Offering Placement Agent Warrants expire on September 10, 2030.</w:t>
      </w:r>
    </w:p>
    <w:p>
      <w:pPr>
        <w:spacing w:after="0" w:line="18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September 10, 2025, in connection with the 2025 Offering, the Company entered into a letter agreement (the “Letter Agreement”) with the Investor for the immediate exercise of the outstanding 2023 Warrants and 2024 Warrants (“the Original Warrants”) to purchase an aggregate of 47,764 shares of common stock and having exercise prices of $6.7595 and $55.20 per share, respectively (the “Concurrent Warrant Exercise Transaction”). The 2023 Warrants were exercised at the exercise price of $6.8845 and the 2024 Warrants were exercised at a reduced exercise price of $7.92 per share for aggregate gross proceeds to the Company of approximately $0.4 million.</w:t>
      </w:r>
    </w:p>
    <w:p>
      <w:pPr>
        <w:spacing w:after="0" w:line="160" w:lineRule="exact"/>
        <w:rPr>
          <w:sz w:val="20"/>
          <w:szCs w:val="20"/>
          <w:color w:val="auto"/>
        </w:rPr>
      </w:pPr>
    </w:p>
    <w:p>
      <w:pPr>
        <w:ind w:firstLine="648"/>
        <w:spacing w:after="0" w:line="277" w:lineRule="auto"/>
        <w:rPr>
          <w:sz w:val="20"/>
          <w:szCs w:val="20"/>
          <w:color w:val="auto"/>
        </w:rPr>
      </w:pPr>
      <w:r>
        <w:rPr>
          <w:rFonts w:ascii="Times New Roman" w:cs="Times New Roman" w:eastAsia="Times New Roman" w:hAnsi="Times New Roman"/>
          <w:sz w:val="17"/>
          <w:szCs w:val="17"/>
          <w:color w:val="auto"/>
        </w:rPr>
        <w:t>As consideration for the exercise of the 2023 Warrants and 2024 Warrants for cash, the Company issued new unregistered warrants (the “New Warrants”) to purchase up to an aggregate of 47,764 shares of common stock at a fixed exercise price of $7.79 per share (the “New Warrant Shares”). The New Warrants are exercisable immediately upon issuance and will expire five years following the initial issuance date. The New Warrants are classified as equity warrants. Except as described herein, the New Warrants are substantially similar to the Original Warrants. The closing of the Concurrent Warrant Exercise Transaction occurred on September 11, 2025.</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Capital Stock and Warrants, continued</w:t>
      </w:r>
    </w:p>
    <w:p>
      <w:pPr>
        <w:spacing w:after="0" w:line="202"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Also pursuant to the Engagement Letter, the Company, in connection with the closing of the Concurrent Warrant Exercise Transaction, agreed to issue to the Placement Agents or their respective designees warrants (the “Concurrent Warrant Exercise Transaction Placement Agent Warrants”) to purchase up to an aggregate of 3,343 shares of common stock. The Concurrent Warrant Exercise Transaction Placement Agent Warrants have substantially the same terms as the New Warrants, except the Concurrent Warrant Exercise Transaction Placement Agent Warrants are immediately exercisable to purchase one share of common stock at a price of $9.90 per share and the Concurrent Warrant Exercise Transaction Placement Agent Warrants expire on September 10, 2030.</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A Offering</w:t>
      </w:r>
    </w:p>
    <w:p>
      <w:pPr>
        <w:spacing w:after="0" w:line="216" w:lineRule="exact"/>
        <w:rPr>
          <w:sz w:val="20"/>
          <w:szCs w:val="20"/>
          <w:color w:val="auto"/>
        </w:rPr>
      </w:pPr>
    </w:p>
    <w:p>
      <w:pPr>
        <w:ind w:right="240" w:firstLine="648"/>
        <w:spacing w:after="0" w:line="254" w:lineRule="auto"/>
        <w:rPr>
          <w:sz w:val="20"/>
          <w:szCs w:val="20"/>
          <w:color w:val="auto"/>
        </w:rPr>
      </w:pPr>
      <w:r>
        <w:rPr>
          <w:rFonts w:ascii="Times New Roman" w:cs="Times New Roman" w:eastAsia="Times New Roman" w:hAnsi="Times New Roman"/>
          <w:sz w:val="18"/>
          <w:szCs w:val="18"/>
          <w:color w:val="auto"/>
        </w:rPr>
        <w:t>On October 11, 2024, the Company filed a Regulation A Offering Statement on Form 1-A with an offering of a maximum of 166,667 Units (the “Regulation A Offering”), with each Unit consisting of one share of Series A Convertible Preferred Stock (initially convertible into two shares of common stock) and three common stock purchase warrants, two to each purchase one share of common stock at an exercise price of $45.00 per share and one to purchase one share of common stock at $60.00 per share, for an aggregate of 166,667 shares of Series A Convertible Preferred Stock (and 333,333 shares of common stock underlying the shares of Series A Convertible Preferred Stock) and warrants to purchase up to an aggregate of 333,333 shares of common stock at an exercise price of $45.00 per share and 166,667 shares of common stock at an exercise price of $60.00 per share, at an offering price of $45.00 per Unit, for a maximum offering amount of $7,500,000. The Regulation A Offering was qualified by the SEC on November 22, 2024.</w:t>
      </w:r>
    </w:p>
    <w:p>
      <w:pPr>
        <w:spacing w:after="0" w:line="16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March 11, 2025, the Company withdrew the Regulation A Offering. No sales of Units were made pursuant to the Regulation A Offering. The Company’s prepaid expenses and other current assets as of December 31, 2024 included approximately $0.3 million in prepaid financing expenses related to the Regulation A Offering. An additional $0.4 million in expenses related to the Regulation A Offering was recorded during the year ended December 31, 2025. Upon termination of the Regulation A Offering, the Company recorded a one-time total write-off of $0.7 million as expenses related to an abandoned financing transaction during the year ended December 31, 2025.</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Outstanding</w:t>
      </w:r>
    </w:p>
    <w:p>
      <w:pPr>
        <w:spacing w:after="0" w:line="21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Company’s outstanding shares of common stock typically include shares that are deemed delivered under U.S. GAAP. Shares that are deemed delivered currently include shares that have vested, but have not yet been delivered, under tax-deferred equity awards, as well as shares purchased under the ESPP where actual transfer of shares normally occurs a few days after the completion of the purchase periods. There are no voting rights for shares that are deemed delivered under U.S. GAAP until the actual delivery of shares takes place. There are currently 200,000,000 shares of common stock authorized for issuance. As of December 31, 2025, there were 2,200,240 shares of the Company’s common stock outstanding.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Reserved for Future Issuance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reserved the following shares of common stock for future issuance: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20" w:type="dxa"/>
            <w:vAlign w:val="bottom"/>
          </w:tcPr>
          <w:p>
            <w:pPr>
              <w:spacing w:after="0"/>
              <w:rPr>
                <w:sz w:val="15"/>
                <w:szCs w:val="15"/>
                <w:color w:val="auto"/>
              </w:rPr>
            </w:pP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December 31, 2025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December 31, 2024</w:t>
            </w:r>
          </w:p>
        </w:tc>
        <w:tc>
          <w:tcPr>
            <w:tcW w:w="0" w:type="dxa"/>
            <w:vAlign w:val="bottom"/>
          </w:tcPr>
          <w:p>
            <w:pPr>
              <w:spacing w:after="0"/>
              <w:rPr>
                <w:sz w:val="1"/>
                <w:szCs w:val="1"/>
                <w:color w:val="auto"/>
              </w:rPr>
            </w:pPr>
          </w:p>
        </w:tc>
      </w:tr>
      <w:tr>
        <w:trPr>
          <w:trHeight w:val="209"/>
        </w:trPr>
        <w:tc>
          <w:tcPr>
            <w:tcW w:w="6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outstanding</w:t>
            </w:r>
          </w:p>
        </w:tc>
        <w:tc>
          <w:tcPr>
            <w:tcW w:w="1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10,991</w:t>
            </w: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17,946</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Warrants outstanding</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677,428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47,764</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available for issuance under the 2024 Equity Incentive Plan</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78,176</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8,763</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Shares available for issuance under the Employee Stock Purchase Plan</w:t>
            </w:r>
          </w:p>
        </w:tc>
        <w:tc>
          <w:tcPr>
            <w:tcW w:w="1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10"/>
        </w:trPr>
        <w:tc>
          <w:tcPr>
            <w:tcW w:w="6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766,595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74,933</w:t>
            </w:r>
          </w:p>
        </w:tc>
        <w:tc>
          <w:tcPr>
            <w:tcW w:w="0" w:type="dxa"/>
            <w:vAlign w:val="bottom"/>
          </w:tcPr>
          <w:p>
            <w:pPr>
              <w:spacing w:after="0"/>
              <w:rPr>
                <w:sz w:val="1"/>
                <w:szCs w:val="1"/>
                <w:color w:val="auto"/>
              </w:rPr>
            </w:pPr>
          </w:p>
        </w:tc>
      </w:tr>
      <w:tr>
        <w:trPr>
          <w:trHeight w:val="20"/>
        </w:trPr>
        <w:tc>
          <w:tcPr>
            <w:tcW w:w="6120" w:type="dxa"/>
            <w:vAlign w:val="bottom"/>
            <w:vMerge w:val="restart"/>
          </w:tcPr>
          <w:p>
            <w:pPr>
              <w:ind w:left="4880"/>
              <w:spacing w:after="0"/>
              <w:rPr>
                <w:sz w:val="20"/>
                <w:szCs w:val="20"/>
                <w:color w:val="auto"/>
              </w:rPr>
            </w:pPr>
            <w:r>
              <w:rPr>
                <w:rFonts w:ascii="Times New Roman" w:cs="Times New Roman" w:eastAsia="Times New Roman" w:hAnsi="Times New Roman"/>
                <w:sz w:val="18"/>
                <w:szCs w:val="18"/>
                <w:color w:val="auto"/>
              </w:rPr>
              <w:t>60</w:t>
            </w:r>
          </w:p>
        </w:tc>
        <w:tc>
          <w:tcPr>
            <w:tcW w:w="1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612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6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Stock 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2017 Equity Inducement Plan</w:t>
      </w:r>
    </w:p>
    <w:p>
      <w:pPr>
        <w:spacing w:after="0" w:line="225"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On December 28, 2017, the Board approved the 2017 Equity Inducement Plan. Under the 2017 Equity Inducement Plan, the Board reserved 1,000 shares for the grant of RSUs. These grants will be administered by the Board or a committee of the Board. Under the 2017 Equity Inducement Plan, awards could be granted to individuals who (a) were being hired as an employee by the Company or any subsidiary and such award is a material inducement to such person being hired; (b) were being rehired as an employee following a bona fide period of interruption of employment with the Company or any subsidiary; or (c) would become an employee of the Company or any subsidiary in connection with a merger or acquisition.</w:t>
      </w:r>
    </w:p>
    <w:p>
      <w:pPr>
        <w:spacing w:after="0" w:line="18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On July 20, 2022, the Board increased the number of shares of common stock reserved and available for issuance under the 2017 Equity Inducement Plan by 3,333 shares. On March 28, 2024, the Board increased the number of shares of common stock reserved and available for issuance under the 2017 Equity Inducement Plan by 4,050 shares. As of December 31, 2025, there are 1,264 RSUs granted and outstanding under the 2017 Equity Inducement Plan. No new equity award grants are to be issued from the 2017 Equity Inducement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2024 Equity Incentive Plan</w:t>
      </w:r>
    </w:p>
    <w:p>
      <w:pPr>
        <w:spacing w:after="0" w:line="22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On June 12, 2024, the Energous Corporation 2024 Equity Incentive Plan (the “2024 Equity Incentive Plan”) was approved by stockholders for the issuance of equity incentive awards to eligible participants, which replaced the following equity plans of the Company: (i) the 2013 Equity Incentive Plan, (ii) 2014 Non-Employee Equity Compensation Plan, (iii) the Performance Share Unit Plan and (iv) the 2017 Equity Inducement Plan (collectively, the “Prior Equity Plans”). All existing outstanding awards remain outstanding under the Prior Equity Plans, and an additional 15,200 shares of common stock were approved for issuance under the 2024 Equity Incentive Plan. On June 11, 2025, the Company’s stockholders approved an increase of the available share reserve under the 2024 Equity Incentive Plan by 66,667 shares.</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there are 9,727 RSUs granted and outstanding under the 2024 Equity Incentive Plan. As of December 31, 2025, 78,176 shares of common stock remain available for issuance under the 2024 Equity Incentive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(“RSUs”)</w:t>
      </w:r>
    </w:p>
    <w:p>
      <w:pPr>
        <w:spacing w:after="0" w:line="22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Compensation Committee granted directors an aggregate of 159 RSUs for service on the Board. These RSU awards vest on the one-year anniversary of the grant date.</w:t>
      </w:r>
    </w:p>
    <w:p>
      <w:pPr>
        <w:spacing w:after="0" w:line="162"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Compensation Committee granted employees an aggregate of 2,099 RSUs, which vest over four years.</w:t>
      </w:r>
    </w:p>
    <w:p>
      <w:pPr>
        <w:spacing w:after="0" w:line="16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the unamortized fair value of the RSUs was $0.3 million. The unamortized amount will be expensed over a weighted average period of 2.4 years. A summary of the activity related to RSUs for the year ended December 31, 2025 is presented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ind w:left="75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700" w:type="dxa"/>
            <w:vAlign w:val="bottom"/>
            <w:vMerge w:val="restart"/>
          </w:tcPr>
          <w:p>
            <w:pPr>
              <w:ind w:left="75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73"/>
        </w:trPr>
        <w:tc>
          <w:tcPr>
            <w:tcW w:w="7700" w:type="dxa"/>
            <w:vAlign w:val="bottom"/>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10"/>
        </w:trPr>
        <w:tc>
          <w:tcPr>
            <w:tcW w:w="7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January 1, 2025</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17,946</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71.59</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RSUs granted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forfeited</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(5,085)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RSUs vested</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(4,128)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107.89</w:t>
            </w:r>
          </w:p>
        </w:tc>
        <w:tc>
          <w:tcPr>
            <w:tcW w:w="0" w:type="dxa"/>
            <w:vAlign w:val="bottom"/>
          </w:tcPr>
          <w:p>
            <w:pPr>
              <w:spacing w:after="0"/>
              <w:rPr>
                <w:sz w:val="1"/>
                <w:szCs w:val="1"/>
                <w:color w:val="auto"/>
              </w:rPr>
            </w:pPr>
          </w:p>
        </w:tc>
      </w:tr>
      <w:tr>
        <w:trPr>
          <w:trHeight w:val="209"/>
        </w:trPr>
        <w:tc>
          <w:tcPr>
            <w:tcW w:w="7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59.75</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4880"/>
              <w:spacing w:after="0"/>
              <w:rPr>
                <w:sz w:val="20"/>
                <w:szCs w:val="20"/>
                <w:color w:val="auto"/>
              </w:rPr>
            </w:pPr>
            <w:r>
              <w:rPr>
                <w:rFonts w:ascii="Times New Roman" w:cs="Times New Roman" w:eastAsia="Times New Roman" w:hAnsi="Times New Roman"/>
                <w:sz w:val="18"/>
                <w:szCs w:val="18"/>
                <w:color w:val="auto"/>
              </w:rPr>
              <w:t>61</w:t>
            </w: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77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77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Stock Based Compensation,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 (“ESPP”)</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April 2015, the Board approved the ESPP, under which 1,000 shares of common stock were reserved for purchase by the Company’s employees, subject to the approval by the Company’s stockholders. On May 21, 2015, the Company’s stockholders approved the ESPP. On June 12, 2024, the Company’s stockholders approved the amendment and restatement of the ESPP to increase the number of shares reserved for issuance under the ESPP by 207 shares.</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January 21, 2025, the Company terminated its ESPP. No transactions were recorded under the ESPP during 2025. During the year ended December 31, 2024, there were two offering periods. The first offering period began on January 1, 2024 and concluded on June 30, 2024. The second offering period began on July 1, 2024 and concluded on December 31, 2024. The final shares purchased under the ESPP were deemed delivered on December 31, 2024.</w:t>
      </w:r>
    </w:p>
    <w:p>
      <w:pPr>
        <w:spacing w:after="0" w:line="180"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weighted average grant-date fair value of the purchase option for each designated share purchased under the ESPP was approximately $19.20 per share for the year ended December 31, 2024, which represents the fair value of the option, consisting of three main components: (i) the value of the discount on the enrollment date, (ii) the proportionate value of the call option for 85% of the stock and (iii) the proportionate value of the put option for 15% of the stock. The Company did not recognize any compensation expense for the ESPP during the year ended December 31, 2025. The Company recognized compensation expense for the ESPP of approximately $5,000 for the year ended December 31, 2024.</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estimated the fair value of ESPP purchase options granted during the year ended December 31, 2024 using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Black-Scholes option pricing model. The fair values of ESPP purchase options granted were estimated using the following assumptions:</w:t>
      </w:r>
    </w:p>
    <w:p>
      <w:pPr>
        <w:spacing w:after="0" w:line="214"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640" w:type="dxa"/>
            <w:vAlign w:val="bottom"/>
          </w:tcPr>
          <w:p>
            <w:pPr>
              <w:spacing w:after="0"/>
              <w:rPr>
                <w:sz w:val="15"/>
                <w:szCs w:val="15"/>
                <w:color w:val="auto"/>
              </w:rPr>
            </w:pPr>
          </w:p>
        </w:tc>
        <w:tc>
          <w:tcPr>
            <w:tcW w:w="43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For the year ended December 31,</w:t>
            </w:r>
          </w:p>
        </w:tc>
      </w:tr>
      <w:tr>
        <w:trPr>
          <w:trHeight w:val="142"/>
        </w:trPr>
        <w:tc>
          <w:tcPr>
            <w:tcW w:w="3640" w:type="dxa"/>
            <w:vAlign w:val="bottom"/>
            <w:tcBorders>
              <w:bottom w:val="single" w:sz="8" w:color="CCEEFF"/>
            </w:tcBorders>
          </w:tcPr>
          <w:p>
            <w:pPr>
              <w:spacing w:after="0"/>
              <w:rPr>
                <w:sz w:val="12"/>
                <w:szCs w:val="12"/>
                <w:color w:val="auto"/>
              </w:rPr>
            </w:pPr>
          </w:p>
        </w:tc>
        <w:tc>
          <w:tcPr>
            <w:tcW w:w="218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640" w:type="dxa"/>
            <w:vAlign w:val="bottom"/>
            <w:tcBorders>
              <w:top w:val="single" w:sz="8" w:color="auto"/>
              <w:bottom w:val="single" w:sz="8" w:color="auto"/>
            </w:tcBorders>
          </w:tcPr>
          <w:p>
            <w:pPr>
              <w:jc w:val="right"/>
              <w:ind w:right="8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21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32.70-54.90</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76%-112%</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5.26%-5.37%</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2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months</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total amount of stock-based compensation was reflected within the statements of operations as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2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920" w:type="dxa"/>
            <w:vAlign w:val="bottom"/>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top w:val="single" w:sz="8" w:color="auto"/>
            </w:tcBorders>
            <w:gridSpan w:val="2"/>
          </w:tcPr>
          <w:p>
            <w:pPr>
              <w:jc w:val="right"/>
              <w:ind w:right="116"/>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2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9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Severance expense</w:t>
            </w:r>
          </w:p>
        </w:tc>
        <w:tc>
          <w:tcPr>
            <w:tcW w:w="2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9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Total</w:t>
            </w:r>
          </w:p>
        </w:tc>
        <w:tc>
          <w:tcPr>
            <w:tcW w:w="292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920" w:type="dxa"/>
            <w:vAlign w:val="bottom"/>
            <w:vMerge w:val="restart"/>
          </w:tcPr>
          <w:p>
            <w:pPr>
              <w:jc w:val="right"/>
              <w:ind w:right="1699"/>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10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0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Revenue Recognition</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depict the disaggregation of revenue by product or service and geographic region of the customers for the years ended December 31, 2025 and 2024:</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 by product/service</w:t>
            </w:r>
          </w:p>
        </w:tc>
        <w:tc>
          <w:tcPr>
            <w:tcW w:w="1840" w:type="dxa"/>
            <w:vAlign w:val="bottom"/>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w:t>
            </w:r>
          </w:p>
        </w:tc>
        <w:tc>
          <w:tcPr>
            <w:tcW w:w="208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4020" w:type="dxa"/>
            <w:vAlign w:val="bottom"/>
            <w:vMerge w:val="continue"/>
          </w:tcPr>
          <w:p>
            <w:pPr>
              <w:spacing w:after="0"/>
              <w:rPr>
                <w:sz w:val="12"/>
                <w:szCs w:val="12"/>
                <w:color w:val="auto"/>
              </w:rPr>
            </w:pPr>
          </w:p>
        </w:tc>
        <w:tc>
          <w:tcPr>
            <w:tcW w:w="18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gridSpan w:val="3"/>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PowerBridge sales and shipping</w:t>
            </w:r>
          </w:p>
        </w:tc>
        <w:tc>
          <w:tcPr>
            <w:tcW w:w="18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5,523</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16"/>
        </w:trPr>
        <w:tc>
          <w:tcPr>
            <w:tcW w:w="4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8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0"/>
        </w:trPr>
        <w:tc>
          <w:tcPr>
            <w:tcW w:w="4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8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 by geographic region</w:t>
            </w:r>
          </w:p>
        </w:tc>
        <w:tc>
          <w:tcPr>
            <w:tcW w:w="1840" w:type="dxa"/>
            <w:vAlign w:val="bottom"/>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w:t>
            </w:r>
          </w:p>
        </w:tc>
        <w:tc>
          <w:tcPr>
            <w:tcW w:w="208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4020" w:type="dxa"/>
            <w:vAlign w:val="bottom"/>
            <w:vMerge w:val="continue"/>
          </w:tcPr>
          <w:p>
            <w:pPr>
              <w:spacing w:after="0"/>
              <w:rPr>
                <w:sz w:val="12"/>
                <w:szCs w:val="12"/>
                <w:color w:val="auto"/>
              </w:rPr>
            </w:pPr>
          </w:p>
        </w:tc>
        <w:tc>
          <w:tcPr>
            <w:tcW w:w="18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gridSpan w:val="3"/>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8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5,186</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8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9"/>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8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5,630</w:t>
            </w:r>
          </w:p>
        </w:tc>
        <w:tc>
          <w:tcPr>
            <w:tcW w:w="180" w:type="dxa"/>
            <w:vAlign w:val="bottom"/>
            <w:gridSpan w:val="2"/>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Substantially all revenue recognized during 2025 and 2024 was recognized at a point in time.</w:t>
      </w:r>
    </w:p>
    <w:p>
      <w:pPr>
        <w:spacing w:after="0" w:line="225"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Selected balance sheet line items that reflect accounts receivable and contract liabilities as of December 31, 2025, 2024 and 2023 were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60" w:type="dxa"/>
            <w:vAlign w:val="bottom"/>
            <w:vMerge w:val="restart"/>
          </w:tcPr>
          <w:p>
            <w:pPr>
              <w:ind w:left="68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Balances as of December 31,</w:t>
            </w: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9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480" w:type="dxa"/>
            <w:vAlign w:val="bottom"/>
            <w:gridSpan w:val="2"/>
          </w:tcPr>
          <w:p>
            <w:pPr>
              <w:jc w:val="right"/>
              <w:ind w:right="21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09"/>
        </w:trPr>
        <w:tc>
          <w:tcPr>
            <w:tcW w:w="6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spacing w:after="0"/>
              <w:rPr>
                <w:sz w:val="18"/>
                <w:szCs w:val="18"/>
                <w:color w:val="auto"/>
              </w:rPr>
            </w:pPr>
          </w:p>
        </w:tc>
        <w:tc>
          <w:tcPr>
            <w:tcW w:w="580" w:type="dxa"/>
            <w:vAlign w:val="bottom"/>
          </w:tcPr>
          <w:p>
            <w:pPr>
              <w:jc w:val="right"/>
              <w:ind w:right="419"/>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deposits</w:t>
            </w:r>
          </w:p>
        </w:tc>
        <w:tc>
          <w:tcPr>
            <w:tcW w:w="2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Company expects to satisfy its obligations under deferred revenue and collect all net trade receivables within one year of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Income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Losses before taxes by jurisdiction for the years ended December 31, 2025 and 2024 are as follows (in thousands):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500" w:type="dxa"/>
            <w:vAlign w:val="bottom"/>
          </w:tcPr>
          <w:p>
            <w:pPr>
              <w:spacing w:after="0"/>
              <w:rPr>
                <w:sz w:val="15"/>
                <w:szCs w:val="15"/>
                <w:color w:val="auto"/>
              </w:rPr>
            </w:pPr>
          </w:p>
        </w:tc>
        <w:tc>
          <w:tcPr>
            <w:tcW w:w="2360" w:type="dxa"/>
            <w:vAlign w:val="bottom"/>
            <w:vMerge w:val="restart"/>
          </w:tcPr>
          <w:p>
            <w:pPr>
              <w:ind w:left="2240"/>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23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gridSpan w:val="2"/>
          </w:tcPr>
          <w:p>
            <w:pPr>
              <w:jc w:val="right"/>
              <w:ind w:right="116"/>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2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(9,593)</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(18,398)</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Foreign</w:t>
            </w:r>
          </w:p>
        </w:tc>
        <w:tc>
          <w:tcPr>
            <w:tcW w:w="23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taxes</w:t>
            </w:r>
          </w:p>
        </w:tc>
        <w:tc>
          <w:tcPr>
            <w:tcW w:w="23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(9,593)</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(18,398)</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Current and deferred income tax expense for the years ended December 31, 2025 and 2024 are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6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3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0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3860" w:type="dxa"/>
            <w:vAlign w:val="bottom"/>
            <w:gridSpan w:val="2"/>
            <w:vMerge w:val="continue"/>
          </w:tcPr>
          <w:p>
            <w:pPr>
              <w:spacing w:after="0"/>
              <w:rPr>
                <w:sz w:val="12"/>
                <w:szCs w:val="12"/>
                <w:color w:val="auto"/>
              </w:rPr>
            </w:pPr>
          </w:p>
        </w:tc>
        <w:tc>
          <w:tcPr>
            <w:tcW w:w="3000" w:type="dxa"/>
            <w:vAlign w:val="bottom"/>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top w:val="single" w:sz="8" w:color="auto"/>
            </w:tcBorders>
            <w:gridSpan w:val="2"/>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30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30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Total income tax expense</w:t>
            </w:r>
          </w:p>
        </w:tc>
        <w:tc>
          <w:tcPr>
            <w:tcW w:w="300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00" w:type="dxa"/>
            <w:vAlign w:val="bottom"/>
            <w:vMerge w:val="restart"/>
          </w:tcPr>
          <w:p>
            <w:pPr>
              <w:jc w:val="right"/>
              <w:ind w:right="1719"/>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10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0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Income Taxes, continued</w:t>
      </w:r>
    </w:p>
    <w:p>
      <w:pPr>
        <w:spacing w:after="0" w:line="23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208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w:t>
            </w:r>
          </w:p>
        </w:tc>
        <w:tc>
          <w:tcPr>
            <w:tcW w:w="208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3780" w:type="dxa"/>
            <w:vAlign w:val="bottom"/>
            <w:vMerge w:val="continue"/>
          </w:tcPr>
          <w:p>
            <w:pPr>
              <w:spacing w:after="0"/>
              <w:rPr>
                <w:sz w:val="12"/>
                <w:szCs w:val="12"/>
                <w:color w:val="auto"/>
              </w:rPr>
            </w:pPr>
          </w:p>
        </w:tc>
        <w:tc>
          <w:tcPr>
            <w:tcW w:w="20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gridSpan w:val="3"/>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20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20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Total income tax expense</w:t>
            </w:r>
          </w:p>
        </w:tc>
        <w:tc>
          <w:tcPr>
            <w:tcW w:w="20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During the year ended December 31, 2025, the Company adopted ASU 2023-09 to enhance the income taxes disclosure and the rate reconciliation disclosure. See Note 3 – Summary of Significant Accounting Policies, </w:t>
      </w:r>
      <w:r>
        <w:rPr>
          <w:rFonts w:ascii="Times New Roman" w:cs="Times New Roman" w:eastAsia="Times New Roman" w:hAnsi="Times New Roman"/>
          <w:sz w:val="18"/>
          <w:szCs w:val="18"/>
          <w:i w:val="1"/>
          <w:iCs w:val="1"/>
          <w:color w:val="auto"/>
        </w:rPr>
        <w:t>Adoption of New Accounting Standard</w:t>
      </w:r>
      <w:r>
        <w:rPr>
          <w:rFonts w:ascii="Times New Roman" w:cs="Times New Roman" w:eastAsia="Times New Roman" w:hAnsi="Times New Roman"/>
          <w:sz w:val="18"/>
          <w:szCs w:val="18"/>
          <w:color w:val="auto"/>
        </w:rPr>
        <w:t xml:space="preserve"> for additional details.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taxes paid by jurisdiction for the years ended December 31, 2025 and 2024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060" w:type="dxa"/>
            <w:vAlign w:val="bottom"/>
            <w:gridSpan w:val="14"/>
          </w:tcPr>
          <w:p>
            <w:pPr>
              <w:jc w:val="right"/>
              <w:ind w:right="93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2025</w:t>
            </w: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2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9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Total income taxes paid</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9920" w:type="dxa"/>
            <w:vAlign w:val="bottom"/>
            <w:gridSpan w:val="23"/>
          </w:tcPr>
          <w:p>
            <w:pPr>
              <w:ind w:left="660"/>
              <w:spacing w:after="0"/>
              <w:rPr>
                <w:sz w:val="20"/>
                <w:szCs w:val="20"/>
                <w:color w:val="auto"/>
              </w:rPr>
            </w:pPr>
            <w:r>
              <w:rPr>
                <w:rFonts w:ascii="Times New Roman" w:cs="Times New Roman" w:eastAsia="Times New Roman" w:hAnsi="Times New Roman"/>
                <w:sz w:val="18"/>
                <w:szCs w:val="18"/>
                <w:color w:val="auto"/>
              </w:rPr>
              <w:t>Reconciliation between the effective tax rate on income from continuing operations and the statutory tax rate of 21% is as</w:t>
            </w:r>
          </w:p>
        </w:tc>
        <w:tc>
          <w:tcPr>
            <w:tcW w:w="0" w:type="dxa"/>
            <w:vAlign w:val="bottom"/>
          </w:tcPr>
          <w:p>
            <w:pPr>
              <w:spacing w:after="0"/>
              <w:rPr>
                <w:sz w:val="1"/>
                <w:szCs w:val="1"/>
                <w:color w:val="auto"/>
              </w:rPr>
            </w:pPr>
          </w:p>
        </w:tc>
      </w:tr>
      <w:tr>
        <w:trPr>
          <w:trHeight w:val="234"/>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follows:</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0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8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c>
          <w:tcPr>
            <w:tcW w:w="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00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1060" w:type="dxa"/>
            <w:vAlign w:val="bottom"/>
            <w:gridSpan w:val="2"/>
          </w:tcPr>
          <w:p>
            <w:pPr>
              <w:ind w:left="820"/>
              <w:spacing w:after="0" w:line="118"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Amount (in</w:t>
            </w:r>
          </w:p>
        </w:tc>
        <w:tc>
          <w:tcPr>
            <w:tcW w:w="34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gridSpan w:val="2"/>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Rate</w:t>
            </w:r>
          </w:p>
        </w:tc>
        <w:tc>
          <w:tcPr>
            <w:tcW w:w="20" w:type="dxa"/>
            <w:vAlign w:val="bottom"/>
          </w:tcPr>
          <w:p>
            <w:pPr>
              <w:spacing w:after="0"/>
              <w:rPr>
                <w:sz w:val="10"/>
                <w:szCs w:val="10"/>
                <w:color w:val="auto"/>
              </w:rPr>
            </w:pPr>
          </w:p>
        </w:tc>
        <w:tc>
          <w:tcPr>
            <w:tcW w:w="320" w:type="dxa"/>
            <w:vAlign w:val="bottom"/>
            <w:gridSpan w:val="2"/>
          </w:tcPr>
          <w:p>
            <w:pPr>
              <w:jc w:val="right"/>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gridSpan w:val="6"/>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Amount (in</w:t>
            </w:r>
          </w:p>
        </w:tc>
        <w:tc>
          <w:tcPr>
            <w:tcW w:w="1160" w:type="dxa"/>
            <w:vAlign w:val="bottom"/>
            <w:gridSpan w:val="3"/>
          </w:tcPr>
          <w:p>
            <w:pPr>
              <w:jc w:val="right"/>
              <w:ind w:right="93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at federal statutory rate</w:t>
            </w:r>
          </w:p>
        </w:tc>
        <w:tc>
          <w:tcPr>
            <w:tcW w:w="9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credits: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(447)</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4"/>
          </w:tcPr>
          <w:p>
            <w:pPr>
              <w:jc w:val="right"/>
              <w:ind w:right="78"/>
              <w:spacing w:after="0"/>
              <w:rPr>
                <w:sz w:val="20"/>
                <w:szCs w:val="20"/>
                <w:color w:val="auto"/>
              </w:rPr>
            </w:pPr>
            <w:r>
              <w:rPr>
                <w:rFonts w:ascii="Times New Roman" w:cs="Times New Roman" w:eastAsia="Times New Roman" w:hAnsi="Times New Roman"/>
                <w:sz w:val="18"/>
                <w:szCs w:val="18"/>
                <w:color w:val="auto"/>
              </w:rPr>
              <w:t>(21.4)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3,555</w:t>
            </w:r>
          </w:p>
        </w:tc>
        <w:tc>
          <w:tcPr>
            <w:tcW w:w="80" w:type="dxa"/>
            <w:vAlign w:val="bottom"/>
          </w:tcPr>
          <w:p>
            <w:pPr>
              <w:spacing w:after="0"/>
              <w:rPr>
                <w:sz w:val="18"/>
                <w:szCs w:val="18"/>
                <w:color w:val="auto"/>
              </w:rPr>
            </w:pPr>
          </w:p>
        </w:tc>
        <w:tc>
          <w:tcPr>
            <w:tcW w:w="132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(168)</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Excess tax deficit on stock awards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4"/>
          </w:tcPr>
          <w:p>
            <w:pPr>
              <w:jc w:val="right"/>
              <w:ind w:right="78"/>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80" w:type="dxa"/>
            <w:vAlign w:val="bottom"/>
          </w:tcPr>
          <w:p>
            <w:pPr>
              <w:spacing w:after="0"/>
              <w:rPr>
                <w:sz w:val="18"/>
                <w:szCs w:val="18"/>
                <w:color w:val="auto"/>
              </w:rPr>
            </w:pPr>
          </w:p>
        </w:tc>
        <w:tc>
          <w:tcPr>
            <w:tcW w:w="132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9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10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60" w:type="dxa"/>
            <w:vAlign w:val="bottom"/>
            <w:gridSpan w:val="3"/>
          </w:tcPr>
          <w:p>
            <w:pPr>
              <w:jc w:val="right"/>
              <w:ind w:right="814"/>
              <w:spacing w:after="0"/>
              <w:rPr>
                <w:sz w:val="20"/>
                <w:szCs w:val="20"/>
                <w:color w:val="auto"/>
              </w:rPr>
            </w:pPr>
            <w:r>
              <w:rPr>
                <w:rFonts w:ascii="Times New Roman" w:cs="Times New Roman" w:eastAsia="Times New Roman" w:hAnsi="Times New Roman"/>
                <w:sz w:val="18"/>
                <w:szCs w:val="18"/>
                <w:color w:val="auto"/>
              </w:rPr>
              <w:t>64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0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Income Taxes, continued</w:t>
      </w:r>
    </w:p>
    <w:p>
      <w:pPr>
        <w:spacing w:after="0" w:line="229"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Company’s deferred tax assets (liabilities) consisted of the effects of temporary differences attributable to the following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80" w:type="dxa"/>
            <w:vAlign w:val="bottom"/>
            <w:vMerge w:val="restart"/>
          </w:tcPr>
          <w:p>
            <w:pPr>
              <w:ind w:left="74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5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gridSpan w:val="2"/>
          </w:tcPr>
          <w:p>
            <w:pPr>
              <w:jc w:val="right"/>
              <w:ind w:right="256"/>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11,470</w:t>
            </w:r>
          </w:p>
        </w:tc>
        <w:tc>
          <w:tcPr>
            <w:tcW w:w="56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operating loss (“NOL”) carryovers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92,392</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 (“R&amp;D”) costs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Start-up and organizational costs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accruals and reserves</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108,428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(108,223)</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deferred taxes, net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Company considers all available evidence, both positive and negative, including historical levels of taxable income, expectations and risks associated with estimates of future taxable income, and ongoing prudent and feasible tax planning strategies in assessing the need for a valuation allowance. Because of the Company’s recent history of operating losses, management believes that it is more likely than not that all of the Company’s deferred tax assets will not be realized and accordingly, has provided a full valuation allowance for its deferred tax asset as of December 31, 2025 and 2024.</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 in the Company’s valuation allowance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80" w:type="dxa"/>
            <w:vAlign w:val="bottom"/>
          </w:tcPr>
          <w:p>
            <w:pPr>
              <w:ind w:left="74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gridSpan w:val="2"/>
          </w:tcPr>
          <w:p>
            <w:pPr>
              <w:jc w:val="right"/>
              <w:ind w:right="176"/>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7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106,627</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104,318</w:t>
            </w:r>
          </w:p>
        </w:tc>
      </w:tr>
      <w:tr>
        <w:trPr>
          <w:trHeight w:val="216"/>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Increase in valuation allowance</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w:t>
            </w:r>
          </w:p>
        </w:tc>
      </w:tr>
      <w:tr>
        <w:trPr>
          <w:trHeight w:val="210"/>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108,223</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106,627</w:t>
            </w:r>
          </w:p>
        </w:tc>
      </w:tr>
      <w:tr>
        <w:trPr>
          <w:trHeight w:val="20"/>
        </w:trPr>
        <w:tc>
          <w:tcPr>
            <w:tcW w:w="7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As of December 31, 2025 and 2024, the Company has NOL carryforwards for U.S. federal income tax purposes of</w:t>
      </w:r>
    </w:p>
    <w:p>
      <w:pPr>
        <w:spacing w:after="0" w:line="2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approximately $340.0 million and $320.2 million, respectively, and for state income tax purposes, approximately $304.5 million and</w:t>
      </w:r>
    </w:p>
    <w:p>
      <w:pPr>
        <w:spacing w:after="0" w:line="9"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7"/>
          <w:szCs w:val="17"/>
          <w:color w:val="auto"/>
        </w:rPr>
        <w:t>$294.9 million, respectively. NOL carryforwards of $255.3 million will be carried forward indefinitely for U.S. federal tax purposes and $84.7 million will expire beginning in 2033. State net operating loss carryforwards, if not utilized, will begin to expire on various dates starting in 2033. The Company has federal and state R&amp;D tax credit carryforwards of approximately $7.8 million and $6.2 million, respectively. The federal R&amp;D credit carryforwards will expire beginning in 2032 and state R&amp;D credit carryforwards do not expire.</w:t>
      </w:r>
    </w:p>
    <w:p>
      <w:pPr>
        <w:spacing w:after="0" w:line="172"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Under Section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As a result of such ownership changes, the annual limitation may result in the expiration of net operating losses and credits before utilization. In general, an “ownership change” will occur if there is a cumulative change in the Company’s ownership by “5-percent shareholders” that exceeds 50 percentage points over a rolling three-year period. Similar rules may apply under state tax laws.</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Income Taxes, continued</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 accounts for uncertain tax position in accordance with ASC 740. Tax positions are evaluated in a two-step process, whereby the Company first determines whether it is more likely than not that a tax position will be sustained upon examination by tax authorities, including resolutions of any related appeals or litigation processes, based on technical merit. If a tax position meets the more-likely-than-not recognition threshold it is then measured to determine the amount of benefit to recognized in the financial statements. The tax position is measured as the largest amount of benefit that is greater than 50% likely of being realized upon ultimate settlement.</w:t>
      </w:r>
    </w:p>
    <w:p>
      <w:pPr>
        <w:spacing w:after="0" w:line="18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total amount of unrecognized tax benefits as of December 31, 2025 is $1.4 million. If recognized, none of the unrecognized tax benefits would impact the effective tax rate because of the valuation allowance. The Company recognizes interest and penalties related to income tax matters as a component of income tax expense. As of December 31, 2025, there were no accrued interest and penalties related to unrecognized tax benefits. The Company does not anticipate any significant change of the unrecognized tax benefits within twelve months of this reporting date.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beginning and ending balance of total unrecognized tax benefits is as follows (in thousands):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1480" w:type="dxa"/>
            <w:vAlign w:val="bottom"/>
            <w:gridSpan w:val="2"/>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gridSpan w:val="3"/>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 at beginning of year</w:t>
            </w:r>
          </w:p>
        </w:tc>
        <w:tc>
          <w:tcPr>
            <w:tcW w:w="1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Gross increases - tax positions in prior period</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increases - tax positions in current period</w:t>
            </w:r>
          </w:p>
        </w:tc>
        <w:tc>
          <w:tcPr>
            <w:tcW w:w="1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tax benefit at end of year</w:t>
            </w:r>
          </w:p>
        </w:tc>
        <w:tc>
          <w:tcPr>
            <w:tcW w:w="128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80" w:type="dxa"/>
            <w:vAlign w:val="bottom"/>
            <w:gridSpan w:val="2"/>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r>
      <w:tr>
        <w:trPr>
          <w:trHeight w:val="20"/>
        </w:trPr>
        <w:tc>
          <w:tcPr>
            <w:tcW w:w="4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in the U.S. federal and various state jurisdictions. Due to the Company’s net operating loss carryforwards, all tax years since inception remain subject to examination by all taxing authorities. The Company is not currently under audit in any tax jurisdiction.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Warrant Liability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Warrants</w:t>
      </w:r>
    </w:p>
    <w:p>
      <w:pPr>
        <w:spacing w:after="0" w:line="189" w:lineRule="exact"/>
        <w:rPr>
          <w:sz w:val="20"/>
          <w:szCs w:val="20"/>
          <w:color w:val="auto"/>
        </w:rPr>
      </w:pPr>
    </w:p>
    <w:p>
      <w:pPr>
        <w:jc w:val="both"/>
        <w:ind w:right="120" w:firstLine="648"/>
        <w:spacing w:after="0" w:line="255" w:lineRule="auto"/>
        <w:rPr>
          <w:sz w:val="20"/>
          <w:szCs w:val="20"/>
          <w:color w:val="auto"/>
        </w:rPr>
      </w:pPr>
      <w:r>
        <w:rPr>
          <w:rFonts w:ascii="Times New Roman" w:cs="Times New Roman" w:eastAsia="Times New Roman" w:hAnsi="Times New Roman"/>
          <w:sz w:val="18"/>
          <w:szCs w:val="18"/>
          <w:color w:val="auto"/>
        </w:rPr>
        <w:t>In March 2023, the Company issued warrants to purchase up to 13,750 shares of its common stock. The 2023 Warrants had a six-year term and were exercisable upon issuance on March 28, 2023. Each 2023 Warrant was initially exercisable for one share of the Company’s common stock at a price of $240.00 per share. As of September 11, 2025, the exercise price was adjusted to $8.40 per share (subject to further adjustment in certain circumstances, including in the event of stock dividends and splits; recapitalizations; change of control transactions; and issuances or sales of, or agreements to issue or sell, shares of common stock or common stock equivalents at a price per share less than the then-applicable exercise price of the 2023 Warrants, including sales under the ATM Program, the “Exercise Price”).</w:t>
      </w:r>
    </w:p>
    <w:p>
      <w:pPr>
        <w:spacing w:after="0" w:line="148"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In the event of certain transactions such as a merger, consolidation, tender offer, reorganization, or other change in control, if holders of common stock are given any choice as to the consideration to be received, the holder of each 2023 Warrant shall be given the same choice of alternate consideration. In the event of certain transactions that are not within the Company’s control, such as a merger, consolidation, tender offer, reorganization, or other change in control of the Company, each holder of a 2023 Warrant shall be entitled to receive the same form of consideration at the Black Scholes value of the unexercised portion of the 2023 Warrant that is being offered and paid to holders of common stock, including the option to exercise the 2023 Warrants on a “cashless basis.”</w:t>
      </w:r>
    </w:p>
    <w:p>
      <w:pPr>
        <w:spacing w:after="0" w:line="16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If the Company issues additional shares of common stock or equity-linked securities for a consideration per share less than the Exercise Price, then such Exercise Price will be reduced to a new lower price pursuant to the terms of the 2023 Warrants. Additionally, if the Exercise Price of any outstanding derivative securities is modified by the Company such that such security’s modified exercise price is below the Exercise Price, the Exercise Price will adjust downward pursuant to the terms of the 2023 Warrant. This provision would not apply for stock or stock equivalents which fall under shares that qualify for exempt issuance, such as if the Company adjusted the option exercise price for an option granted to an employee, officer, or director.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Warrant Liability, continued</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Company accounted for the 2023 Warrants in accordance with the derivative guidance contained in ASC 815-40, as the warrants did not meet the criteria for equity treatment. The Company believes that the adjustments to the Exercise Price is based on a variable that is not an input to the fair value of a “fixed-for-fixed” option as defined under ASC 815-40, and thus the 2023 Warrants are not eligible for an exception from derivative accounting. As such, the 2023 Warrants were initially measured at fair value and recorded as a liability in the amount of $3.1 million. The Company recorded a change in fair value of the warrant liability of a decrease of $0.3 million for both the years ended December 31, 2025 and 2024. As of December 31, 2025, the 2023 Warrants had been fully exercised in the Concurrent Warrant Exercise Transaction, eliminating the recorded warrant liability. See Note 15 - Fair Value Measurements for details on changes of fair value of the warrant liability.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Fair Value Measurements</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assets and liabilities that are measured at fair value on a recurring basis as of December 31, 2025 and 2024 and indicate the fair value hierarchy of the valuation inputs utilized to determine such fair value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10"/>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Balance as of December 31, 2025</w:t>
            </w:r>
          </w:p>
        </w:tc>
        <w:tc>
          <w:tcPr>
            <w:tcW w:w="6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258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2"/>
                <w:szCs w:val="12"/>
                <w:color w:val="auto"/>
              </w:rPr>
            </w:pPr>
          </w:p>
        </w:tc>
        <w:tc>
          <w:tcPr>
            <w:tcW w:w="32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40" w:type="dxa"/>
            <w:vAlign w:val="bottom"/>
          </w:tcPr>
          <w:p>
            <w:pPr>
              <w:spacing w:after="0"/>
              <w:rPr>
                <w:sz w:val="12"/>
                <w:szCs w:val="12"/>
                <w:color w:val="auto"/>
              </w:rPr>
            </w:pPr>
          </w:p>
        </w:tc>
        <w:tc>
          <w:tcPr>
            <w:tcW w:w="34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10,401</w:t>
            </w:r>
          </w:p>
        </w:tc>
        <w:tc>
          <w:tcPr>
            <w:tcW w:w="8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10,401</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2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36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10"/>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6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258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2"/>
                <w:szCs w:val="12"/>
                <w:color w:val="auto"/>
              </w:rPr>
            </w:pPr>
          </w:p>
        </w:tc>
        <w:tc>
          <w:tcPr>
            <w:tcW w:w="32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40" w:type="dxa"/>
            <w:vAlign w:val="bottom"/>
          </w:tcPr>
          <w:p>
            <w:pPr>
              <w:spacing w:after="0"/>
              <w:rPr>
                <w:sz w:val="12"/>
                <w:szCs w:val="12"/>
                <w:color w:val="auto"/>
              </w:rPr>
            </w:pPr>
          </w:p>
        </w:tc>
        <w:tc>
          <w:tcPr>
            <w:tcW w:w="34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8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2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transfers among Level 1, Level 2, or Level 3 categories during the periods presented.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Warrants</w:t>
      </w:r>
    </w:p>
    <w:p>
      <w:pPr>
        <w:spacing w:after="0" w:line="229" w:lineRule="exact"/>
        <w:rPr>
          <w:sz w:val="20"/>
          <w:szCs w:val="20"/>
          <w:color w:val="auto"/>
        </w:rPr>
      </w:pPr>
    </w:p>
    <w:p>
      <w:pPr>
        <w:jc w:val="both"/>
        <w:ind w:right="360" w:firstLine="648"/>
        <w:spacing w:after="0" w:line="261" w:lineRule="auto"/>
        <w:rPr>
          <w:sz w:val="20"/>
          <w:szCs w:val="20"/>
          <w:color w:val="auto"/>
        </w:rPr>
      </w:pPr>
      <w:r>
        <w:rPr>
          <w:rFonts w:ascii="Times New Roman" w:cs="Times New Roman" w:eastAsia="Times New Roman" w:hAnsi="Times New Roman"/>
          <w:sz w:val="18"/>
          <w:szCs w:val="18"/>
          <w:color w:val="auto"/>
        </w:rPr>
        <w:t>The Company utilized a Monte Carlo simulation model for the 2023 Warrants at each reporting period, with changes in fair value recognized in the statements of operations. The estimated fair value of the 2023 Warrant liability was determined using Level 3 inputs. Inherent in a Monte Carlo simulation model are assumptions related to expected share-price volatility, expected life, risk-free interest rate, and dividend yield.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key inputs into the Monte Carlo simulation model for the 2023 Warrants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vMerge w:val="restart"/>
          </w:tcPr>
          <w:p>
            <w:pPr>
              <w:ind w:left="658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September 11,</w:t>
            </w:r>
          </w:p>
        </w:tc>
        <w:tc>
          <w:tcPr>
            <w:tcW w:w="340" w:type="dxa"/>
            <w:vAlign w:val="bottom"/>
            <w:gridSpan w:val="2"/>
            <w:vMerge w:val="restart"/>
          </w:tcPr>
          <w:p>
            <w:pPr>
              <w:jc w:val="right"/>
              <w:ind w:right="76"/>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73"/>
        </w:trPr>
        <w:tc>
          <w:tcPr>
            <w:tcW w:w="6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2025 (exercise date)</w:t>
            </w:r>
          </w:p>
        </w:tc>
        <w:tc>
          <w:tcPr>
            <w:tcW w:w="340" w:type="dxa"/>
            <w:vAlign w:val="bottom"/>
            <w:gridSpan w:val="2"/>
            <w:vMerge w:val="continue"/>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5"/>
                <w:szCs w:val="15"/>
                <w:color w:val="auto"/>
              </w:rPr>
            </w:pP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6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(in years)</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00" w:type="dxa"/>
            <w:vAlign w:val="bottom"/>
          </w:tcPr>
          <w:p>
            <w:pPr>
              <w:spacing w:after="0"/>
              <w:rPr>
                <w:sz w:val="18"/>
                <w:szCs w:val="18"/>
                <w:color w:val="auto"/>
              </w:rPr>
            </w:pP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140 %</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3.5 %</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00" w:type="dxa"/>
            <w:vAlign w:val="bottom"/>
          </w:tcPr>
          <w:p>
            <w:pPr>
              <w:spacing w:after="0"/>
              <w:rPr>
                <w:sz w:val="20"/>
                <w:szCs w:val="20"/>
                <w:color w:val="auto"/>
              </w:rPr>
            </w:pP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6"/>
        </w:trPr>
        <w:tc>
          <w:tcPr>
            <w:tcW w:w="6700" w:type="dxa"/>
            <w:vAlign w:val="bottom"/>
          </w:tcPr>
          <w:p>
            <w:pPr>
              <w:ind w:left="488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6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80" w:top="513" w:right="9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Fair Value Measurements, continued</w:t>
      </w:r>
    </w:p>
    <w:p>
      <w:pPr>
        <w:spacing w:after="0" w:line="22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decrease in the fair value of the 2023 Warrant liability was determined to be $0.3 million during both the years ended December 31, 2025 and 2024 (see Note 14 – Warrant Liability).</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3780" w:type="dxa"/>
            <w:vAlign w:val="bottom"/>
            <w:gridSpan w:val="8"/>
          </w:tcPr>
          <w:p>
            <w:pPr>
              <w:ind w:left="16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20"/>
        </w:trPr>
        <w:tc>
          <w:tcPr>
            <w:tcW w:w="4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142"/>
        </w:trPr>
        <w:tc>
          <w:tcPr>
            <w:tcW w:w="4160" w:type="dxa"/>
            <w:vAlign w:val="bottom"/>
          </w:tcPr>
          <w:p>
            <w:pPr>
              <w:spacing w:after="0"/>
              <w:rPr>
                <w:sz w:val="12"/>
                <w:szCs w:val="12"/>
                <w:color w:val="auto"/>
              </w:rPr>
            </w:pPr>
          </w:p>
        </w:tc>
        <w:tc>
          <w:tcPr>
            <w:tcW w:w="1880" w:type="dxa"/>
            <w:vAlign w:val="bottom"/>
            <w:gridSpan w:val="3"/>
          </w:tcPr>
          <w:p>
            <w:pPr>
              <w:ind w:left="16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gridSpan w:val="3"/>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value</w:t>
            </w:r>
          </w:p>
        </w:tc>
        <w:tc>
          <w:tcPr>
            <w:tcW w:w="16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value of warrant liability</w:t>
            </w: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exercised</w:t>
            </w: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Ending value</w:t>
            </w: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0"/>
        </w:trPr>
        <w:tc>
          <w:tcPr>
            <w:tcW w:w="4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Employee Benefit Plan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administers a 401(K) retirement plan (the “401(K) Plan”) in which all employees are eligible to participate. Each eligible employee may elect to contribute to the 401(K) Plan. During the years ended December 31, 2025 and 2024, the Company made matching contributions of $159,000 and $98,000,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Subsequent Events</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From January 2, 2026 to March 23, 2026, the Company settled sales of 3,299,728 shares of common stock for net proceeds of approximately $31.9 million under the ATM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 15(e) and 15d 15(e) under the Exchange Act, that are designed to provide reasonable assurance that information required to be disclosed by us in the reports that we file or submit under the Exchange Act is recorded, processed, summarized and reported within the time periods specified in the SEC rules and regulations, and that such information is accumulated and communicated to our management, including our principal executive officer and principal financial officer, as appropriate, to allow timely decisions regarding required financial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9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Based on their evaluation, our principal executive officer and principal financial officer concluded that our disclosure controls and procedures were effective as of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Exchange Act Rule 13a-15(f). Internal control over financial reporting is a process used to provide reasonable assurance regarding the reliability of our financial reporting and the preparation of our financial statements for external purposes in accordance with generally accepted accounting principles in the United States. Internal control over financial reporting includes policies and procedures that pertain to the maintenance of records that in reasonable detail accurately and fairly reflect the transactions and dispositions of our assets; provide reasonable assurance that transactions are recorded as necessary to permit preparation of our financial statements in accordance with generally accepted accounting principles in the United States, and that our receipts and expenditures are being made only in accordance with the authorization of our Board of Directors and management; and provide reasonable assurance regarding prevention or timely detection of unauthorized acquisition, use or disposition of our assets that could have a material effect on our financial statements.</w:t>
      </w:r>
    </w:p>
    <w:p>
      <w:pPr>
        <w:spacing w:after="0" w:line="194"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An internal control system over financial reporting has inherent limitations and may not prevent or detect misstatements.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 However, these inherent limitations are known features of the financial reporting process. Therefore, it is possible to design into the process safeguards to reduce, though not eliminate, this risk.</w:t>
      </w:r>
    </w:p>
    <w:p>
      <w:pPr>
        <w:spacing w:after="0" w:line="18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Our management, under the supervision of and with the participation of our principal executive officer and principal financial officer, have assessed the effectiveness of our internal control over financial reporting as of December 31, 2025 based on criteria for effective control over financial reporting described in Internal Control — </w:t>
      </w:r>
      <w:r>
        <w:rPr>
          <w:rFonts w:ascii="Times New Roman" w:cs="Times New Roman" w:eastAsia="Times New Roman" w:hAnsi="Times New Roman"/>
          <w:sz w:val="18"/>
          <w:szCs w:val="18"/>
          <w:i w:val="1"/>
          <w:iCs w:val="1"/>
          <w:color w:val="auto"/>
        </w:rPr>
        <w:t>Integrated Framework</w:t>
      </w:r>
      <w:r>
        <w:rPr>
          <w:rFonts w:ascii="Times New Roman" w:cs="Times New Roman" w:eastAsia="Times New Roman" w:hAnsi="Times New Roman"/>
          <w:sz w:val="18"/>
          <w:szCs w:val="18"/>
          <w:color w:val="auto"/>
        </w:rPr>
        <w:t xml:space="preserve"> (2013) created by the Committee of Sponsoring Organizations of the Treadway Commission (COSO). Based on this assessment, the Company’s management concluded that our internal controls over financial reporting were effective as of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2025, there were no changes in our internal control over financial reporting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Controls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a company have been detected. Our disclosure controls and procedures are designed to provide reasonable assurance of achieving its objectives. Our principal executive and principal financial and accounting officer concluded that our disclosure controls and procedures are effective at that reasonable assurance level.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jc w:val="both"/>
        <w:ind w:right="24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2025, no director or officer of the Company adopted, modified or terminated a “Rule 10b5-1 trading arrangement” or “non-Rule 10b5-1 trading arrangement” as each term is defined in Item 408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Disclosures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relating to our 2026 Annual Meeting of Stockholders, to be filed no later than 120 days after December 31, 2025,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relating to our 2026 Annual Meeting of Stockholders, to be filed no later than 120 days after December 31, 2025,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Stockholders Matters.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relating to our 2026 Annual Meeting of Stockholders, to be filed no later than 120 days after December 31, 2025,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relating to our 2026 Annual Meeting of Stockholders, to be filed no later than 120 days after December 31, 2025,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relating to our 2026 Annual Meeting of Stockholders, to be filed no later than 120 days after December 31, 2025,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Statements and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List of documents filed as part of this report:</w:t>
      </w:r>
    </w:p>
    <w:p>
      <w:pPr>
        <w:spacing w:after="0" w:line="225"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(see “Financial Statements and Supplementary Data” at Part II, Item 8 and incorporated herein by reference).</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(Schedules to the Financial Statements have been omitted because the information required to be set forth therein is not applicable or is shown in the accompanying Financial Statements or notes thereto)</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00"/>
          </w:cols>
          <w:pgMar w:left="980" w:top="513" w:right="11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4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400" w:type="dxa"/>
            <w:vAlign w:val="bottom"/>
            <w:gridSpan w:val="24"/>
          </w:tcPr>
          <w:p>
            <w:pPr>
              <w:ind w:left="30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r>
      <w:tr>
        <w:trPr>
          <w:trHeight w:val="398"/>
        </w:trPr>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60" w:type="dxa"/>
            <w:vAlign w:val="bottom"/>
          </w:tcPr>
          <w:p>
            <w:pPr>
              <w:spacing w:after="0"/>
              <w:rPr>
                <w:sz w:val="24"/>
                <w:szCs w:val="24"/>
                <w:color w:val="auto"/>
              </w:rPr>
            </w:pPr>
          </w:p>
        </w:tc>
        <w:tc>
          <w:tcPr>
            <w:tcW w:w="8680" w:type="dxa"/>
            <w:vAlign w:val="bottom"/>
            <w:tcBorders>
              <w:top w:val="single" w:sz="8" w:color="auto"/>
            </w:tcBorders>
            <w:gridSpan w:val="28"/>
          </w:tcPr>
          <w:p>
            <w:pPr>
              <w:spacing w:after="0"/>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Second Amended and Restated Certificate of Incorporation of Energous Corporation, as amended (incorporated by</w:t>
              </w:r>
            </w:hyperlink>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30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reference to Exhibit 3.1 to the Registrant’s Quarterly Report on Form 10-Q filed on August 10, 2020)</w:t>
              </w:r>
            </w:hyperlink>
          </w:p>
        </w:tc>
        <w:tc>
          <w:tcPr>
            <w:tcW w:w="960" w:type="dxa"/>
            <w:vAlign w:val="bottom"/>
            <w:tcBorders>
              <w:top w:val="single" w:sz="8" w:color="0000EE"/>
            </w:tcBorders>
            <w:gridSpan w:val="6"/>
          </w:tcPr>
          <w:p>
            <w:pPr>
              <w:spacing w:after="0"/>
              <w:rPr>
                <w:sz w:val="17"/>
                <w:szCs w:val="17"/>
                <w:color w:val="auto"/>
              </w:rPr>
            </w:pPr>
          </w:p>
        </w:tc>
        <w:tc>
          <w:tcPr>
            <w:tcW w:w="420" w:type="dxa"/>
            <w:vAlign w:val="bottom"/>
            <w:gridSpan w:val="12"/>
          </w:tcPr>
          <w:p>
            <w:pPr>
              <w:spacing w:after="0"/>
              <w:rPr>
                <w:sz w:val="17"/>
                <w:szCs w:val="17"/>
                <w:color w:val="auto"/>
              </w:rPr>
            </w:pPr>
          </w:p>
        </w:tc>
      </w:tr>
      <w:tr>
        <w:trPr>
          <w:trHeight w:val="412"/>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60" w:type="dxa"/>
            <w:vAlign w:val="bottom"/>
          </w:tcPr>
          <w:p>
            <w:pPr>
              <w:spacing w:after="0"/>
              <w:rPr>
                <w:sz w:val="24"/>
                <w:szCs w:val="24"/>
                <w:color w:val="auto"/>
              </w:rPr>
            </w:pPr>
          </w:p>
        </w:tc>
        <w:tc>
          <w:tcPr>
            <w:tcW w:w="850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Certificate of Amendment to the Second Amended and Restated Certificate of Incorporation of Energous Corporation</w:t>
              </w:r>
            </w:hyperlink>
          </w:p>
        </w:tc>
        <w:tc>
          <w:tcPr>
            <w:tcW w:w="180" w:type="dxa"/>
            <w:vAlign w:val="bottom"/>
            <w:gridSpan w:val="6"/>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3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(incorporated by reference to Exhibit 3.1 to the Registrant’s Current Report on Form 8-K filed on August 15, 2023)</w:t>
              </w:r>
            </w:hyperlink>
          </w:p>
        </w:tc>
        <w:tc>
          <w:tcPr>
            <w:tcW w:w="360" w:type="dxa"/>
            <w:vAlign w:val="bottom"/>
            <w:gridSpan w:val="10"/>
          </w:tcPr>
          <w:p>
            <w:pPr>
              <w:spacing w:after="0"/>
              <w:rPr>
                <w:sz w:val="17"/>
                <w:szCs w:val="17"/>
                <w:color w:val="auto"/>
              </w:rPr>
            </w:pPr>
          </w:p>
        </w:tc>
      </w:tr>
      <w:tr>
        <w:trPr>
          <w:trHeight w:val="412"/>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60" w:type="dxa"/>
            <w:vAlign w:val="bottom"/>
          </w:tcPr>
          <w:p>
            <w:pPr>
              <w:spacing w:after="0"/>
              <w:rPr>
                <w:sz w:val="24"/>
                <w:szCs w:val="24"/>
                <w:color w:val="auto"/>
              </w:rPr>
            </w:pPr>
          </w:p>
        </w:tc>
        <w:tc>
          <w:tcPr>
            <w:tcW w:w="850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Certificate of Amendment to the Second Amended and Restated Certificate of Incorporation of Energous Corporation</w:t>
              </w:r>
            </w:hyperlink>
          </w:p>
        </w:tc>
        <w:tc>
          <w:tcPr>
            <w:tcW w:w="180" w:type="dxa"/>
            <w:vAlign w:val="bottom"/>
            <w:gridSpan w:val="6"/>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3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(incorporated by reference to Exhibit 3.1 to the Registrant’s Current Report on Form 8-K filed on August 11, 2025)</w:t>
              </w:r>
            </w:hyperlink>
          </w:p>
        </w:tc>
        <w:tc>
          <w:tcPr>
            <w:tcW w:w="380" w:type="dxa"/>
            <w:vAlign w:val="bottom"/>
            <w:gridSpan w:val="11"/>
          </w:tcPr>
          <w:p>
            <w:pPr>
              <w:spacing w:after="0"/>
              <w:rPr>
                <w:sz w:val="17"/>
                <w:szCs w:val="17"/>
                <w:color w:val="auto"/>
              </w:rPr>
            </w:pPr>
          </w:p>
        </w:tc>
      </w:tr>
      <w:tr>
        <w:trPr>
          <w:trHeight w:val="412"/>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60" w:type="dxa"/>
            <w:vAlign w:val="bottom"/>
          </w:tcPr>
          <w:p>
            <w:pPr>
              <w:spacing w:after="0"/>
              <w:rPr>
                <w:sz w:val="24"/>
                <w:szCs w:val="24"/>
                <w:color w:val="auto"/>
              </w:rPr>
            </w:pPr>
          </w:p>
        </w:tc>
        <w:tc>
          <w:tcPr>
            <w:tcW w:w="8680" w:type="dxa"/>
            <w:vAlign w:val="bottom"/>
            <w:gridSpan w:val="28"/>
          </w:tcPr>
          <w:p>
            <w:pPr>
              <w:spacing w:after="0"/>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Second Amended and Restated Bylaws of Energous Corporation (incorporated by reference to Exhibit 3.1 to the</w:t>
              </w:r>
            </w:hyperlink>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Current Report on Form 8-K filed on April 11, 2025)</w:t>
              </w:r>
            </w:hyperlink>
          </w:p>
        </w:tc>
        <w:tc>
          <w:tcPr>
            <w:tcW w:w="4260" w:type="dxa"/>
            <w:vAlign w:val="bottom"/>
            <w:tcBorders>
              <w:top w:val="single" w:sz="8" w:color="0000EE"/>
            </w:tcBorders>
            <w:gridSpan w:val="8"/>
          </w:tcPr>
          <w:p>
            <w:pPr>
              <w:spacing w:after="0"/>
              <w:rPr>
                <w:sz w:val="17"/>
                <w:szCs w:val="17"/>
                <w:color w:val="auto"/>
              </w:rPr>
            </w:pPr>
          </w:p>
        </w:tc>
        <w:tc>
          <w:tcPr>
            <w:tcW w:w="600" w:type="dxa"/>
            <w:vAlign w:val="bottom"/>
            <w:gridSpan w:val="14"/>
          </w:tcPr>
          <w:p>
            <w:pPr>
              <w:spacing w:after="0"/>
              <w:rPr>
                <w:sz w:val="17"/>
                <w:szCs w:val="17"/>
                <w:color w:val="auto"/>
              </w:rPr>
            </w:pPr>
          </w:p>
        </w:tc>
      </w:tr>
      <w:tr>
        <w:trPr>
          <w:trHeight w:val="412"/>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60" w:type="dxa"/>
            <w:vAlign w:val="bottom"/>
          </w:tcPr>
          <w:p>
            <w:pPr>
              <w:spacing w:after="0"/>
              <w:rPr>
                <w:sz w:val="24"/>
                <w:szCs w:val="24"/>
                <w:color w:val="auto"/>
              </w:rPr>
            </w:pPr>
          </w:p>
        </w:tc>
        <w:tc>
          <w:tcPr>
            <w:tcW w:w="8680" w:type="dxa"/>
            <w:vAlign w:val="bottom"/>
            <w:gridSpan w:val="28"/>
          </w:tcPr>
          <w:p>
            <w:pPr>
              <w:spacing w:after="0"/>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Specimen Certificate representing shares of common stock of Energous Corporation (incorporated by reference to</w:t>
              </w:r>
            </w:hyperlink>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80" w:type="dxa"/>
            <w:vAlign w:val="bottom"/>
            <w:gridSpan w:val="28"/>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Exhibit 4.1 to Amendment No. 2 to the Registrant’s Registration Statement on Form S-1/A (File No. 333-193522) filed</w:t>
              </w:r>
            </w:hyperlink>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8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on March 21, 2014)</w:t>
              </w:r>
            </w:hyperlink>
          </w:p>
        </w:tc>
        <w:tc>
          <w:tcPr>
            <w:tcW w:w="3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4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60" w:type="dxa"/>
            <w:vAlign w:val="bottom"/>
          </w:tcPr>
          <w:p>
            <w:pPr>
              <w:spacing w:after="0"/>
              <w:rPr>
                <w:sz w:val="24"/>
                <w:szCs w:val="24"/>
                <w:color w:val="auto"/>
              </w:rPr>
            </w:pPr>
          </w:p>
        </w:tc>
        <w:tc>
          <w:tcPr>
            <w:tcW w:w="30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Description of the Registrant’s Securities+</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2"/>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60" w:type="dxa"/>
            <w:vAlign w:val="bottom"/>
          </w:tcPr>
          <w:p>
            <w:pPr>
              <w:spacing w:after="0"/>
              <w:rPr>
                <w:sz w:val="24"/>
                <w:szCs w:val="24"/>
                <w:color w:val="auto"/>
              </w:rPr>
            </w:pPr>
          </w:p>
        </w:tc>
        <w:tc>
          <w:tcPr>
            <w:tcW w:w="8680" w:type="dxa"/>
            <w:vAlign w:val="bottom"/>
            <w:gridSpan w:val="28"/>
          </w:tcPr>
          <w:p>
            <w:pPr>
              <w:spacing w:after="0"/>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Form of 2025 Pre-Funded Common Stock Purchase Warrant (incorporated by reference to Exhibit 4.1 to the</w:t>
              </w:r>
            </w:hyperlink>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1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Registrant’s Current Report on Form 8-K filed on September 11, 2025)</w:t>
              </w:r>
            </w:hyperlink>
          </w:p>
        </w:tc>
        <w:tc>
          <w:tcPr>
            <w:tcW w:w="2660" w:type="dxa"/>
            <w:vAlign w:val="bottom"/>
            <w:tcBorders>
              <w:top w:val="single" w:sz="8" w:color="0000EE"/>
            </w:tcBorders>
            <w:gridSpan w:val="6"/>
          </w:tcPr>
          <w:p>
            <w:pPr>
              <w:spacing w:after="0"/>
              <w:rPr>
                <w:sz w:val="17"/>
                <w:szCs w:val="17"/>
                <w:color w:val="auto"/>
              </w:rPr>
            </w:pPr>
          </w:p>
        </w:tc>
        <w:tc>
          <w:tcPr>
            <w:tcW w:w="900" w:type="dxa"/>
            <w:vAlign w:val="bottom"/>
            <w:gridSpan w:val="15"/>
          </w:tcPr>
          <w:p>
            <w:pPr>
              <w:spacing w:after="0"/>
              <w:rPr>
                <w:sz w:val="17"/>
                <w:szCs w:val="17"/>
                <w:color w:val="auto"/>
              </w:rPr>
            </w:pPr>
          </w:p>
        </w:tc>
      </w:tr>
      <w:tr>
        <w:trPr>
          <w:trHeight w:val="412"/>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60" w:type="dxa"/>
            <w:vAlign w:val="bottom"/>
          </w:tcPr>
          <w:p>
            <w:pPr>
              <w:spacing w:after="0"/>
              <w:rPr>
                <w:sz w:val="24"/>
                <w:szCs w:val="24"/>
                <w:color w:val="auto"/>
              </w:rPr>
            </w:pPr>
          </w:p>
        </w:tc>
        <w:tc>
          <w:tcPr>
            <w:tcW w:w="8680" w:type="dxa"/>
            <w:vAlign w:val="bottom"/>
            <w:gridSpan w:val="28"/>
          </w:tcPr>
          <w:p>
            <w:pPr>
              <w:spacing w:after="0"/>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Form of 2025 Common Stock Purchase Warrant (incorporated by reference to Exhibit 4.2 to the Registrant’s Current</w:t>
              </w:r>
            </w:hyperlink>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Report on Form 8-K filed on September 11, 2025)</w:t>
              </w:r>
            </w:hyperlink>
          </w:p>
        </w:tc>
        <w:tc>
          <w:tcPr>
            <w:tcW w:w="4780" w:type="dxa"/>
            <w:vAlign w:val="bottom"/>
            <w:tcBorders>
              <w:top w:val="single" w:sz="8" w:color="0000EE"/>
            </w:tcBorders>
            <w:gridSpan w:val="14"/>
          </w:tcPr>
          <w:p>
            <w:pPr>
              <w:spacing w:after="0"/>
              <w:rPr>
                <w:sz w:val="17"/>
                <w:szCs w:val="17"/>
                <w:color w:val="auto"/>
              </w:rPr>
            </w:pPr>
          </w:p>
        </w:tc>
        <w:tc>
          <w:tcPr>
            <w:tcW w:w="280" w:type="dxa"/>
            <w:vAlign w:val="bottom"/>
            <w:gridSpan w:val="9"/>
          </w:tcPr>
          <w:p>
            <w:pPr>
              <w:spacing w:after="0"/>
              <w:rPr>
                <w:sz w:val="17"/>
                <w:szCs w:val="17"/>
                <w:color w:val="auto"/>
              </w:rPr>
            </w:pPr>
          </w:p>
        </w:tc>
      </w:tr>
      <w:tr>
        <w:trPr>
          <w:trHeight w:val="412"/>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60" w:type="dxa"/>
            <w:vAlign w:val="bottom"/>
          </w:tcPr>
          <w:p>
            <w:pPr>
              <w:spacing w:after="0"/>
              <w:rPr>
                <w:sz w:val="24"/>
                <w:szCs w:val="24"/>
                <w:color w:val="auto"/>
              </w:rPr>
            </w:pPr>
          </w:p>
        </w:tc>
        <w:tc>
          <w:tcPr>
            <w:tcW w:w="858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Form of 2025 Offering Placement Agent Common Stock Purchase Warrant (incorporated by reference to Exhibit 4.3 to</w:t>
              </w:r>
            </w:hyperlink>
          </w:p>
        </w:tc>
        <w:tc>
          <w:tcPr>
            <w:tcW w:w="100" w:type="dxa"/>
            <w:vAlign w:val="bottom"/>
            <w:gridSpan w:val="2"/>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the Registrant’s Current Report on Form 8-K filed on September 11, 2025)</w:t>
              </w:r>
            </w:hyperlink>
          </w:p>
        </w:tc>
        <w:tc>
          <w:tcPr>
            <w:tcW w:w="3300" w:type="dxa"/>
            <w:vAlign w:val="bottom"/>
            <w:gridSpan w:val="20"/>
          </w:tcPr>
          <w:p>
            <w:pPr>
              <w:spacing w:after="0"/>
              <w:rPr>
                <w:sz w:val="17"/>
                <w:szCs w:val="17"/>
                <w:color w:val="auto"/>
              </w:rPr>
            </w:pPr>
          </w:p>
        </w:tc>
      </w:tr>
      <w:tr>
        <w:trPr>
          <w:trHeight w:val="412"/>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160" w:type="dxa"/>
            <w:vAlign w:val="bottom"/>
          </w:tcPr>
          <w:p>
            <w:pPr>
              <w:spacing w:after="0"/>
              <w:rPr>
                <w:sz w:val="24"/>
                <w:szCs w:val="24"/>
                <w:color w:val="auto"/>
              </w:rPr>
            </w:pPr>
          </w:p>
        </w:tc>
        <w:tc>
          <w:tcPr>
            <w:tcW w:w="842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Form of 2025 Warrant Inducement Common Stock Purchase Warrant (incorporated by reference to Exhibit 4.4 to the</w:t>
              </w:r>
            </w:hyperlink>
          </w:p>
        </w:tc>
        <w:tc>
          <w:tcPr>
            <w:tcW w:w="260" w:type="dxa"/>
            <w:vAlign w:val="bottom"/>
            <w:gridSpan w:val="8"/>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1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Registrant’s Current Report on Form 8-K filed on September 11, 2025)</w:t>
              </w:r>
            </w:hyperlink>
          </w:p>
        </w:tc>
        <w:tc>
          <w:tcPr>
            <w:tcW w:w="3560" w:type="dxa"/>
            <w:vAlign w:val="bottom"/>
            <w:gridSpan w:val="21"/>
          </w:tcPr>
          <w:p>
            <w:pPr>
              <w:spacing w:after="0"/>
              <w:rPr>
                <w:sz w:val="17"/>
                <w:szCs w:val="17"/>
                <w:color w:val="auto"/>
              </w:rPr>
            </w:pPr>
          </w:p>
        </w:tc>
      </w:tr>
      <w:tr>
        <w:trPr>
          <w:trHeight w:val="412"/>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4.7</w:t>
            </w:r>
          </w:p>
        </w:tc>
        <w:tc>
          <w:tcPr>
            <w:tcW w:w="160" w:type="dxa"/>
            <w:vAlign w:val="bottom"/>
          </w:tcPr>
          <w:p>
            <w:pPr>
              <w:spacing w:after="0"/>
              <w:rPr>
                <w:sz w:val="24"/>
                <w:szCs w:val="24"/>
                <w:color w:val="auto"/>
              </w:rPr>
            </w:pPr>
          </w:p>
        </w:tc>
        <w:tc>
          <w:tcPr>
            <w:tcW w:w="858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Form of Warrant Inducement Placement Agent Common Stock Purchase Warrant (incorporated by reference to Exhibit</w:t>
              </w:r>
            </w:hyperlink>
          </w:p>
        </w:tc>
        <w:tc>
          <w:tcPr>
            <w:tcW w:w="100" w:type="dxa"/>
            <w:vAlign w:val="bottom"/>
            <w:gridSpan w:val="3"/>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4.</w:t>
              </w:r>
              <w:r>
                <w:rPr>
                  <w:rFonts w:ascii="Times New Roman" w:cs="Times New Roman" w:eastAsia="Times New Roman" w:hAnsi="Times New Roman"/>
                  <w:sz w:val="18"/>
                  <w:szCs w:val="18"/>
                  <w:u w:val="single" w:color="auto"/>
                  <w:color w:val="0000EE"/>
                  <w:w w:val="99"/>
                </w:rPr>
                <w:t>5</w:t>
              </w:r>
              <w:r>
                <w:rPr>
                  <w:rFonts w:ascii="Times New Roman" w:cs="Times New Roman" w:eastAsia="Times New Roman" w:hAnsi="Times New Roman"/>
                  <w:sz w:val="18"/>
                  <w:szCs w:val="18"/>
                  <w:color w:val="0000EE"/>
                  <w:w w:val="99"/>
                </w:rPr>
                <w:t xml:space="preserve"> to the Registrant’s Current Report on Form 8-K filed on September 11, 2025)</w:t>
              </w:r>
            </w:hyperlink>
          </w:p>
        </w:tc>
        <w:tc>
          <w:tcPr>
            <w:tcW w:w="2840" w:type="dxa"/>
            <w:vAlign w:val="bottom"/>
            <w:gridSpan w:val="19"/>
          </w:tcPr>
          <w:p>
            <w:pPr>
              <w:spacing w:after="0"/>
              <w:rPr>
                <w:sz w:val="17"/>
                <w:szCs w:val="17"/>
                <w:color w:val="auto"/>
              </w:rPr>
            </w:pPr>
          </w:p>
        </w:tc>
      </w:tr>
      <w:tr>
        <w:trPr>
          <w:trHeight w:val="412"/>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4"/>
                <w:szCs w:val="24"/>
                <w:color w:val="auto"/>
              </w:rPr>
            </w:pPr>
          </w:p>
        </w:tc>
        <w:tc>
          <w:tcPr>
            <w:tcW w:w="8680" w:type="dxa"/>
            <w:vAlign w:val="bottom"/>
            <w:gridSpan w:val="28"/>
          </w:tcPr>
          <w:p>
            <w:pPr>
              <w:spacing w:after="0"/>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Form of Indemnity Agreement (incorporated by reference to Exhibit 10.1 to the Registrant’s Quarterly Report on Form</w:t>
              </w:r>
            </w:hyperlink>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10-Q filed on August 10, 2021)*</w:t>
              </w:r>
            </w:hyperlink>
          </w:p>
        </w:tc>
        <w:tc>
          <w:tcPr>
            <w:tcW w:w="920" w:type="dxa"/>
            <w:vAlign w:val="bottom"/>
            <w:tcBorders>
              <w:top w:val="single" w:sz="8" w:color="0000EE"/>
            </w:tcBorders>
            <w:gridSpan w:val="2"/>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4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12"/>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24"/>
                <w:szCs w:val="24"/>
                <w:color w:val="auto"/>
              </w:rPr>
            </w:pPr>
          </w:p>
        </w:tc>
        <w:tc>
          <w:tcPr>
            <w:tcW w:w="8680" w:type="dxa"/>
            <w:vAlign w:val="bottom"/>
            <w:gridSpan w:val="28"/>
          </w:tcPr>
          <w:p>
            <w:pPr>
              <w:spacing w:after="0"/>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Energous Corporation 2024 Equity Incentive Plan (incorporated by reference to Exhibit 10.1 to the Registrant’s Current</w:t>
              </w:r>
            </w:hyperlink>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8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Report on Form 8-K filed on June 13, 2025)*</w:t>
              </w:r>
            </w:hyperlink>
          </w:p>
        </w:tc>
        <w:tc>
          <w:tcPr>
            <w:tcW w:w="3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4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r>
      <w:tr>
        <w:trPr>
          <w:trHeight w:val="412"/>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24"/>
                <w:szCs w:val="24"/>
                <w:color w:val="auto"/>
              </w:rPr>
            </w:pPr>
          </w:p>
        </w:tc>
        <w:tc>
          <w:tcPr>
            <w:tcW w:w="8680" w:type="dxa"/>
            <w:vAlign w:val="bottom"/>
            <w:gridSpan w:val="28"/>
          </w:tcPr>
          <w:p>
            <w:pPr>
              <w:spacing w:after="0"/>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Form of Restricted Stock Unit Award Grant Notice and Agreement under 2024 Equity Incentive Plan (incorporated by</w:t>
              </w:r>
            </w:hyperlink>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38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reference to Exhibit 10.3 to the Registrar’s Annual Report on Form 10-K filed on February 27, 2025)*</w:t>
              </w:r>
            </w:hyperlink>
          </w:p>
        </w:tc>
        <w:tc>
          <w:tcPr>
            <w:tcW w:w="1140" w:type="dxa"/>
            <w:vAlign w:val="bottom"/>
            <w:tcBorders>
              <w:top w:val="single" w:sz="8" w:color="0000EE"/>
            </w:tcBorders>
            <w:gridSpan w:val="12"/>
          </w:tcPr>
          <w:p>
            <w:pPr>
              <w:spacing w:after="0"/>
              <w:rPr>
                <w:sz w:val="17"/>
                <w:szCs w:val="17"/>
                <w:color w:val="auto"/>
              </w:rPr>
            </w:pPr>
          </w:p>
        </w:tc>
        <w:tc>
          <w:tcPr>
            <w:tcW w:w="160" w:type="dxa"/>
            <w:vAlign w:val="bottom"/>
            <w:gridSpan w:val="5"/>
          </w:tcPr>
          <w:p>
            <w:pPr>
              <w:spacing w:after="0"/>
              <w:rPr>
                <w:sz w:val="17"/>
                <w:szCs w:val="17"/>
                <w:color w:val="auto"/>
              </w:rPr>
            </w:pPr>
          </w:p>
        </w:tc>
      </w:tr>
      <w:tr>
        <w:trPr>
          <w:trHeight w:val="412"/>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4"/>
                <w:szCs w:val="24"/>
                <w:color w:val="auto"/>
              </w:rPr>
            </w:pPr>
          </w:p>
        </w:tc>
        <w:tc>
          <w:tcPr>
            <w:tcW w:w="848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Burak Offer Letter by and between Energous Corporation and Mallorie Burak, dated December 1, 2023 (incorporated</w:t>
              </w:r>
            </w:hyperlink>
          </w:p>
        </w:tc>
        <w:tc>
          <w:tcPr>
            <w:tcW w:w="200" w:type="dxa"/>
            <w:vAlign w:val="bottom"/>
            <w:gridSpan w:val="7"/>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80" w:type="dxa"/>
            <w:vAlign w:val="bottom"/>
            <w:gridSpan w:val="28"/>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by reference to Exhibit 10.1 to the Registrant’s Current Report on Form 8-K filed on January 16, 2024)*</w:t>
              </w:r>
            </w:hyperlink>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500" w:type="dxa"/>
            <w:vAlign w:val="bottom"/>
            <w:gridSpan w:val="12"/>
            <w:shd w:val="clear" w:color="auto" w:fill="0000EE"/>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412"/>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24"/>
                <w:szCs w:val="24"/>
                <w:color w:val="auto"/>
              </w:rPr>
            </w:pPr>
          </w:p>
        </w:tc>
        <w:tc>
          <w:tcPr>
            <w:tcW w:w="8680" w:type="dxa"/>
            <w:vAlign w:val="bottom"/>
            <w:gridSpan w:val="28"/>
          </w:tcPr>
          <w:p>
            <w:pPr>
              <w:spacing w:after="0"/>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Severance and Change in Control Agreement, dated June 12, 2024, between Mallorie Burak and Energous Corporation</w:t>
              </w:r>
            </w:hyperlink>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56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(incorporated by reference to Exhibit 10.3 to the Registrant’s Current Report on Form 8-K filed on June 14, 2024)*</w:t>
              </w:r>
            </w:hyperlink>
          </w:p>
        </w:tc>
        <w:tc>
          <w:tcPr>
            <w:tcW w:w="120" w:type="dxa"/>
            <w:vAlign w:val="bottom"/>
            <w:gridSpan w:val="4"/>
          </w:tcPr>
          <w:p>
            <w:pPr>
              <w:spacing w:after="0"/>
              <w:rPr>
                <w:sz w:val="17"/>
                <w:szCs w:val="17"/>
                <w:color w:val="auto"/>
              </w:rPr>
            </w:pPr>
          </w:p>
        </w:tc>
      </w:tr>
      <w:tr>
        <w:trPr>
          <w:trHeight w:val="884"/>
        </w:trPr>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3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47"/>
        </w:trPr>
        <w:tc>
          <w:tcPr>
            <w:tcW w:w="1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6" w:lineRule="exact"/>
        <w:rPr>
          <w:sz w:val="20"/>
          <w:szCs w:val="20"/>
          <w:color w:val="auto"/>
        </w:rPr>
      </w:pPr>
    </w:p>
    <w:p>
      <w:pPr>
        <w:ind w:left="200"/>
        <w:spacing w:after="0"/>
        <w:tabs>
          <w:tab w:leader="none" w:pos="1120" w:val="left"/>
          <w:tab w:leader="none" w:pos="4800" w:val="left"/>
        </w:tabs>
        <w:rPr>
          <w:sz w:val="20"/>
          <w:szCs w:val="20"/>
          <w:color w:val="auto"/>
        </w:rPr>
      </w:pPr>
      <w:r>
        <w:rPr>
          <w:rFonts w:ascii="Times New Roman" w:cs="Times New Roman" w:eastAsia="Times New Roman" w:hAnsi="Times New Roman"/>
          <w:sz w:val="14"/>
          <w:szCs w:val="14"/>
          <w:b w:val="1"/>
          <w:bCs w:val="1"/>
          <w:color w:val="auto"/>
        </w:rPr>
        <w:t>Exhibit No.</w:t>
        <w:tab/>
        <w:t>​​​</w:t>
      </w:r>
      <w:r>
        <w:rPr>
          <w:sz w:val="20"/>
          <w:szCs w:val="20"/>
          <w:color w:val="auto"/>
        </w:rPr>
        <w:tab/>
      </w:r>
      <w:r>
        <w:rPr>
          <w:rFonts w:ascii="Times New Roman" w:cs="Times New Roman" w:eastAsia="Times New Roman" w:hAnsi="Times New Roman"/>
          <w:sz w:val="14"/>
          <w:szCs w:val="14"/>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62922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9" w:lineRule="exact"/>
        <w:rPr>
          <w:sz w:val="20"/>
          <w:szCs w:val="20"/>
          <w:color w:val="auto"/>
        </w:rPr>
      </w:pPr>
    </w:p>
    <w:p>
      <w:pPr>
        <w:jc w:val="both"/>
        <w:ind w:left="1240" w:right="40" w:hanging="852"/>
        <w:spacing w:after="0" w:line="261" w:lineRule="auto"/>
        <w:tabs>
          <w:tab w:leader="none" w:pos="12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10.6</w:t>
      </w:r>
      <w:r>
        <w:rPr>
          <w:sz w:val="20"/>
          <w:szCs w:val="20"/>
          <w:color w:val="auto"/>
        </w:rPr>
        <w:tab/>
      </w:r>
      <w:hyperlink r:id="rId102">
        <w:r>
          <w:rPr>
            <w:rFonts w:ascii="Times New Roman" w:cs="Times New Roman" w:eastAsia="Times New Roman" w:hAnsi="Times New Roman"/>
            <w:sz w:val="18"/>
            <w:szCs w:val="18"/>
            <w:u w:val="single" w:color="auto"/>
            <w:color w:val="0000EE"/>
          </w:rPr>
          <w:t>Second Amendment to lease dated September 22, 2021 by and between Energous Corporation and the Irvine Company,</w:t>
        </w:r>
      </w:hyperlink>
      <w:r>
        <w:rPr>
          <w:rFonts w:ascii="Times New Roman" w:cs="Times New Roman" w:eastAsia="Times New Roman" w:hAnsi="Times New Roman"/>
          <w:sz w:val="18"/>
          <w:szCs w:val="18"/>
          <w:u w:val="single" w:color="auto"/>
          <w:color w:val="0000EE"/>
        </w:rPr>
        <w:t xml:space="preserve"> </w:t>
      </w:r>
      <w:hyperlink r:id="rId102">
        <w:r>
          <w:rPr>
            <w:rFonts w:ascii="Times New Roman" w:cs="Times New Roman" w:eastAsia="Times New Roman" w:hAnsi="Times New Roman"/>
            <w:sz w:val="18"/>
            <w:szCs w:val="18"/>
            <w:u w:val="single" w:color="auto"/>
            <w:color w:val="0000EE"/>
          </w:rPr>
          <w:t>LLC (incorporated by reference to Exhibit 10.1 to the Registrant’s Current Report on Form 10-Q filed on November 15,</w:t>
        </w:r>
      </w:hyperlink>
      <w:r>
        <w:rPr>
          <w:rFonts w:ascii="Times New Roman" w:cs="Times New Roman" w:eastAsia="Times New Roman" w:hAnsi="Times New Roman"/>
          <w:sz w:val="18"/>
          <w:szCs w:val="18"/>
          <w:u w:val="single" w:color="auto"/>
          <w:color w:val="0000EE"/>
        </w:rPr>
        <w:t xml:space="preserve"> </w:t>
      </w:r>
      <w:hyperlink r:id="rId102">
        <w:r>
          <w:rPr>
            <w:rFonts w:ascii="Times New Roman" w:cs="Times New Roman" w:eastAsia="Times New Roman" w:hAnsi="Times New Roman"/>
            <w:sz w:val="18"/>
            <w:szCs w:val="18"/>
            <w:u w:val="single" w:color="auto"/>
            <w:color w:val="0000EE"/>
          </w:rPr>
          <w:t>2021)</w:t>
        </w:r>
      </w:hyperlink>
    </w:p>
    <w:p>
      <w:pPr>
        <w:spacing w:after="0" w:line="180" w:lineRule="exact"/>
        <w:rPr>
          <w:rFonts w:ascii="Times New Roman" w:cs="Times New Roman" w:eastAsia="Times New Roman" w:hAnsi="Times New Roman"/>
          <w:sz w:val="18"/>
          <w:szCs w:val="18"/>
          <w:u w:val="single" w:color="auto"/>
          <w:color w:val="0000EE"/>
        </w:rPr>
      </w:pPr>
    </w:p>
    <w:p>
      <w:pPr>
        <w:ind w:left="380"/>
        <w:spacing w:after="0"/>
        <w:tabs>
          <w:tab w:leader="none" w:pos="12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103">
        <w:r>
          <w:rPr>
            <w:rFonts w:ascii="Times New Roman" w:cs="Times New Roman" w:eastAsia="Times New Roman" w:hAnsi="Times New Roman"/>
            <w:sz w:val="17"/>
            <w:szCs w:val="17"/>
            <w:u w:val="single" w:color="auto"/>
            <w:color w:val="0000EE"/>
          </w:rPr>
          <w:t>At The Market Offering Agreement, dated June 21, 2024, by and between Energous Corporation and H.C. Wainwright</w:t>
        </w:r>
      </w:hyperlink>
    </w:p>
    <w:p>
      <w:pPr>
        <w:spacing w:after="0" w:line="27" w:lineRule="exact"/>
        <w:rPr>
          <w:rFonts w:ascii="Times New Roman" w:cs="Times New Roman" w:eastAsia="Times New Roman" w:hAnsi="Times New Roman"/>
          <w:sz w:val="18"/>
          <w:szCs w:val="18"/>
          <w:u w:val="single" w:color="auto"/>
          <w:color w:val="0000EE"/>
        </w:rPr>
      </w:pPr>
    </w:p>
    <w:p>
      <w:pPr>
        <w:ind w:left="1240" w:right="20" w:hanging="2"/>
        <w:spacing w:after="0" w:line="260" w:lineRule="auto"/>
        <w:tabs>
          <w:tab w:leader="none" w:pos="1425" w:val="left"/>
        </w:tabs>
        <w:numPr>
          <w:ilvl w:val="0"/>
          <w:numId w:val="32"/>
        </w:numPr>
        <w:rPr>
          <w:rFonts w:ascii="Times New Roman" w:cs="Times New Roman" w:eastAsia="Times New Roman" w:hAnsi="Times New Roman"/>
          <w:sz w:val="18"/>
          <w:szCs w:val="18"/>
          <w:u w:val="single" w:color="auto"/>
          <w:color w:val="0000EE"/>
        </w:rPr>
      </w:pPr>
      <w:hyperlink r:id="rId103">
        <w:r>
          <w:rPr>
            <w:rFonts w:ascii="Times New Roman" w:cs="Times New Roman" w:eastAsia="Times New Roman" w:hAnsi="Times New Roman"/>
            <w:sz w:val="18"/>
            <w:szCs w:val="18"/>
            <w:u w:val="single" w:color="auto"/>
            <w:color w:val="0000EE"/>
          </w:rPr>
          <w:t>Co., LLC (incorporated by reference to Exhibit 10.1 to the Registrant’s Current Report on Form 8-K filed on June 21,</w:t>
        </w:r>
      </w:hyperlink>
      <w:r>
        <w:rPr>
          <w:rFonts w:ascii="Times New Roman" w:cs="Times New Roman" w:eastAsia="Times New Roman" w:hAnsi="Times New Roman"/>
          <w:sz w:val="18"/>
          <w:szCs w:val="18"/>
          <w:u w:val="single" w:color="auto"/>
          <w:color w:val="0000EE"/>
        </w:rPr>
        <w:t xml:space="preserve"> </w:t>
      </w:r>
      <w:hyperlink r:id="rId103">
        <w:r>
          <w:rPr>
            <w:rFonts w:ascii="Times New Roman" w:cs="Times New Roman" w:eastAsia="Times New Roman" w:hAnsi="Times New Roman"/>
            <w:sz w:val="18"/>
            <w:szCs w:val="18"/>
            <w:u w:val="single" w:color="auto"/>
            <w:color w:val="0000EE"/>
          </w:rPr>
          <w:t>2024)#</w:t>
        </w:r>
      </w:hyperlink>
    </w:p>
    <w:p>
      <w:pPr>
        <w:spacing w:after="0" w:line="168" w:lineRule="exact"/>
        <w:rPr>
          <w:rFonts w:ascii="Times New Roman" w:cs="Times New Roman" w:eastAsia="Times New Roman" w:hAnsi="Times New Roman"/>
          <w:sz w:val="18"/>
          <w:szCs w:val="18"/>
          <w:u w:val="single" w:color="auto"/>
          <w:color w:val="0000EE"/>
        </w:rPr>
      </w:pPr>
    </w:p>
    <w:tbl>
      <w:tblPr>
        <w:tblLayout w:type="fixed"/>
        <w:tblInd w:w="200" w:type="dxa"/>
        <w:tblCellMar>
          <w:top w:w="0" w:type="dxa"/>
          <w:left w:w="0" w:type="dxa"/>
          <w:bottom w:w="0" w:type="dxa"/>
          <w:right w:w="0" w:type="dxa"/>
        </w:tblCellMar>
      </w:tblPr>
      <w:tr>
        <w:trPr>
          <w:trHeight w:val="207"/>
        </w:trPr>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10.8</w:t>
            </w:r>
          </w:p>
        </w:tc>
        <w:tc>
          <w:tcPr>
            <w:tcW w:w="85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Subordinated Business Loan Agreement, dated October 1, 2024, by and between Energous Corporation, Agile Capital</w:t>
              </w:r>
            </w:hyperlink>
          </w:p>
        </w:tc>
        <w:tc>
          <w:tcPr>
            <w:tcW w:w="1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68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Funding, LLC, and Agile Lending, LLC (incorporated by reference to Exhibit 10.1 to the Registrant’s Current Report on</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6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Form 8-K filed on October 2, 2024)#</w:t>
              </w:r>
            </w:hyperlink>
          </w:p>
        </w:tc>
        <w:tc>
          <w:tcPr>
            <w:tcW w:w="60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10.9</w:t>
            </w:r>
          </w:p>
        </w:tc>
        <w:tc>
          <w:tcPr>
            <w:tcW w:w="81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Subordinated Business Loan Agreement, dated November 6, 2024, by and between Energous Corporation, Agile</w:t>
              </w:r>
            </w:hyperlink>
          </w:p>
        </w:tc>
        <w:tc>
          <w:tcPr>
            <w:tcW w:w="5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5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Capital Funding, LLC, and Agile Lending, LLC (incorporated by reference to Exhibit 10.1 to the Registrant’s Current</w:t>
              </w:r>
            </w:hyperlink>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6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Report on Form 8-K filed on November 8, 2024)#</w:t>
              </w:r>
            </w:hyperlink>
          </w:p>
        </w:tc>
        <w:tc>
          <w:tcPr>
            <w:tcW w:w="50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10.10</w:t>
            </w:r>
          </w:p>
        </w:tc>
        <w:tc>
          <w:tcPr>
            <w:tcW w:w="86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Form of Securities Purchase Agreement (incorporated by reference to Exhibit 10.1 to the Registrant’s Current Report on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8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Form 8-K filed on September 11, 2025)</w:t>
              </w:r>
            </w:hyperlink>
          </w:p>
        </w:tc>
        <w:tc>
          <w:tcPr>
            <w:tcW w:w="58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10.11</w:t>
            </w:r>
          </w:p>
        </w:tc>
        <w:tc>
          <w:tcPr>
            <w:tcW w:w="81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Form of Letter Agreement for Warrant Inducement (incorporated by reference to Exhibit 10.2 to the Registrant’s</w:t>
              </w:r>
            </w:hyperlink>
          </w:p>
        </w:tc>
        <w:tc>
          <w:tcPr>
            <w:tcW w:w="5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680" w:type="dxa"/>
            <w:vAlign w:val="bottom"/>
            <w:gridSpan w:val="21"/>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Current Report on Form 8-K filed on September 11, 2025)</w:t>
              </w:r>
            </w:hyperlink>
          </w:p>
        </w:tc>
        <w:tc>
          <w:tcPr>
            <w:tcW w:w="0" w:type="dxa"/>
            <w:vAlign w:val="bottom"/>
          </w:tcPr>
          <w:p>
            <w:pPr>
              <w:spacing w:after="0"/>
              <w:rPr>
                <w:sz w:val="1"/>
                <w:szCs w:val="1"/>
                <w:color w:val="auto"/>
              </w:rPr>
            </w:pPr>
          </w:p>
        </w:tc>
      </w:tr>
      <w:tr>
        <w:trPr>
          <w:trHeight w:val="412"/>
        </w:trPr>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19.1</w:t>
            </w:r>
          </w:p>
        </w:tc>
        <w:tc>
          <w:tcPr>
            <w:tcW w:w="17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Insider Trading Policy+</w:t>
            </w:r>
          </w:p>
        </w:tc>
        <w:tc>
          <w:tcPr>
            <w:tcW w:w="2480" w:type="dxa"/>
            <w:vAlign w:val="bottom"/>
            <w:tcBorders>
              <w:top w:val="single" w:sz="8" w:color="0000EE"/>
            </w:tcBorders>
            <w:gridSpan w:val="9"/>
          </w:tcPr>
          <w:p>
            <w:pPr>
              <w:spacing w:after="0"/>
              <w:rPr>
                <w:sz w:val="24"/>
                <w:szCs w:val="24"/>
                <w:color w:val="auto"/>
              </w:rPr>
            </w:pPr>
          </w:p>
        </w:tc>
        <w:tc>
          <w:tcPr>
            <w:tcW w:w="44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21.1</w:t>
            </w:r>
          </w:p>
        </w:tc>
        <w:tc>
          <w:tcPr>
            <w:tcW w:w="8680" w:type="dxa"/>
            <w:vAlign w:val="bottom"/>
            <w:gridSpan w:val="21"/>
          </w:tcPr>
          <w:p>
            <w:pPr>
              <w:spacing w:after="0"/>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Subsidiaries of the Registrant (incorporated by reference to Exhibit 21.1 to the Registrant’s Annual Report on Form 10-</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9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08">
              <w:r>
                <w:rPr>
                  <w:rFonts w:ascii="Times New Roman" w:cs="Times New Roman" w:eastAsia="Times New Roman" w:hAnsi="Times New Roman"/>
                  <w:sz w:val="18"/>
                  <w:szCs w:val="18"/>
                  <w:color w:val="0000EE"/>
                  <w:w w:val="98"/>
                </w:rPr>
                <w:t>K filed on March 16, 2018)</w:t>
              </w:r>
            </w:hyperlink>
          </w:p>
        </w:tc>
        <w:tc>
          <w:tcPr>
            <w:tcW w:w="6620" w:type="dxa"/>
            <w:vAlign w:val="bottom"/>
            <w:tcBorders>
              <w:top w:val="single" w:sz="8" w:color="0000EE"/>
            </w:tcBorders>
            <w:gridSpan w:val="16"/>
          </w:tcPr>
          <w:p>
            <w:pPr>
              <w:spacing w:after="0"/>
              <w:rPr>
                <w:sz w:val="17"/>
                <w:szCs w:val="17"/>
                <w:color w:val="auto"/>
              </w:rPr>
            </w:pPr>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23.1</w:t>
            </w:r>
          </w:p>
        </w:tc>
        <w:tc>
          <w:tcPr>
            <w:tcW w:w="17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Consent of BPM LLP +</w:t>
            </w:r>
          </w:p>
        </w:tc>
        <w:tc>
          <w:tcPr>
            <w:tcW w:w="696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04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color w:val="auto"/>
              </w:rPr>
              <w:t>24.1</w:t>
            </w:r>
          </w:p>
        </w:tc>
        <w:tc>
          <w:tcPr>
            <w:tcW w:w="344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EE"/>
                <w:w w:val="99"/>
              </w:rPr>
              <w:t>Power of Attorney (included on signature page)</w:t>
            </w:r>
          </w:p>
        </w:tc>
        <w:tc>
          <w:tcPr>
            <w:tcW w:w="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3"/>
                <w:szCs w:val="13"/>
                <w:color w:val="0000EE"/>
                <w:w w:val="81"/>
              </w:rPr>
              <w:t>+</w:t>
            </w:r>
          </w:p>
        </w:tc>
        <w:tc>
          <w:tcPr>
            <w:tcW w:w="3680" w:type="dxa"/>
            <w:vAlign w:val="bottom"/>
            <w:gridSpan w:val="3"/>
            <w:vMerge w:val="restart"/>
          </w:tcPr>
          <w:p>
            <w:pPr>
              <w:spacing w:after="0"/>
              <w:rPr>
                <w:sz w:val="24"/>
                <w:szCs w:val="24"/>
                <w:color w:val="auto"/>
              </w:rPr>
            </w:pPr>
          </w:p>
        </w:tc>
        <w:tc>
          <w:tcPr>
            <w:tcW w:w="1080" w:type="dxa"/>
            <w:vAlign w:val="bottom"/>
            <w:gridSpan w:val="3"/>
            <w:vMerge w:val="restart"/>
          </w:tcPr>
          <w:p>
            <w:pPr>
              <w:spacing w:after="0"/>
              <w:rPr>
                <w:sz w:val="24"/>
                <w:szCs w:val="24"/>
                <w:color w:val="auto"/>
              </w:rPr>
            </w:pPr>
          </w:p>
        </w:tc>
        <w:tc>
          <w:tcPr>
            <w:tcW w:w="200" w:type="dxa"/>
            <w:vAlign w:val="bottom"/>
            <w:vMerge w:val="restart"/>
          </w:tcPr>
          <w:p>
            <w:pPr>
              <w:spacing w:after="0"/>
              <w:rPr>
                <w:sz w:val="24"/>
                <w:szCs w:val="24"/>
                <w:color w:val="auto"/>
              </w:rPr>
            </w:pPr>
          </w:p>
        </w:tc>
        <w:tc>
          <w:tcPr>
            <w:tcW w:w="200" w:type="dxa"/>
            <w:vAlign w:val="bottom"/>
            <w:gridSpan w:val="5"/>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1040" w:type="dxa"/>
            <w:vAlign w:val="bottom"/>
            <w:vMerge w:val="continue"/>
          </w:tcPr>
          <w:p>
            <w:pPr>
              <w:spacing w:after="0"/>
              <w:rPr>
                <w:sz w:val="2"/>
                <w:szCs w:val="2"/>
                <w:color w:val="auto"/>
              </w:rPr>
            </w:pPr>
          </w:p>
        </w:tc>
        <w:tc>
          <w:tcPr>
            <w:tcW w:w="3440" w:type="dxa"/>
            <w:vAlign w:val="bottom"/>
            <w:tcBorders>
              <w:bottom w:val="single" w:sz="8" w:color="0000EE"/>
            </w:tcBorders>
            <w:gridSpan w:val="7"/>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3680" w:type="dxa"/>
            <w:vAlign w:val="bottom"/>
            <w:gridSpan w:val="3"/>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20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12"/>
        </w:trPr>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31.1</w:t>
            </w:r>
          </w:p>
        </w:tc>
        <w:tc>
          <w:tcPr>
            <w:tcW w:w="86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Certification Pursuant to Rule 13a-14(a) or Rule 15d-14(a) of the Securities Exchange Act of 1934+</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4900" w:type="dxa"/>
            <w:vAlign w:val="bottom"/>
            <w:gridSpan w:val="8"/>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32.1</w:t>
            </w:r>
          </w:p>
        </w:tc>
        <w:tc>
          <w:tcPr>
            <w:tcW w:w="86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Certification Pursuant to 18 U.S.C Section 1350, as Adopted Pursuant to Section 906 of the Sarbanes-Oxley Act of</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6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2002 ++</w:t>
            </w:r>
          </w:p>
        </w:tc>
        <w:tc>
          <w:tcPr>
            <w:tcW w:w="11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300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97.1</w:t>
            </w:r>
          </w:p>
        </w:tc>
        <w:tc>
          <w:tcPr>
            <w:tcW w:w="84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Compensation Recovery Policy (incorporated by reference to Exhibit 97.1 to the Registrant’s Annual Report on Form</w:t>
              </w:r>
            </w:hyperlink>
          </w:p>
        </w:tc>
        <w:tc>
          <w:tcPr>
            <w:tcW w:w="2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680" w:type="dxa"/>
            <w:vAlign w:val="bottom"/>
            <w:gridSpan w:val="21"/>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10-K filed on March 28, 2024)*</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638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5"/>
        </w:trPr>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101.INS</w:t>
            </w:r>
          </w:p>
        </w:tc>
        <w:tc>
          <w:tcPr>
            <w:tcW w:w="86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 xml:space="preserve">Inline XBRL Instance Document </w:t>
            </w:r>
            <w:r>
              <w:rPr>
                <w:rFonts w:ascii="Times New Roman" w:cs="Times New Roman" w:eastAsia="Times New Roman" w:hAnsi="Times New Roman"/>
                <w:sz w:val="26"/>
                <w:szCs w:val="26"/>
                <w:color w:val="auto"/>
                <w:vertAlign w:val="superscript"/>
              </w:rPr>
              <w:t>+</w:t>
            </w:r>
          </w:p>
        </w:tc>
        <w:tc>
          <w:tcPr>
            <w:tcW w:w="0" w:type="dxa"/>
            <w:vAlign w:val="bottom"/>
          </w:tcPr>
          <w:p>
            <w:pPr>
              <w:spacing w:after="0"/>
              <w:rPr>
                <w:sz w:val="1"/>
                <w:szCs w:val="1"/>
                <w:color w:val="auto"/>
              </w:rPr>
            </w:pPr>
          </w:p>
        </w:tc>
      </w:tr>
      <w:tr>
        <w:trPr>
          <w:trHeight w:val="432"/>
        </w:trPr>
        <w:tc>
          <w:tcPr>
            <w:tcW w:w="10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101.SCH</w:t>
            </w:r>
          </w:p>
        </w:tc>
        <w:tc>
          <w:tcPr>
            <w:tcW w:w="86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 xml:space="preserve">Inline XBRL Taxonomy Extension Schema Document </w:t>
            </w:r>
            <w:r>
              <w:rPr>
                <w:rFonts w:ascii="Times New Roman" w:cs="Times New Roman" w:eastAsia="Times New Roman" w:hAnsi="Times New Roman"/>
                <w:sz w:val="26"/>
                <w:szCs w:val="26"/>
                <w:color w:val="auto"/>
                <w:vertAlign w:val="superscript"/>
              </w:rPr>
              <w:t>+</w:t>
            </w:r>
          </w:p>
        </w:tc>
        <w:tc>
          <w:tcPr>
            <w:tcW w:w="0" w:type="dxa"/>
            <w:vAlign w:val="bottom"/>
          </w:tcPr>
          <w:p>
            <w:pPr>
              <w:spacing w:after="0"/>
              <w:rPr>
                <w:sz w:val="1"/>
                <w:szCs w:val="1"/>
                <w:color w:val="auto"/>
              </w:rPr>
            </w:pPr>
          </w:p>
        </w:tc>
      </w:tr>
      <w:tr>
        <w:trPr>
          <w:trHeight w:val="432"/>
        </w:trPr>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101.CAL</w:t>
            </w:r>
          </w:p>
        </w:tc>
        <w:tc>
          <w:tcPr>
            <w:tcW w:w="86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 xml:space="preserve">Inline XBRL Taxonomy Extension Calculation Linkbase Document </w:t>
            </w:r>
            <w:r>
              <w:rPr>
                <w:rFonts w:ascii="Times New Roman" w:cs="Times New Roman" w:eastAsia="Times New Roman" w:hAnsi="Times New Roman"/>
                <w:sz w:val="26"/>
                <w:szCs w:val="26"/>
                <w:color w:val="auto"/>
                <w:vertAlign w:val="superscript"/>
              </w:rPr>
              <w:t>+</w:t>
            </w:r>
          </w:p>
        </w:tc>
        <w:tc>
          <w:tcPr>
            <w:tcW w:w="0" w:type="dxa"/>
            <w:vAlign w:val="bottom"/>
          </w:tcPr>
          <w:p>
            <w:pPr>
              <w:spacing w:after="0"/>
              <w:rPr>
                <w:sz w:val="1"/>
                <w:szCs w:val="1"/>
                <w:color w:val="auto"/>
              </w:rPr>
            </w:pPr>
          </w:p>
        </w:tc>
      </w:tr>
      <w:tr>
        <w:trPr>
          <w:trHeight w:val="432"/>
        </w:trPr>
        <w:tc>
          <w:tcPr>
            <w:tcW w:w="10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101.DEF</w:t>
            </w:r>
          </w:p>
        </w:tc>
        <w:tc>
          <w:tcPr>
            <w:tcW w:w="86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 xml:space="preserve">Inline XBRL Taxonomy Extension Definition Linkbase Document </w:t>
            </w:r>
            <w:r>
              <w:rPr>
                <w:rFonts w:ascii="Times New Roman" w:cs="Times New Roman" w:eastAsia="Times New Roman" w:hAnsi="Times New Roman"/>
                <w:sz w:val="26"/>
                <w:szCs w:val="26"/>
                <w:color w:val="auto"/>
                <w:vertAlign w:val="superscript"/>
              </w:rPr>
              <w:t>+</w:t>
            </w:r>
          </w:p>
        </w:tc>
        <w:tc>
          <w:tcPr>
            <w:tcW w:w="0" w:type="dxa"/>
            <w:vAlign w:val="bottom"/>
          </w:tcPr>
          <w:p>
            <w:pPr>
              <w:spacing w:after="0"/>
              <w:rPr>
                <w:sz w:val="1"/>
                <w:szCs w:val="1"/>
                <w:color w:val="auto"/>
              </w:rPr>
            </w:pPr>
          </w:p>
        </w:tc>
      </w:tr>
      <w:tr>
        <w:trPr>
          <w:trHeight w:val="432"/>
        </w:trPr>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101.LAB</w:t>
            </w:r>
          </w:p>
        </w:tc>
        <w:tc>
          <w:tcPr>
            <w:tcW w:w="86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 xml:space="preserve">Inline XBRL Taxonomy Extension Label Linkbase Document </w:t>
            </w:r>
            <w:r>
              <w:rPr>
                <w:rFonts w:ascii="Times New Roman" w:cs="Times New Roman" w:eastAsia="Times New Roman" w:hAnsi="Times New Roman"/>
                <w:sz w:val="26"/>
                <w:szCs w:val="26"/>
                <w:color w:val="auto"/>
                <w:vertAlign w:val="superscript"/>
              </w:rPr>
              <w:t>+</w:t>
            </w:r>
          </w:p>
        </w:tc>
        <w:tc>
          <w:tcPr>
            <w:tcW w:w="0" w:type="dxa"/>
            <w:vAlign w:val="bottom"/>
          </w:tcPr>
          <w:p>
            <w:pPr>
              <w:spacing w:after="0"/>
              <w:rPr>
                <w:sz w:val="1"/>
                <w:szCs w:val="1"/>
                <w:color w:val="auto"/>
              </w:rPr>
            </w:pPr>
          </w:p>
        </w:tc>
      </w:tr>
      <w:tr>
        <w:trPr>
          <w:trHeight w:val="432"/>
        </w:trPr>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101.PRE</w:t>
            </w:r>
          </w:p>
        </w:tc>
        <w:tc>
          <w:tcPr>
            <w:tcW w:w="86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 xml:space="preserve">Inline XBRL Taxonomy Extension Presentation Linkbase Document </w:t>
            </w:r>
            <w:r>
              <w:rPr>
                <w:rFonts w:ascii="Times New Roman" w:cs="Times New Roman" w:eastAsia="Times New Roman" w:hAnsi="Times New Roman"/>
                <w:sz w:val="26"/>
                <w:szCs w:val="26"/>
                <w:color w:val="auto"/>
                <w:vertAlign w:val="superscript"/>
              </w:rPr>
              <w:t>+</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240" w:right="60" w:hanging="832"/>
        <w:spacing w:after="0" w:line="282" w:lineRule="auto"/>
        <w:tabs>
          <w:tab w:leader="none" w:pos="12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 101)</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437515</wp:posOffset>
            </wp:positionV>
            <wp:extent cx="15684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1">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3100" w:firstLine="8"/>
        <w:spacing w:after="0" w:line="500" w:lineRule="auto"/>
        <w:tabs>
          <w:tab w:leader="none" w:pos="3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any compensatory plan, contract or arrangement. + Filed herewith.</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225" w:lineRule="exact"/>
        <w:rPr>
          <w:sz w:val="20"/>
          <w:szCs w:val="20"/>
          <w:color w:val="auto"/>
        </w:rPr>
      </w:pPr>
    </w:p>
    <w:p>
      <w:pPr>
        <w:ind w:left="340" w:hanging="332"/>
        <w:spacing w:after="0" w:line="282"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have been omitted pursuant to Item 601(a)(5) of Regulation S-K. The Company agrees to furnish supplementally a copy of any omitted schedule or exhibit to the SEC upon request.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560"/>
          </w:cols>
          <w:pgMar w:left="980" w:top="513" w:right="1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6600" w:type="dxa"/>
            <w:vAlign w:val="bottom"/>
            <w:gridSpan w:val="2"/>
          </w:tcPr>
          <w:p>
            <w:pPr>
              <w:ind w:left="1660"/>
              <w:spacing w:after="0"/>
              <w:rPr>
                <w:sz w:val="20"/>
                <w:szCs w:val="20"/>
                <w:color w:val="auto"/>
              </w:rPr>
            </w:pPr>
            <w:r>
              <w:rPr>
                <w:rFonts w:ascii="Times New Roman" w:cs="Times New Roman" w:eastAsia="Times New Roman" w:hAnsi="Times New Roman"/>
                <w:sz w:val="18"/>
                <w:szCs w:val="18"/>
                <w:b w:val="1"/>
                <w:bCs w:val="1"/>
                <w:color w:val="auto"/>
              </w:rPr>
              <w:t>ENERGOUS CORPORATION</w:t>
            </w: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Dated: March 26, 2026</w:t>
            </w:r>
          </w:p>
        </w:tc>
        <w:tc>
          <w:tcPr>
            <w:tcW w:w="660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By: /s/ Mallorie Burak</w:t>
            </w:r>
          </w:p>
        </w:tc>
      </w:tr>
      <w:tr>
        <w:trPr>
          <w:trHeight w:val="191"/>
        </w:trPr>
        <w:tc>
          <w:tcPr>
            <w:tcW w:w="33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Mallorie Burak</w:t>
            </w:r>
          </w:p>
        </w:tc>
      </w:tr>
      <w:tr>
        <w:trPr>
          <w:trHeight w:val="216"/>
        </w:trPr>
        <w:tc>
          <w:tcPr>
            <w:tcW w:w="33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Chief Financial Officer (Principal</w:t>
            </w:r>
          </w:p>
        </w:tc>
      </w:tr>
      <w:tr>
        <w:trPr>
          <w:trHeight w:val="234"/>
        </w:trPr>
        <w:tc>
          <w:tcPr>
            <w:tcW w:w="33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Executive Officer and Principal Financial Officer)</w:t>
            </w: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Dated: March 26, 2026</w:t>
            </w:r>
          </w:p>
        </w:tc>
        <w:tc>
          <w:tcPr>
            <w:tcW w:w="660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By: /s/ Gregory Sadikoff</w:t>
            </w:r>
          </w:p>
        </w:tc>
      </w:tr>
      <w:tr>
        <w:trPr>
          <w:trHeight w:val="191"/>
        </w:trPr>
        <w:tc>
          <w:tcPr>
            <w:tcW w:w="33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Gregory Sadikoff</w:t>
            </w:r>
          </w:p>
        </w:tc>
      </w:tr>
      <w:tr>
        <w:trPr>
          <w:trHeight w:val="234"/>
        </w:trPr>
        <w:tc>
          <w:tcPr>
            <w:tcW w:w="33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Chief Accounting Officer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KNOW ALL PERSONS BY THESE PRESENTS</w:t>
      </w:r>
      <w:r>
        <w:rPr>
          <w:rFonts w:ascii="Times New Roman" w:cs="Times New Roman" w:eastAsia="Times New Roman" w:hAnsi="Times New Roman"/>
          <w:sz w:val="18"/>
          <w:szCs w:val="18"/>
          <w:color w:val="auto"/>
        </w:rPr>
        <w:t>, that the undersigned officers and directors of Energous Corporation,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Delaware corporation, do hereby constitute and appoint Mallorie Burak </w:t>
      </w:r>
      <w:r>
        <w:rPr>
          <w:rFonts w:ascii="Times New Roman" w:cs="Times New Roman" w:eastAsia="Times New Roman" w:hAnsi="Times New Roman"/>
          <w:sz w:val="18"/>
          <w:szCs w:val="18"/>
          <w:color w:val="212529"/>
        </w:rPr>
        <w:t>as his or her true and lawful attorney-in-fact and agent, with full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or she might or could do in person, hereby ratifying and confirming that said attorney-in-fact and agent, or any of them or their or his or her substitute or substitutes, may lawfully do or cause to be done by virtue hereof.</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1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4"/>
                <w:szCs w:val="14"/>
                <w:b w:val="1"/>
                <w:bCs w:val="1"/>
                <w:color w:val="auto"/>
              </w:rPr>
              <w:t>Signatures</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940" w:type="dxa"/>
            <w:vAlign w:val="bottom"/>
            <w:tcBorders>
              <w:bottom w:val="single" w:sz="8" w:color="auto"/>
            </w:tcBorders>
          </w:tcPr>
          <w:p>
            <w:pPr>
              <w:ind w:left="28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26"/>
        </w:trPr>
        <w:tc>
          <w:tcPr>
            <w:tcW w:w="2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Mallorie Burak</w:t>
            </w:r>
          </w:p>
        </w:tc>
        <w:tc>
          <w:tcPr>
            <w:tcW w:w="200" w:type="dxa"/>
            <w:vAlign w:val="bottom"/>
          </w:tcPr>
          <w:p>
            <w:pPr>
              <w:spacing w:after="0"/>
              <w:rPr>
                <w:sz w:val="24"/>
                <w:szCs w:val="24"/>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Chief Financial Officer (Principal Executive Officer</w:t>
            </w:r>
          </w:p>
        </w:tc>
        <w:tc>
          <w:tcPr>
            <w:tcW w:w="2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26, 2026</w:t>
            </w:r>
          </w:p>
        </w:tc>
      </w:tr>
      <w:tr>
        <w:trPr>
          <w:trHeight w:val="228"/>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Mallorie Burak</w:t>
            </w:r>
          </w:p>
        </w:tc>
        <w:tc>
          <w:tcPr>
            <w:tcW w:w="20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and Principal Financial Officer)</w:t>
            </w: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14"/>
        </w:trPr>
        <w:tc>
          <w:tcPr>
            <w:tcW w:w="2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Gregory Sadikoff</w:t>
            </w:r>
          </w:p>
        </w:tc>
        <w:tc>
          <w:tcPr>
            <w:tcW w:w="200" w:type="dxa"/>
            <w:vAlign w:val="bottom"/>
          </w:tcPr>
          <w:p>
            <w:pPr>
              <w:spacing w:after="0"/>
              <w:rPr>
                <w:sz w:val="24"/>
                <w:szCs w:val="24"/>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Chief Accounting Officer (Principal Accounting Officer)</w:t>
            </w:r>
          </w:p>
        </w:tc>
        <w:tc>
          <w:tcPr>
            <w:tcW w:w="2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26, 2026</w:t>
            </w:r>
          </w:p>
        </w:tc>
      </w:tr>
      <w:tr>
        <w:trPr>
          <w:trHeight w:val="228"/>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Gregory Sadikoff</w:t>
            </w:r>
          </w:p>
        </w:tc>
        <w:tc>
          <w:tcPr>
            <w:tcW w:w="20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14"/>
        </w:trPr>
        <w:tc>
          <w:tcPr>
            <w:tcW w:w="2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Roberson</w:t>
            </w:r>
          </w:p>
        </w:tc>
        <w:tc>
          <w:tcPr>
            <w:tcW w:w="200" w:type="dxa"/>
            <w:vAlign w:val="bottom"/>
          </w:tcPr>
          <w:p>
            <w:pPr>
              <w:spacing w:after="0"/>
              <w:rPr>
                <w:sz w:val="24"/>
                <w:szCs w:val="24"/>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Board Chair</w:t>
            </w:r>
          </w:p>
        </w:tc>
        <w:tc>
          <w:tcPr>
            <w:tcW w:w="2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26, 2026</w:t>
            </w:r>
          </w:p>
        </w:tc>
      </w:tr>
      <w:tr>
        <w:trPr>
          <w:trHeight w:val="228"/>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David Roberson</w:t>
            </w:r>
          </w:p>
        </w:tc>
        <w:tc>
          <w:tcPr>
            <w:tcW w:w="20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14"/>
        </w:trPr>
        <w:tc>
          <w:tcPr>
            <w:tcW w:w="2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Rahul Patel</w:t>
            </w:r>
          </w:p>
        </w:tc>
        <w:tc>
          <w:tcPr>
            <w:tcW w:w="200" w:type="dxa"/>
            <w:vAlign w:val="bottom"/>
          </w:tcPr>
          <w:p>
            <w:pPr>
              <w:spacing w:after="0"/>
              <w:rPr>
                <w:sz w:val="24"/>
                <w:szCs w:val="24"/>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26, 2026</w:t>
            </w:r>
          </w:p>
        </w:tc>
      </w:tr>
      <w:tr>
        <w:trPr>
          <w:trHeight w:val="228"/>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Rahul Patel</w:t>
            </w:r>
          </w:p>
        </w:tc>
        <w:tc>
          <w:tcPr>
            <w:tcW w:w="20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14"/>
        </w:trPr>
        <w:tc>
          <w:tcPr>
            <w:tcW w:w="2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 Michael Dodson</w:t>
            </w:r>
          </w:p>
        </w:tc>
        <w:tc>
          <w:tcPr>
            <w:tcW w:w="200" w:type="dxa"/>
            <w:vAlign w:val="bottom"/>
          </w:tcPr>
          <w:p>
            <w:pPr>
              <w:spacing w:after="0"/>
              <w:rPr>
                <w:sz w:val="24"/>
                <w:szCs w:val="24"/>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26, 2026</w:t>
            </w:r>
          </w:p>
        </w:tc>
      </w:tr>
      <w:tr>
        <w:trPr>
          <w:trHeight w:val="228"/>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J. Michael Dodson</w:t>
            </w:r>
          </w:p>
        </w:tc>
        <w:tc>
          <w:tcPr>
            <w:tcW w:w="20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18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DESCRIPTION OF THE REGISTRANT’S SECURITIES REGISTERED PURSUANT TO SECTION 12 OF THE SECURITIES EXCHANGE ACT OF 1934</w:t>
      </w:r>
    </w:p>
    <w:p>
      <w:pPr>
        <w:spacing w:after="0" w:line="146" w:lineRule="exact"/>
        <w:rPr>
          <w:sz w:val="20"/>
          <w:szCs w:val="20"/>
          <w:color w:val="auto"/>
        </w:rPr>
      </w:pPr>
    </w:p>
    <w:p>
      <w:pPr>
        <w:ind w:right="6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Energous Corporation (the “Company,” “we” or “our”) has one class of securities registered under Section 12 of the Securities Exchange Act of 1934: our common stock, </w:t>
      </w:r>
      <w:r>
        <w:rPr>
          <w:rFonts w:ascii="Times New Roman" w:cs="Times New Roman" w:eastAsia="Times New Roman" w:hAnsi="Times New Roman"/>
          <w:sz w:val="18"/>
          <w:szCs w:val="18"/>
          <w:color w:val="auto"/>
        </w:rPr>
        <w:t>$0.00001 par value per share</w:t>
      </w:r>
      <w:r>
        <w:rPr>
          <w:rFonts w:ascii="Times New Roman" w:cs="Times New Roman" w:eastAsia="Times New Roman" w:hAnsi="Times New Roman"/>
          <w:sz w:val="18"/>
          <w:szCs w:val="18"/>
          <w:i w:val="1"/>
          <w:iCs w:val="1"/>
          <w:color w:val="auto"/>
        </w:rPr>
        <w: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following description of our capital stock is intended as a summary only. This description is based upon, and is qualified by reference to, our second amended and restated certificate of incorporation (“certificate of incorporation”) and our amended and restated bylaws (“bylaws”). The summary is not complete, and is qualified by reference to our certificate of incorporation and our bylaws, which are filed as exhibits to this Annual Report on Form 10-K and are incorporated by reference herein. We encourage you to read our certificate of incorporation, our bylaws and the applicable provisions of the Delaware General Corporation Law, for additional information.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200,000,000 shares of common stock, $0.00001 par value per share, and 10,000,000 shares of undesignated preferred stock, $0.00001 par value per share.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Holders of our common stock are entitled to such dividends as may be declared by our board of directors out of funds legally available for such purpose. The shares of common stock are neither redeemable nor convertible. Holders of common stock have no preemptive or subscription rights to purchase any of our securities.</w:t>
      </w:r>
    </w:p>
    <w:p>
      <w:pPr>
        <w:spacing w:after="0" w:line="13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Each holder of our common stock is entitled to one vote for each such share outstanding in the holder’s name. No holder of common stock is entitled to cumulate votes in voting for directors.</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the holders of our common stock are entitled to receive pro rata our assets, which are legally available for distribution, after payments of all debts and other liabilities. All of the outstanding shares of our common stock are fully paid and non-assessable.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board of directors is authorized, subject to limitations prescribed by Delaware law, to issue from time to time up to 10,000,000 shares of preferred stock in one or more series, to establish from time to time the number of shares to be included in each series and to fix the designation, powers, preferences and rights of the shares of each series and any of their qualifications, limitations or restrictions, in each case without further vote or action by our stockholders. Our board of directors is also able to increase or decrease the number of shares of any series of preferred stock, but not below the number of shares of that series then outstanding, without any further vote or action by our stockholders. Our board of directors may be able to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585470</wp:posOffset>
            </wp:positionV>
            <wp:extent cx="629221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81" w:name="page82"/>
    <w:bookmarkEnd w:id="81"/>
    <w:p>
      <w:pPr>
        <w:ind w:right="500"/>
        <w:spacing w:after="0" w:line="461" w:lineRule="auto"/>
        <w:rPr>
          <w:sz w:val="20"/>
          <w:szCs w:val="20"/>
          <w:color w:val="auto"/>
        </w:rPr>
      </w:pPr>
      <w:r>
        <w:rPr>
          <w:rFonts w:ascii="Times New Roman" w:cs="Times New Roman" w:eastAsia="Times New Roman" w:hAnsi="Times New Roman"/>
          <w:sz w:val="18"/>
          <w:szCs w:val="18"/>
          <w:color w:val="auto"/>
        </w:rPr>
        <w:t xml:space="preserve">might adversely affect the market price of our common stock and the voting and other rights of the holders of our common stock. </w:t>
      </w:r>
      <w:r>
        <w:rPr>
          <w:rFonts w:ascii="Times New Roman" w:cs="Times New Roman" w:eastAsia="Times New Roman" w:hAnsi="Times New Roman"/>
          <w:sz w:val="18"/>
          <w:szCs w:val="18"/>
          <w:b w:val="1"/>
          <w:bCs w:val="1"/>
          <w:color w:val="auto"/>
        </w:rPr>
        <w:t>Anti-Takeover Effects of Certain Provisions of Delaware Law and Our Charter Documents</w:t>
      </w:r>
    </w:p>
    <w:p>
      <w:pPr>
        <w:spacing w:after="0" w:line="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following is a summary of certain provisions of Delaware law, our certificate of incorporation and our bylaws. This summary does not purport to be complete and is qualified in its entirety by reference to the corporate law of Delaware and our certificate of incorporation and bylaws.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 of Delaware Anti-Takeover Statute</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an anti-takeover law. In general, Section 203 prohibits a Delaware corporation from engaging in any business combination (defined below) with any interested stockholder (defined below) for a period of three years following the date that the stockholder became an interested stockholder, unless:</w:t>
      </w:r>
    </w:p>
    <w:p>
      <w:pPr>
        <w:spacing w:after="0" w:line="149" w:lineRule="exact"/>
        <w:rPr>
          <w:sz w:val="20"/>
          <w:szCs w:val="20"/>
          <w:color w:val="auto"/>
        </w:rPr>
      </w:pPr>
    </w:p>
    <w:p>
      <w:pPr>
        <w:ind w:left="660" w:right="36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that date, the board of directors of the corporation approved either the business combination or the transaction that resulted in the stockholder becoming an interested stockholder;</w:t>
      </w:r>
    </w:p>
    <w:p>
      <w:pPr>
        <w:spacing w:after="0" w:line="121" w:lineRule="exact"/>
        <w:rPr>
          <w:rFonts w:ascii="Times New Roman" w:cs="Times New Roman" w:eastAsia="Times New Roman" w:hAnsi="Times New Roman"/>
          <w:sz w:val="18"/>
          <w:szCs w:val="18"/>
          <w:color w:val="auto"/>
        </w:rPr>
      </w:pPr>
    </w:p>
    <w:p>
      <w:pPr>
        <w:ind w:left="660" w:hanging="328"/>
        <w:spacing w:after="0" w:line="25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number of shares of voting stock outstanding (but not the voting stock owned by the interested stockholder) those shares owned by persons who are directors and officers and by excluding employee stock plans in which employee participants do not have the right to determine whether shares held subject to the plan will be tendered in a tender or exchange offer; or</w:t>
      </w:r>
    </w:p>
    <w:p>
      <w:pPr>
        <w:spacing w:after="0" w:line="146"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subsequent to that date, the business combination is approved by the board of directors of the corporation and authorized at an annual or special meeting of stockholders, and not by written consent, by the affirmative vote of at least 66 2/3% of the outstanding voting stock that is not owned by the interested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577850</wp:posOffset>
            </wp:positionV>
            <wp:extent cx="629221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980" w:top="121" w:right="10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auto"/>
        </w:rPr>
        <w:t>Section 203 defines “business combination” to include:</w:t>
      </w:r>
    </w:p>
    <w:p>
      <w:pPr>
        <w:spacing w:after="0" w:line="185"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84" w:lineRule="exact"/>
        <w:rPr>
          <w:rFonts w:ascii="Times New Roman" w:cs="Times New Roman" w:eastAsia="Times New Roman" w:hAnsi="Times New Roman"/>
          <w:sz w:val="18"/>
          <w:szCs w:val="18"/>
          <w:color w:val="auto"/>
        </w:rPr>
      </w:pPr>
    </w:p>
    <w:p>
      <w:pPr>
        <w:ind w:left="660" w:right="78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w:t>
      </w:r>
    </w:p>
    <w:p>
      <w:pPr>
        <w:spacing w:after="0" w:line="121"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12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limited exceptions, any transaction involving the corporation that has the effect of increasing the proportionate share of the stock of any class or series of the corporation beneficially owned by the interested stockholder; or</w:t>
      </w:r>
    </w:p>
    <w:p>
      <w:pPr>
        <w:spacing w:after="0" w:line="12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13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any entity or person beneficially owning 15% or more of the outstanding voting stock of the corporation, or who beneficially owns 15% or more of the outstanding voting stock of the corporation at any time within a three-year period immediately prior to the date of determining whether such person is an interested stockholder, and any entity or person affiliated with or controlling or controlled by any of these entities or persons.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Charter Documents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and bylaws include provisions that may have the effect of discouraging, delaying or preventing a change in control or an unsolicited acquisition proposal that a stockholder might consider favorable, including a proposal that might result in the payment of a premium over the market price for the shares held by our stockholders. Certain of these provisions are summarized in the following paragraphs.</w:t>
      </w:r>
    </w:p>
    <w:p>
      <w:pPr>
        <w:spacing w:after="0" w:line="149" w:lineRule="exact"/>
        <w:rPr>
          <w:sz w:val="20"/>
          <w:szCs w:val="20"/>
          <w:color w:val="auto"/>
        </w:rPr>
      </w:pPr>
    </w:p>
    <w:p>
      <w:pPr>
        <w:ind w:left="660" w:hanging="328"/>
        <w:spacing w:after="0" w:line="254"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Effects of Authorized but Unissued Common Stock. </w:t>
      </w:r>
      <w:r>
        <w:rPr>
          <w:rFonts w:ascii="Times New Roman" w:cs="Times New Roman" w:eastAsia="Times New Roman" w:hAnsi="Times New Roman"/>
          <w:sz w:val="18"/>
          <w:szCs w:val="18"/>
          <w:color w:val="auto"/>
        </w:rPr>
        <w:t>One of the effects of the existence of authorized but unissued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may be to enable our board of directors to make more difficult or to discourage an attempt to obtain control of our Company by means of a merger, tender offer, proxy contest or otherwise, and thereby to protect the continuity of management. If, in the due exercise of its fiduciary obligations, the board of directors were to determine that a takeover proposal was not in our best interest, such shares could be issued by the board of directors without stockholder approval in one or more transactions that might prevent or render more difficult or costly the completion of the takeover transaction by diluting the voting or other rights of the proposed acquirer or insurgent stockholder group, by putting a substantial voting block in institutional or other hands that might undertake to support the position of the incumbent board of directors, by effecting an acquisition that might complicate or preclude the takeover, or otherwise.</w:t>
      </w:r>
    </w:p>
    <w:p>
      <w:pPr>
        <w:spacing w:after="0" w:line="14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Action by Written Consent. </w:t>
      </w:r>
      <w:r>
        <w:rPr>
          <w:rFonts w:ascii="Times New Roman" w:cs="Times New Roman" w:eastAsia="Times New Roman" w:hAnsi="Times New Roman"/>
          <w:sz w:val="18"/>
          <w:szCs w:val="18"/>
          <w:color w:val="auto"/>
        </w:rPr>
        <w:t>Our certificate of incorporation provides that our stockholders may not act by written consent.</w:t>
      </w:r>
    </w:p>
    <w:p>
      <w:pPr>
        <w:spacing w:after="0" w:line="184" w:lineRule="exact"/>
        <w:rPr>
          <w:rFonts w:ascii="Times New Roman" w:cs="Times New Roman" w:eastAsia="Times New Roman" w:hAnsi="Times New Roman"/>
          <w:sz w:val="18"/>
          <w:szCs w:val="18"/>
          <w:color w:val="auto"/>
        </w:rPr>
      </w:pPr>
    </w:p>
    <w:p>
      <w:pPr>
        <w:ind w:left="660" w:right="100" w:hanging="328"/>
        <w:spacing w:after="0" w:line="291" w:lineRule="auto"/>
        <w:tabs>
          <w:tab w:leader="none" w:pos="6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Advanced Notice. </w:t>
      </w:r>
      <w:r>
        <w:rPr>
          <w:rFonts w:ascii="Times New Roman" w:cs="Times New Roman" w:eastAsia="Times New Roman" w:hAnsi="Times New Roman"/>
          <w:sz w:val="17"/>
          <w:szCs w:val="17"/>
          <w:color w:val="auto"/>
        </w:rPr>
        <w:t>Our bylaws provide that stockholders who wish to bring nominations or other business before an annual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meeting of the stockholders or a special meeting of the stockholders must provide us with notice of such proposed nomination or business within specified time frames and must provide us with information regarding the potential nominee or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565785</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121" w:right="1079" w:bottom="1440" w:gutter="0" w:footer="0" w:header="0"/>
        </w:sectPr>
      </w:pPr>
    </w:p>
    <w:bookmarkStart w:id="83" w:name="page84"/>
    <w:bookmarkEnd w:id="83"/>
    <w:p>
      <w:pPr>
        <w:jc w:val="both"/>
        <w:ind w:left="660" w:hanging="328"/>
        <w:spacing w:after="0" w:line="268"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Blank Check Preferred Stock. </w:t>
      </w:r>
      <w:r>
        <w:rPr>
          <w:rFonts w:ascii="Times New Roman" w:cs="Times New Roman" w:eastAsia="Times New Roman" w:hAnsi="Times New Roman"/>
          <w:sz w:val="18"/>
          <w:szCs w:val="18"/>
          <w:color w:val="auto"/>
        </w:rPr>
        <w:t>As noted above, our certificate of incorporation allows our Board to fix the designation, powers,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preferences and rights of the shares of each series of preferred stock and any of their qualifications, limitations or restrictions, in each case without further vote or action by our stockholders.</w:t>
      </w:r>
    </w:p>
    <w:p>
      <w:pPr>
        <w:spacing w:after="0" w:line="130" w:lineRule="exact"/>
        <w:rPr>
          <w:rFonts w:ascii="Times New Roman" w:cs="Times New Roman" w:eastAsia="Times New Roman" w:hAnsi="Times New Roman"/>
          <w:sz w:val="18"/>
          <w:szCs w:val="18"/>
          <w:color w:val="auto"/>
        </w:rPr>
      </w:pPr>
    </w:p>
    <w:p>
      <w:pPr>
        <w:ind w:left="660" w:right="280" w:hanging="328"/>
        <w:spacing w:after="0" w:line="28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Bylaw Amendment. </w:t>
      </w:r>
      <w:r>
        <w:rPr>
          <w:rFonts w:ascii="Times New Roman" w:cs="Times New Roman" w:eastAsia="Times New Roman" w:hAnsi="Times New Roman"/>
          <w:sz w:val="18"/>
          <w:szCs w:val="18"/>
          <w:color w:val="auto"/>
        </w:rPr>
        <w:t>Our certificate of incorporation provides our board of directors the ability to amend our bylaws without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further vote or action by our stockholders.</w:t>
      </w:r>
    </w:p>
    <w:p>
      <w:pPr>
        <w:spacing w:after="0" w:line="114" w:lineRule="exact"/>
        <w:rPr>
          <w:rFonts w:ascii="Times New Roman" w:cs="Times New Roman" w:eastAsia="Times New Roman" w:hAnsi="Times New Roman"/>
          <w:sz w:val="18"/>
          <w:szCs w:val="18"/>
          <w:color w:val="auto"/>
        </w:rPr>
      </w:pPr>
    </w:p>
    <w:p>
      <w:pPr>
        <w:ind w:left="660" w:right="180" w:hanging="328"/>
        <w:spacing w:after="0" w:line="28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Cumulative Voting. </w:t>
      </w:r>
      <w:r>
        <w:rPr>
          <w:rFonts w:ascii="Times New Roman" w:cs="Times New Roman" w:eastAsia="Times New Roman" w:hAnsi="Times New Roman"/>
          <w:sz w:val="18"/>
          <w:szCs w:val="18"/>
          <w:color w:val="auto"/>
        </w:rPr>
        <w:t>Our certificate of incorporation does not provide for cumulative voting in the election of directors,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would allow holders of less than a majority of the stock to elect some directors.</w:t>
      </w:r>
    </w:p>
    <w:p>
      <w:pPr>
        <w:spacing w:after="0" w:line="114" w:lineRule="exact"/>
        <w:rPr>
          <w:rFonts w:ascii="Times New Roman" w:cs="Times New Roman" w:eastAsia="Times New Roman" w:hAnsi="Times New Roman"/>
          <w:sz w:val="18"/>
          <w:szCs w:val="18"/>
          <w:color w:val="auto"/>
        </w:rPr>
      </w:pPr>
    </w:p>
    <w:p>
      <w:pPr>
        <w:ind w:left="660" w:right="80" w:hanging="328"/>
        <w:spacing w:after="0" w:line="255"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Exclusive Venue. </w:t>
      </w:r>
      <w:r>
        <w:rPr>
          <w:rFonts w:ascii="Times New Roman" w:cs="Times New Roman" w:eastAsia="Times New Roman" w:hAnsi="Times New Roman"/>
          <w:sz w:val="18"/>
          <w:szCs w:val="18"/>
          <w:color w:val="auto"/>
        </w:rPr>
        <w:t>Our certificate of incorporation provides that unless the Company consents in writing to the selection of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alternative forum, the sole and exclusive forum for (i) any derivative action or proceeding brought on behalf of the Company, (ii) any action asserting a claim of breach of a fiduciary duty owed to the Company or the Company’s stockholders by any director, officer or other employee of the Company, (iii) any action asserting a claim arising pursuant to any provision of the Delaware General Corporation Law, or (iv) any action asserting a claim governed by the internal affairs doctrine shall be the Delaware Court of Chancery, or if the Delaware Court of Chancery determines that it does not have subject matter jurisdiction, the U.S. District Court for the District of Delaware or any court of the State of Delaware having subject matter jurisdiction regarding the matter.</w:t>
      </w:r>
    </w:p>
    <w:p>
      <w:pPr>
        <w:spacing w:after="0" w:line="144" w:lineRule="exact"/>
        <w:rPr>
          <w:rFonts w:ascii="Times New Roman" w:cs="Times New Roman" w:eastAsia="Times New Roman" w:hAnsi="Times New Roman"/>
          <w:sz w:val="18"/>
          <w:szCs w:val="18"/>
          <w:color w:val="auto"/>
        </w:rPr>
      </w:pPr>
    </w:p>
    <w:p>
      <w:pPr>
        <w:ind w:left="660" w:right="120" w:hanging="328"/>
        <w:spacing w:after="0" w:line="268"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Special Meeting of Stockholders. </w:t>
      </w:r>
      <w:r>
        <w:rPr>
          <w:rFonts w:ascii="Times New Roman" w:cs="Times New Roman" w:eastAsia="Times New Roman" w:hAnsi="Times New Roman"/>
          <w:sz w:val="18"/>
          <w:szCs w:val="18"/>
          <w:color w:val="auto"/>
        </w:rPr>
        <w:t>Our certificate of incorporation provides that a special meeting of stockholders may only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called by the President, the Chief Executive Officer, or the board of directors at any time and for any purpose or purposes as shall be stated in the notice of the meeting.</w:t>
      </w:r>
    </w:p>
    <w:p>
      <w:pPr>
        <w:spacing w:after="0" w:line="130" w:lineRule="exact"/>
        <w:rPr>
          <w:rFonts w:ascii="Times New Roman" w:cs="Times New Roman" w:eastAsia="Times New Roman" w:hAnsi="Times New Roman"/>
          <w:sz w:val="18"/>
          <w:szCs w:val="18"/>
          <w:color w:val="auto"/>
        </w:rPr>
      </w:pPr>
    </w:p>
    <w:p>
      <w:pPr>
        <w:ind w:left="660" w:right="340" w:hanging="328"/>
        <w:spacing w:after="0" w:line="28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Vacancies. </w:t>
      </w:r>
      <w:r>
        <w:rPr>
          <w:rFonts w:ascii="Times New Roman" w:cs="Times New Roman" w:eastAsia="Times New Roman" w:hAnsi="Times New Roman"/>
          <w:sz w:val="18"/>
          <w:szCs w:val="18"/>
          <w:color w:val="auto"/>
        </w:rPr>
        <w:t>Our certificate of incorporation provides that all vacancies may be filled by the affirmative vote of a majority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then in office, even if less than a quorum.</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“WATT.”</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issued in September 2025</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September 11, 2025, we issued warrants to purchase up to an aggregate of 1,020,409 shares of common stock. The following summary of certain terms and provisions of the warrants is not complete and is subject to, and qualified in its entirety by, the provisions of pre-funded warrants, the form of which are filed as an exhibit to our Annual Report on Form 10-K. Warrants will be issued in certificated form only.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Duration and Exercise Price</w:t>
      </w:r>
    </w:p>
    <w:p>
      <w:pPr>
        <w:spacing w:after="0" w:line="18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Each warrant has an exercise price of $7.79 per share. The warrants are exercisable commencing on the date of issuance and may be exercised until 5:00 p.m. (New York City time) five years from the issuance date. The exercise price of the warrants is subject to adjustment in the event of certain stock dividends and distributions, stock splits, stock combinations, reclassifications or similar events affecting our common stock.</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Exercisability</w:t>
      </w:r>
    </w:p>
    <w:p>
      <w:pPr>
        <w:spacing w:after="0" w:line="20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warrants are exercisable, at the option of each holder, in whole or in part, by delivering to us a duly executed exercise notice accompanied by payment in full for the number of shares of our common stock purchased upon such exercise (except in the case of a cashless exercise as discussed below). The holder (together with its affiliates) may not exercise any portion of its warrants to the extent that the holder would own more than 4.99% of the outstanding common stock immediately after exercise, except that upon at least 61 days’ prior notice from the holder to us, the holder may increase the amount of ownership of outstanding stock after exercising the holder’s warrants up to 9.99% of the number of shares of our common stock outstanding immediately after giving effect to the exercise, as such percentage ownership is determined in accordance with the terms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585470</wp:posOffset>
            </wp:positionV>
            <wp:extent cx="62922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17" w:right="10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i w:val="1"/>
          <w:iCs w:val="1"/>
          <w:color w:val="auto"/>
        </w:rPr>
        <w:t>Cashless Exercise</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at the time the holder exercises the warrants, a registration statement registering the issuance or resale of the shares of common stock underlying the warrants under the Securities Act is not then available for the issuance of such shares, then the holder may elect instead to receive upon such exercise (either in whole or in part) the net number of shares of common stock determined according to a formula set forth in the warrants.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Fundamental Transactions</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event of a fundamental transaction, as described in the warrants and generally including any reorganization, recapitalization or reclassification of our shares of common stock, the sale, lease, license, assignment, transfer, conveyance or other disposition of all or substantially all of our assets, our consolidation or merger with or into another person, the acquisition of 50% or more of our outstanding shares of our common stock or 50% or more of the voting power of our common equity, any purchase offer, tender offer or exchange offer that has been accepted by the holders of 50% or more of our outstanding common stock or 50% or more of the voting power of our common equity, then upon any subsequent exercise of the warrants, the holder will have the right to receive as alternative consideration, for each share of our common stock that would have been issuable upon such exercise immediately prior to the occurrence of such fundamental transaction, the number of shares of common stock of the successor or acquiring corporation or of our company, if it is the surviving corporation, and any additional consideration receivable as a result of such transaction by a holder of the number of shares of our common stock for which the warrants are exercisable immediately prior to such event. Notwithstanding the foregoing, in the event of a fundamental transaction (subject to certain exclusions), the holder of the warrants has the right to require us or a successor entity to purchase the warrants from them for cash in the amount of the Black-Scholes Value (as defined in the warrants) of the remaining unexercised portion of the warrants concurrently with or within 30 days following the consummation of a fundamental transaction.</w:t>
      </w:r>
    </w:p>
    <w:p>
      <w:pPr>
        <w:spacing w:after="0" w:line="14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However, in the event of a fundamental transaction which is not in our control, including a fundamental transaction not approved by our board of directors, the holder of the warrants will only be entitled to receive from us or our successor entity, as of the date of consummation of such fundamental transaction the same type or form of consideration (and in the same proportion), at the Black Scholes Value of the unexercised portion of the warrants that is being offered and paid to the holders of our common stock in connection with the fundamental transaction, whether that consideration is in the form of cash, stock or any combination of cash and stock, or whether the holders of our common stock are given the choice to receive alternative forms of consideration in connection with the fundamental transaction.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Transferability</w:t>
      </w:r>
    </w:p>
    <w:p>
      <w:pPr>
        <w:spacing w:after="0" w:line="18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Subject to applicable laws, a warrant may be transferred at the option of the holder upon surrender of the warrant to us together with the appropriate instruments of transfer and any transfer taxes payable upon making such transfer.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Fractional Shares</w:t>
      </w:r>
    </w:p>
    <w:p>
      <w:pPr>
        <w:spacing w:after="0" w:line="20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No fractional shares of common stock will be issued upon the exercise of the warrants. Rather, the number of shares of common stock to be issued will, at our election, either be rounded up to the next whole share or we will pay a cash adjustment in respect of such final fraction in an amount equal to such fraction multiplied by the exercise price.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 as a Stockholder</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the warrants or by virtue of the holder’s ownership of shares of our common stock, the holder of the warrants does not have the rights or privileges of a holder of our common stock, including any voting rights, until the holder exercises its warrants. The warrants provide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586105</wp:posOffset>
            </wp:positionV>
            <wp:extent cx="629221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119" w:right="1019" w:bottom="1440" w:gutter="0" w:footer="0" w:header="0"/>
        </w:sectPr>
      </w:pPr>
    </w:p>
    <w:bookmarkStart w:id="85" w:name="page86"/>
    <w:bookmarkEnd w:id="85"/>
    <w:p>
      <w:pPr>
        <w:ind w:right="1040"/>
        <w:spacing w:after="0" w:line="461" w:lineRule="auto"/>
        <w:rPr>
          <w:sz w:val="20"/>
          <w:szCs w:val="20"/>
          <w:color w:val="auto"/>
        </w:rPr>
      </w:pPr>
      <w:r>
        <w:rPr>
          <w:rFonts w:ascii="Times New Roman" w:cs="Times New Roman" w:eastAsia="Times New Roman" w:hAnsi="Times New Roman"/>
          <w:sz w:val="18"/>
          <w:szCs w:val="18"/>
          <w:color w:val="auto"/>
        </w:rPr>
        <w:t xml:space="preserve">that the holder of the warrants has the right to participate in distributions or dividends paid on our shares of common stock. </w:t>
      </w:r>
      <w:r>
        <w:rPr>
          <w:rFonts w:ascii="Times New Roman" w:cs="Times New Roman" w:eastAsia="Times New Roman" w:hAnsi="Times New Roman"/>
          <w:sz w:val="18"/>
          <w:szCs w:val="18"/>
          <w:i w:val="1"/>
          <w:iCs w:val="1"/>
          <w:color w:val="auto"/>
        </w:rPr>
        <w:t>Waivers and Amendments</w:t>
      </w:r>
    </w:p>
    <w:p>
      <w:pPr>
        <w:spacing w:after="0" w:line="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warrants may be modified or amended or the provisions of such warrants waived with the written consent of the Company and the holder of the warrants, other than with respect to the holder’s exercise limitations and the amendments provision, which may not be modified, amended or waived.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Placement Agent Warrants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September 11, 2025, we issued to the placement agent in the 2025 offering certain warrants to purchase an aggregate of 40,974 shares of common stock (the “Placement Agent Warrants”). The Placement Agent Warrants will have substantially the same terms as the warrants issued in September 2025 described above, except that the Placement Agent Warrants will have an exercise price of $9.90 per share and will expire on September 10,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331470</wp:posOffset>
            </wp:positionV>
            <wp:extent cx="629221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ENERGOUS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(Adopted: March 18,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Board of Directors of Energous Corporation (“Energous” or the “Company”) has adopted this insider trading policy (the “Policy”) to provide guidelines to all directors, officers, employees and consultants of Energous with respect to trading in Energous securities, as well as the securities of publicly traded companies with whom Energous has a business relationship. This Policy has been designed to prevent insider trading or even allegations of insider trading. Your strict adherence to this Policy will help safeguard Energous’ reputation and will further ensure that Energous conducts its business with the highest level of integrity and in accordance with the highest ethical standards. Each Energous employee is responsible for the consequences of his or her actions. You are responsible for understanding and complying with this Policy.</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Federal and state securities laws prohibit the purchase or sale of a company’s securities by anyone who is aware of material information about that company that is not generally known or available to the public. These laws also prohibit anyone who is aware of material nonpublic information from disclosing this information to others who may trade. Companies and their controlling persons may also be subject to liability if they fail to take reasonable steps to prevent insider trading by company personnel.</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It is important that you understand the breadth of activities that constitute illegal insider trading and the consequences, which can be severe. Cases have been successfully prosecuted against trading by individuals through foreign accounts, trading by family members and friends, and trading involving only a small number of shares. Both the U.S. Securities and Exchange Commission (the “SEC”) and the Financial Industry Regulatory Authority (“FINRA”) investigate and are very effective at detecting insider trading. Both the SEC and the U.S. Department of Justice pursue insider trading violations vigorously.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Sanctions and Penalties</w:t>
      </w:r>
    </w:p>
    <w:p>
      <w:pPr>
        <w:spacing w:after="0" w:line="31"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Violations of the insider trading laws can result in severe civil and criminal sanctions. For example, under U.S. securities laws, individuals may be subject to imprisonment for up to 20 years, criminal fines of up to $5 million and civil fines of up to three times the profit gained or loss avoided. Failure to comply with this Policy may also subject you to sanctions imposed by Energous, up to and including immediate dismissal for cause, whether or not your failure to comply with this Policy results in a violation of law.</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if the Company fails to take appropriate steps to prevent illegal insider trading, Energous may have “controlling person” liability for a trading violation, with civil penalties of up to the greater of $2,140,973 (subject to adjustment for inflation) and three times the profit gained or loss avoided, as well as a criminal penalty of up to $25 million. The civil penalties can extend personal liability to the Energous directors, officers and other supervisory personnel if they fail to take appropriate steps to prevent insider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605790</wp:posOffset>
            </wp:positionV>
            <wp:extent cx="629221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Persons Covered</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a director, officer, employee or consultant of Energous or its subsidiaries (if applicable), this Policy applies to you. The same restrictions that apply to you apply to your family members who reside with you, anyone else who lives in your household, and any family members who do not live in your household but whose transactions in Energous securities are directed by you or are subject to your influence or control (such as parents or children who consult with you before they trade in Energous securities). You are responsible for making sure that any transaction in securities covered by this Policy by any of these people complies with this Policy.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of Material Non-Public Information</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“Material non-public information” is any material information about Energous that has not yet become publicly available. Information is “material” if a reasonable investor would likely consider it important in making a decision to buy, hold or sell securities. Any information that could reasonably be expected to affect the price of the security is material. The information may be positive or negative. Financial information is frequently material, even if it covers only part of a fiscal period or less than all of Energous’ operations, since either of these might convey enough information about Energous’ consolidated results to be considered material information. Other common examples of information that may be material include:</w:t>
      </w:r>
    </w:p>
    <w:p>
      <w:pPr>
        <w:spacing w:after="0" w:line="190"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regarding sales, revenues or earnings (including projections);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forecasts of any kind, including earnings estimates or changes in previously announced earnings estimates;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that are inconsistent with the consensus expectations of the investment community;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major contracts, orders, suppliers, customers or finance sources, or the loss thereof;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a significant new product, process or service;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business trends and metrics;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liquidity problems;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proposed mergers, acquisitions, investments or divestitures;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pending or proposed joint venture;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management;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or loss of substantial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financings or restructurings;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unusual gains or losses;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strategies;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threatened developments in significant litigation or government investigations;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or private debt or equity offerings;</w:t>
      </w:r>
    </w:p>
    <w:p>
      <w:pPr>
        <w:spacing w:after="0" w:line="225"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risk or incident involving the Company’s business, including relating to customer, employee or Company data, or a product or service;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Energous share repurchases;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634365</wp:posOffset>
            </wp:positionV>
            <wp:extent cx="629221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88" w:name="page89"/>
    <w:bookmarkEnd w:id="88"/>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splits or dividend information.</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It is not possible to define all categories of material information, and you should recognize that the public, the media and the courts may use hindsight in judging what is material. Therefore, it is important to err on the safe side and assume information is material if there is any doubt. Information is “non-public” if it is not generally known or available to the public. </w:t>
      </w:r>
      <w:r>
        <w:rPr>
          <w:rFonts w:ascii="Times New Roman" w:cs="Times New Roman" w:eastAsia="Times New Roman" w:hAnsi="Times New Roman"/>
          <w:sz w:val="18"/>
          <w:szCs w:val="18"/>
          <w:b w:val="1"/>
          <w:bCs w:val="1"/>
          <w:u w:val="single" w:color="auto"/>
          <w:color w:val="auto"/>
        </w:rPr>
        <w:t>Information may still be non-public even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though it is widely known within Energous.</w:t>
      </w:r>
    </w:p>
    <w:p>
      <w:pPr>
        <w:spacing w:after="0" w:line="18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Release of information to the media does not immediately mean the information has become publicly available. Information is considered to be available to the public only when it has been released broadly to the marketplace (such as by a press release or an SEC filing) and the investing public has had time to absorb and evaluate it. With respect to earnings information, such earnings information should not be considered public until at least one full trading day has passed following its formal release to the market. For example, if Energous announces earnings before trading begins on a Tuesday, the first time you can buy or sell Energous securities is the opening of the market on Wednesday (assuming you are not aware of other material non-public information at that time). If, however, Energous announces earnings after trading begins that Tuesday, the first time you can buy or sell Energous securities is the opening of the market on Thursday.</w:t>
      </w:r>
    </w:p>
    <w:p>
      <w:pPr>
        <w:spacing w:after="0" w:line="18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Requirements Applicable to Everyone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trading in Energous securities while aware of material non-public information.</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You are prohibited from engaging in any transaction in Energous securities while aware of material non-public information about Energous. It makes no difference whether or not you relied upon or used material non-public information in deciding to trade – if you are aware of material non-public information about Energous, the prohibition applies. You should avoid even the appearance of an improper transaction to preserve Energous’ reputation for adhering to the highest ethical standards of conduct.</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prohibition covers virtually all transactions in Energous securities. “Securities” includes common stock, options to purchase common stock, debt securities, preferred stock and derivative securities such as put and call options, warrants, swaps, caps and collars. Transactions in Energous securities include purchases, sales, pledges, hedges, loans and gifts of Energous securities, as well as other direct or indirect transfers of Energous securities. Certain of these transactions are addressed in more detail below and may not be permitted under this Policy. This prohibition extends to trades of Energous securities in which you have any “beneficial” or other interest, or over which you exercise investment control, including:</w:t>
      </w:r>
    </w:p>
    <w:p>
      <w:pPr>
        <w:spacing w:after="0" w:line="187" w:lineRule="exact"/>
        <w:rPr>
          <w:sz w:val="20"/>
          <w:szCs w:val="20"/>
          <w:color w:val="auto"/>
        </w:rPr>
      </w:pPr>
    </w:p>
    <w:p>
      <w:pPr>
        <w:ind w:left="980" w:right="140" w:hanging="324"/>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 Energous securities held in joint accounts or accounts of persons or entities controlled directly or indirectly by you;</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 Energous securities for which you act as trustee, executor or custodian; and</w:t>
      </w:r>
    </w:p>
    <w:p>
      <w:pPr>
        <w:spacing w:after="0" w:line="225"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 any other account or investment involving in any way any Energous securities over which you exercise any direct or indirect control.</w:t>
      </w:r>
    </w:p>
    <w:p>
      <w:pPr>
        <w:spacing w:after="0" w:line="160"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Stock Option Exercises</w:t>
      </w:r>
      <w:r>
        <w:rPr>
          <w:rFonts w:ascii="Times New Roman" w:cs="Times New Roman" w:eastAsia="Times New Roman" w:hAnsi="Times New Roman"/>
          <w:sz w:val="18"/>
          <w:szCs w:val="18"/>
          <w:color w:val="auto"/>
        </w:rPr>
        <w:t>. This prohibition does not apply to the exercise of stock options issued under Energous plans if the exercise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paid in cash or through Energous withholding a portion of the shares underlying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593090</wp:posOffset>
            </wp:positionV>
            <wp:extent cx="629221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9" w:name="page90"/>
    <w:bookmarkEnd w:id="89"/>
    <w:p>
      <w:pPr>
        <w:ind w:right="260"/>
        <w:spacing w:after="0" w:line="266" w:lineRule="auto"/>
        <w:rPr>
          <w:sz w:val="20"/>
          <w:szCs w:val="20"/>
          <w:color w:val="auto"/>
        </w:rPr>
      </w:pPr>
      <w:r>
        <w:rPr>
          <w:rFonts w:ascii="Times New Roman" w:cs="Times New Roman" w:eastAsia="Times New Roman" w:hAnsi="Times New Roman"/>
          <w:sz w:val="18"/>
          <w:szCs w:val="18"/>
          <w:color w:val="auto"/>
        </w:rPr>
        <w:t>options. Similarly, Energous may withhold underlying shares to satisfy tax withholding requirements. This prohibition does apply, however, to sales of the underlying stock and broker-assisted cashless exercises of options, as well as to any other market sales for the purpose of generating the cash needed to cover the costs of exercise.</w:t>
      </w:r>
    </w:p>
    <w:p>
      <w:pPr>
        <w:spacing w:after="0" w:line="17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Vesting of Restricted Stock or other Stock Awards</w:t>
      </w:r>
      <w:r>
        <w:rPr>
          <w:rFonts w:ascii="Times New Roman" w:cs="Times New Roman" w:eastAsia="Times New Roman" w:hAnsi="Times New Roman"/>
          <w:sz w:val="18"/>
          <w:szCs w:val="18"/>
          <w:color w:val="auto"/>
        </w:rPr>
        <w:t>. This prohibition does not apply to the automatic deduction of shares by Energous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your restricted stock or other stock award account to satisfy the minimum statutory tax withholding liability upon the vesting of restricted stock or other stock award. The prohibition does apply, however, to any open market sale of vested shares, including to satisfy tax liabilities.</w:t>
      </w:r>
    </w:p>
    <w:p>
      <w:pPr>
        <w:spacing w:after="0" w:line="180" w:lineRule="exact"/>
        <w:rPr>
          <w:sz w:val="20"/>
          <w:szCs w:val="20"/>
          <w:color w:val="auto"/>
        </w:rPr>
      </w:pPr>
    </w:p>
    <w:p>
      <w:pPr>
        <w:ind w:right="460"/>
        <w:spacing w:after="0" w:line="284" w:lineRule="auto"/>
        <w:rPr>
          <w:sz w:val="20"/>
          <w:szCs w:val="20"/>
          <w:color w:val="auto"/>
        </w:rPr>
      </w:pPr>
      <w:r>
        <w:rPr>
          <w:rFonts w:ascii="Times New Roman" w:cs="Times New Roman" w:eastAsia="Times New Roman" w:hAnsi="Times New Roman"/>
          <w:sz w:val="18"/>
          <w:szCs w:val="18"/>
          <w:i w:val="1"/>
          <w:iCs w:val="1"/>
          <w:color w:val="auto"/>
        </w:rPr>
        <w:t>10b5-1 Plans</w:t>
      </w:r>
      <w:r>
        <w:rPr>
          <w:rFonts w:ascii="Times New Roman" w:cs="Times New Roman" w:eastAsia="Times New Roman" w:hAnsi="Times New Roman"/>
          <w:sz w:val="18"/>
          <w:szCs w:val="18"/>
          <w:color w:val="auto"/>
        </w:rPr>
        <w:t>. This prohibition does not apply to trades made pursuant to a valid “10b5-1 plan” approved by Energous as described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below.</w:t>
      </w:r>
    </w:p>
    <w:p>
      <w:pPr>
        <w:spacing w:after="0" w:line="158"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color w:val="auto"/>
        </w:rPr>
        <w:t xml:space="preserve">In addition, </w:t>
      </w:r>
      <w:r>
        <w:rPr>
          <w:rFonts w:ascii="Times New Roman" w:cs="Times New Roman" w:eastAsia="Times New Roman" w:hAnsi="Times New Roman"/>
          <w:sz w:val="18"/>
          <w:szCs w:val="18"/>
          <w:i w:val="1"/>
          <w:iCs w:val="1"/>
          <w:color w:val="auto"/>
        </w:rPr>
        <w:t>bona fide gifts</w:t>
      </w:r>
      <w:r>
        <w:rPr>
          <w:rFonts w:ascii="Times New Roman" w:cs="Times New Roman" w:eastAsia="Times New Roman" w:hAnsi="Times New Roman"/>
          <w:sz w:val="18"/>
          <w:szCs w:val="18"/>
          <w:color w:val="auto"/>
        </w:rPr>
        <w:t xml:space="preserve"> are not transactions subject to this Policy, unless the person making the gift has reason to believe that the recipient intends to sell the Company securities while the donor is aware of material nonpublic information, or the person making the gift is subject to the trading restrictions.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Event-specific restricted periods may apply.</w:t>
      </w:r>
    </w:p>
    <w:p>
      <w:pPr>
        <w:spacing w:after="0" w:line="31"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18"/>
          <w:szCs w:val="18"/>
          <w:color w:val="auto"/>
        </w:rPr>
        <w:t>Although you are always responsible for monitoring for yourself whether you possess material non-public information, from time-to-time Energous may decide to impose a special “restricted period” on those who are aware of particular information that Energous determines may be considered material non-public information. This kind of restricted period may be imposed in connection with a potential acquisition, a financial analyst conference, an anticipated positive or negative earnings announcement or other material development. If you are subject to the restricted period, you may not trade in any Energous securities, except pursuant to a 10b5 1 plan previously approved by Energous, until notified that the restricted period has ended.</w:t>
      </w:r>
    </w:p>
    <w:p>
      <w:pPr>
        <w:spacing w:after="0" w:line="19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CEO, CFO or General Counsel (in each case, in consultation with outside legal counsel) will determine whether an event-specific restricted period should be imposed. The existence of an event-specific restricted period will not be generally announced. If you are covered by the event-specific restricted period, you will be notified by the CEO, CFO or General Counsel. Any person made aware of an event-specific restricted period should not disclose the existence of the restricted period to anyone else.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Exception for Hardship.</w:t>
      </w:r>
    </w:p>
    <w:p>
      <w:pPr>
        <w:spacing w:after="0" w:line="31"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color w:val="auto"/>
        </w:rPr>
        <w:t>The existence of a personal financial emergency does not excuse you from compliance with this Policy. One limited exception is that an employee or other person who is subject to the quarterly earnings blackout period and who has an unexpected and urgent need to sell Company stock in order to generate cash may, in appropriate circumstances, be permitted to sell Company stock even during the quarterly blackout period. Hardship exceptions may be granted only by the CEO, CFO or General Counsel (in consultation with outside legal counsel) and must be requested at least two business days in advance of the proposed transaction. A hardship exception may be granted only if the CEO, CFO or General Counsel (in consultation with outside legal counsel) concludes that the Company’s earnings information for the applicable quarter does not constitute material nonpublic information. Under no circumstance will a hardship exception be granted during an event-specific blackout period to a director, executive officer or other person to whom an event-specific blackout period applies. A hardship exception does not relieve any person of the obligation not to trade while aware of material nonpublic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614045</wp:posOffset>
            </wp:positionV>
            <wp:extent cx="62922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No trading in securities of other companies while aware of material non-public information.</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Energous may engage in business transactions with companies whose securities are publicly traded. These transactions may include, among other things, mergers, acquisitions, divestitures or renewal or termination of significant contracts or other arrangements. Information learned in connection with these transactions or relationships may constitute material non-public information about the other company. You are prohibited from trading in the securities of these companies while aware of material non-public information about the companies and from communicating that information to any other person for such use.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“tipping” of material non-public information.</w:t>
      </w:r>
    </w:p>
    <w:p>
      <w:pPr>
        <w:spacing w:after="0" w:line="3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You may not pass material non-public information about Energous or any other company on to others or otherwise make unauthorized disclosure or use of this information, regardless of whether you profit or intend to profit by the tipping, disclosure, or use. This practice, known as “tipping”, also violates the securities laws and can result in the same civil and criminal penalties that apply to insider trading, even though you did not trade and did not gain any benefit from another's trading.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Frequent trading of Energous securities is strongly discouraged.</w:t>
      </w:r>
    </w:p>
    <w:p>
      <w:pPr>
        <w:spacing w:after="0" w:line="31"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Frequent trading of Energous securities can create an appearance of wrongdoing even if the decision to trade was based solely on public information such as stock price ranges and other market events. You are strongly discouraged from trading in Energous securities for short-term trading profits. Daily or frequent trading, which can be time-consuming and distracting, is strongly discouraged. Energous reserves the right to request brokerage account statements to assure compliance with this and other provisions of the Policy.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short sales of Energous securities.</w:t>
      </w:r>
    </w:p>
    <w:p>
      <w:pPr>
        <w:spacing w:after="0" w:line="3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You may not engage in short sales of Energous securities (sales of securities that are not then owned), including “sales against the box” (short sales not exceeding the number of shares already owned). Generally, short sales are transactions whereby a person will benefit from a decline in the price of the securities, and Energous believes it is inappropriate for a director, officer, employee or consultant to engage in these transactions with respect to Energous securities. In addition, short sales may reduce a seller’s incentive to improve the Company’s performance. For these reasons, you may not engage in short sales of the Company’s securities, including a “sale against the box” (a sale with delayed delivery).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trading in derivatives of Energous.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not trade in derivatives of an Energous security, such as exchange-traded put or call options and forward transactions.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hedging transactions.</w:t>
      </w:r>
    </w:p>
    <w:p>
      <w:pPr>
        <w:spacing w:after="0" w:line="31"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18"/>
          <w:szCs w:val="18"/>
          <w:color w:val="auto"/>
        </w:rPr>
        <w:t>Certain forms of hedging or monetization transactions, such as zero-cost collars and forward sale contracts, may offset a decrease, or limit your ability to profit from an increase, in the value of Energous securities you hold, enabling you to continue to own Energous securities without the full risks and rewards of ownership. Energous believes that such transactions separate the holder's interests from those of other stockholders. Therefore, you and any person acting on your behalf are prohibited from purchasing any financial instruments (such as prepaid variable forward contracts, equity swaps, collars or exchange funds) or otherwise engaging in any transactions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612140</wp:posOffset>
            </wp:positionV>
            <wp:extent cx="629221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17" w:right="1039" w:bottom="1440" w:gutter="0" w:footer="0" w:header="0"/>
        </w:sectPr>
      </w:pPr>
    </w:p>
    <w:bookmarkStart w:id="91" w:name="page92"/>
    <w:bookmarkEnd w:id="91"/>
    <w:p>
      <w:pPr>
        <w:ind w:right="40"/>
        <w:spacing w:after="0" w:line="282" w:lineRule="auto"/>
        <w:rPr>
          <w:sz w:val="20"/>
          <w:szCs w:val="20"/>
          <w:color w:val="auto"/>
        </w:rPr>
      </w:pPr>
      <w:r>
        <w:rPr>
          <w:rFonts w:ascii="Times New Roman" w:cs="Times New Roman" w:eastAsia="Times New Roman" w:hAnsi="Times New Roman"/>
          <w:sz w:val="18"/>
          <w:szCs w:val="18"/>
          <w:color w:val="auto"/>
        </w:rPr>
        <w:t>hedge or offset any decrease in the market value of Energous securities or limit your ability to profit from an increase in the market value of Energous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margin accounts or pledges.</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Securities held in a margin account or pledged as collateral for a loan may be sold without your consent by the broker if you fail to meet a margin call or by the lender in foreclosure if you default on the loan. Because a margin or foreclosure sale may occur at a time when you are aware of material nonpublic information or otherwise are not permitted to trade in Energous securities, you are prohibited from holding Energous securities in a margin account or pledging Energous securities as collateral for a loan. An exception to this prohibition may be granted where you wish to pledge Company securities as collateral for a loan (not including margin debt) and clearly demonstrate the financial capacity to repay the loan without resort to the pledged securities. If you wish to pledge Company securities as collateral for a loan, you must submit a request for approval to the CEO, CFO or General Counsel at least two weeks prior to the proposed execution of the documents evidencing the proposed pledge.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Limited use of standing orders.</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Standing orders should be used only for three business days. A standing order placed with a broker to sell or purchase stock at a specified price leaves you with no control over the timing of the transaction. A standing order transaction executed by the broker when you are aware of material nonpublic information may result in unlawful insider trading. A standing order incorporated into a 10b5-1 plan approved by Energous is permitted.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trading on rumors.</w:t>
      </w:r>
    </w:p>
    <w:p>
      <w:pPr>
        <w:spacing w:after="0" w:line="31"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Rumors within Energous concerning matters which, if true, would be material non-public information are deemed to constitute material non-public information for purposes of this Policy. Accordingly, you should not trade on the basis of these rumors.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non-public information must be kept confidential.</w:t>
      </w:r>
    </w:p>
    <w:p>
      <w:pPr>
        <w:spacing w:after="0" w:line="31"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color w:val="auto"/>
        </w:rPr>
        <w:t>Material non-public information about Energous or its business partners is the property of Energous, and unauthorized disclosure or use of that information is prohibited. That information should be maintained in strict confidence and should be discussed, even within Energous, only with persons who have a “need to know.” You should exercise the utmost care and circumspection in dealing with information that may be material non-public information. Conversations in public places, such as hallways, elevators, restaurants and airplanes, involving information of a sensitive or confidential nature should be avoided. Written information should be appropriately safeguarded and should not be left where it may be seen by persons not entitled to the information. The unauthorized disclosure of information could result in serious consequences to Energous, whether or not the disclosure is made for the purpose of facilitating improper trading in securities.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Participation in electronic bulletin boards, chat rooms, blogs or websites must be consistent with this Policy.</w:t>
      </w:r>
    </w:p>
    <w:p>
      <w:pPr>
        <w:spacing w:after="0" w:line="31"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Any written or verbal statement that would be prohibited under the law or under this Policy is equally prohibited if made on electronic bulletin boards, chat rooms, blogs, websites or any other form of social media, including the disclosure of material non-public information about Energous or material nonpublic information with respect to other companies that you come into possession of as a director, officer, employee or consultant of Energous.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611505</wp:posOffset>
            </wp:positionV>
            <wp:extent cx="629221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Public disclosures should be made only by designated persons.</w:t>
      </w:r>
    </w:p>
    <w:p>
      <w:pPr>
        <w:spacing w:after="0" w:line="31"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No individuals other than specifically authorized personnel should release material information to the public or respond to inquiries from the media, analysts, investors or others outside of Energous. You should not respond to these inquiries unless expressly authorized to do so and should refer any inquiries to the CEO, CFO or General Counsel.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Post-employment transactions may be prohibited.</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portions of this Policy relating to trading while in possession of material non-public information and the use or disclosure of that information continue to apply to transactions in Energous securities even after termination of employment or association with Energous. If you are aware of material non-public information about Energous when your employment or other business relationship with Energous ends, you may not trade in Energous securities or disclose the material non-public information to anyone else until that information is made public or becomes no longer material.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Requirements Applicable to Restricted Persons.</w:t>
      </w:r>
    </w:p>
    <w:p>
      <w:pPr>
        <w:spacing w:after="0" w:line="31"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“Restricted Persons” </w:t>
      </w:r>
      <w:r>
        <w:rPr>
          <w:rFonts w:ascii="Times New Roman" w:cs="Times New Roman" w:eastAsia="Times New Roman" w:hAnsi="Times New Roman"/>
          <w:sz w:val="18"/>
          <w:szCs w:val="18"/>
          <w:color w:val="auto"/>
        </w:rPr>
        <w:t>are those who are at an enhanced risk of possessing material nonpublic information and who therefore must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greater diligence to comply with insider trading prohibitions. This group includes all members of the Board of Directors, officers and certain senior finance, legal, HR, business development, investor relations, corporate communication and management employees at corporate headquarters and in Energous’ business units, as well as any other employees in a role that makes it likely they will have involvement with material nonpublic information.</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If you are a Restricted Person that is not a director or executive officer, the procedures set forth in this section of the Policy will cease to apply to your transactions in Energous securities upon the expiration of any restricted period that is applicable to your transactions at the time your employment or other relationship with Energous ends. Directors will remain Restricted Persons for a period of six months following the last day of service as a director of Energous, and executive officers will remain Restricted Persons for a period of six months following the last day of employment with Energous.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restricted periods.</w:t>
      </w:r>
    </w:p>
    <w:p>
      <w:pPr>
        <w:spacing w:after="0" w:line="31" w:lineRule="exact"/>
        <w:rPr>
          <w:sz w:val="20"/>
          <w:szCs w:val="20"/>
          <w:color w:val="auto"/>
        </w:rPr>
      </w:pPr>
    </w:p>
    <w:p>
      <w:pPr>
        <w:ind w:right="720"/>
        <w:spacing w:after="0" w:line="260" w:lineRule="auto"/>
        <w:rPr>
          <w:sz w:val="20"/>
          <w:szCs w:val="20"/>
          <w:color w:val="auto"/>
        </w:rPr>
      </w:pPr>
      <w:r>
        <w:rPr>
          <w:rFonts w:ascii="Times New Roman" w:cs="Times New Roman" w:eastAsia="Times New Roman" w:hAnsi="Times New Roman"/>
          <w:sz w:val="18"/>
          <w:szCs w:val="18"/>
          <w:color w:val="auto"/>
        </w:rPr>
        <w:t>No Restricted Person may engage in any transaction (including gifts) in Energous securities during a quarterly restricted period, regardless of whether they are then actually aware of material nonpublic information.</w:t>
      </w:r>
    </w:p>
    <w:p>
      <w:pPr>
        <w:spacing w:after="0" w:line="1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quarterly restricted period is in effect with respect to each quarterly earnings announcement, starting on the 15th day of the third month of the applicable Energous fiscal quarter and ending when one full trading day has passed following the public announcement of Energous’ quarterly financial results. Energous has selected this period because it is the time when there is likely to be material nonpublic information about Energous that may be available to Restricted Persons.</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certain Restricted Persons designated by the CEO, CFO or General Counsel (in consultation with outside legal counsel), from time to time, the quarterly restricted period may start prior to the 15th day of the third month of the quarter.</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Notwithstanding the above, a quarterly restricted period does not prohibit trading in Energous securities pursuant to a valid pre-existing 10b5-1 plan approved by Energous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594360</wp:posOffset>
            </wp:positionV>
            <wp:extent cx="629221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Trading pre-clearance requirement for certain Restricted Persons.</w:t>
      </w:r>
    </w:p>
    <w:p>
      <w:pPr>
        <w:spacing w:after="0" w:line="3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Certain Restricted Persons designated by the CEO, CFO or General Counsel (in consultation with outside legal counsel), must obtain pre-clearance by the CEO, CFO or General Counsel (in consultation with outside legal counsel) (each an “Approving Person”) before engaging in any transaction involving Energous securities, including, but not limited to, purchases, sales, and gifts. Those Restricted Persons who are required to obtain pre-clearance will be notified from time to time by an Approving Person of the applicable pre-clearance or other procedures applicable to them. Each Approving Person should consult with the other Approving Persons, or their designees, prior to granting pre-clearance for trades. No Approving Person may engage in a transaction in Energous securities unless the other Approving Persons have pre-cleared the transaction. A request for pre-clearance should be submitted to the CEO, CFO or General Counsel at least two business days in advance of the proposed transaction.</w:t>
      </w:r>
    </w:p>
    <w:p>
      <w:pPr>
        <w:spacing w:after="0" w:line="19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Approving Persons are under no obligation to approve a transaction submitted for pre-clearance and may determine not to permit a transaction, even if it would not violate the federal securities laws or a specific provision of this Policy. In certain circumstances, other employees may be asked to clear with an Approving Person all proposed transactions before initiating them. The fact that a particular intended trade has been denied pre-clearance should be treated as confidential information and should not be disclosed to any person unless authorized by the Approving Person.</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a request for pre-clearance is approved, you have three business days to effect the transaction (or, if sooner, before commencement of a quarterly or event-specific restricted period). Under no circumstance may a person trade while aware of material non-public information about Energous, even if pre-cleared. Thus, if you become aware of material nonpublic information after receiving pre-clearance, but before the trade has been executed, you must not effect the pre-cleared transaction.</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Energous’ approval of any particular transaction under this pre-clearance procedure does not insulate any Restricted Person from liability under the securities laws. Under the law, the ultimate responsibility for determining whether an individual is aware of material non-public information about Energous rests with that individual in all cases.</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Approving Person is under no obligation to approve a trade submitted for pre-clearance and may determine not to permit the trade. The CEO or the CFO, as applicable, has the sole discretion to decide whether to clear transactions by the General Counsel or persons or entities subject to this Policy as a result of their relationship with the General Counsel, and the General Counsel, in consultation with outside legal counsel will decide whether to clear transactions by the CEO or the CFO, as applicable, or persons or entities subject to this Policy as a result of their relationship with the CEO or CFO.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10b5-1 Plans</w:t>
      </w:r>
    </w:p>
    <w:p>
      <w:pPr>
        <w:spacing w:after="0" w:line="3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SEC Rule 10b5-1(c) of the Securities Exchange Act of 1934 permits corporate insiders to establish written trading plans (commonly referred to as “10b5-1 plans”) that can be useful in enabling insiders to plan ahead without fear that they might become exposed to material non-public information that will prevent them from trading. Where a valid 10b5-1 plan has been established at a time when the insider was not in possession of material non-public information, trades executed as specified by the plan do not violate the securities laws or this Policy even if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610235</wp:posOffset>
            </wp:positionV>
            <wp:extent cx="62922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17" w:right="1019" w:bottom="1440" w:gutter="0" w:footer="0" w:header="0"/>
        </w:sectPr>
      </w:pPr>
    </w:p>
    <w:bookmarkStart w:id="94" w:name="page95"/>
    <w:bookmarkEnd w:id="94"/>
    <w:p>
      <w:pPr>
        <w:ind w:right="120"/>
        <w:spacing w:after="0" w:line="282" w:lineRule="auto"/>
        <w:rPr>
          <w:sz w:val="20"/>
          <w:szCs w:val="20"/>
          <w:color w:val="auto"/>
        </w:rPr>
      </w:pPr>
      <w:r>
        <w:rPr>
          <w:rFonts w:ascii="Times New Roman" w:cs="Times New Roman" w:eastAsia="Times New Roman" w:hAnsi="Times New Roman"/>
          <w:sz w:val="18"/>
          <w:szCs w:val="18"/>
          <w:color w:val="auto"/>
        </w:rPr>
        <w:t>insider is in possession of material non-public information at the time the trade is executed. Trades executed as specified by the plan are not subject to the pre-clearance requirement.</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To qualify as a 10b5-1 plan for purposes of this Policy, the plan must be approved in advance by the CEO, CFO or General Counsel and Perkins Coie, and you should allow at least five business days for that approval. One of the factors that they may consider in determining whether to approve a 10b5-1 plan is compliance with Energous’ applicable minimum stock ownership guidelines. These pre-planned trading programs are available only to officers and such other Energous employees as may be designated from time to time by the CEO, CFO or General Counsel. For more information about how to establish a 10b5-1 plan, please contact the CEO, CFO or General Counsel. Energous reserves the right to disapprove any submitted plan, and to suspend or instruct you to terminate any plan that it has previously approved.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Inquiries</w:t>
      </w:r>
    </w:p>
    <w:p>
      <w:pPr>
        <w:spacing w:after="0" w:line="3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Any questions about this Policy, its application to a proposed transaction, or the requirements of applicable laws should be directed to the CEO, CFO or General Counsel.</w:t>
      </w:r>
    </w:p>
    <w:p>
      <w:pPr>
        <w:spacing w:after="0" w:line="1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Rev. 2, effective: March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156845</wp:posOffset>
            </wp:positionV>
            <wp:extent cx="629221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(Acknowledgement &amp; Receipt Form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636905</wp:posOffset>
            </wp:positionV>
            <wp:extent cx="629221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5" w:name="page96"/>
    <w:bookmarkEnd w:id="95"/>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ENERGOUS CORPORATION INSIDER TRADING POLICY</w:t>
      </w: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Acknowledgement &amp; Receipt Form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Name: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62922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 acknowledge that I have received a copy of the </w:t>
      </w:r>
      <w:r>
        <w:rPr>
          <w:rFonts w:ascii="Times New Roman" w:cs="Times New Roman" w:eastAsia="Times New Roman" w:hAnsi="Times New Roman"/>
          <w:sz w:val="17"/>
          <w:szCs w:val="17"/>
          <w:b w:val="1"/>
          <w:bCs w:val="1"/>
          <w:color w:val="auto"/>
        </w:rPr>
        <w:t>ENERGOUS CORPORATION INSIDER TRADING POLICY, rev. 2, effective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March 18, 2026 (“Policy”) </w:t>
      </w:r>
      <w:r>
        <w:rPr>
          <w:rFonts w:ascii="Times New Roman" w:cs="Times New Roman" w:eastAsia="Times New Roman" w:hAnsi="Times New Roman"/>
          <w:sz w:val="18"/>
          <w:szCs w:val="18"/>
          <w:color w:val="auto"/>
        </w:rPr>
        <w:t>and that:</w:t>
      </w:r>
    </w:p>
    <w:p>
      <w:pPr>
        <w:spacing w:after="0" w:line="207"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read and understand the contents of the Policy and agree to abide by its terms as a condition of my employment.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that my failure to follow the Policy may result in disciplinary action.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it is my responsibility to ask the CEO, CFO or General Counsel if I have any questions regarding the Policy.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acknowledge that Energous Corp. may amend or modify this Policy at any time, with or without notice.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that nothing in this Policy constitutes a contract of employment or a guarantee of continued employment.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AGREED TO AND ACCEPTED BY: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Signature: 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499745</wp:posOffset>
            </wp:positionV>
            <wp:extent cx="629221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600"/>
          </w:cols>
          <w:pgMar w:left="980" w:top="117" w:right="131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(File Nos. 333-290783 and 333-283819) and Form S-8 (File Nos. 333-196360, 333-203152, 333-204690, 333-210239, 333-214785, 333-219125, 333-223747, 333-225396, 333-248536, 333-259621, 333-266923, 333-278352, 333-280514 and 333-290037) of Energous Corporation of our report dated March 26, 2026, relating to the financial statements, which appears in this Annual Report on Form 10-K.</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BPM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Mallorie Burak, certify that:</w:t>
      </w:r>
    </w:p>
    <w:p>
      <w:pPr>
        <w:spacing w:after="0" w:line="185" w:lineRule="exact"/>
        <w:rPr>
          <w:sz w:val="20"/>
          <w:szCs w:val="20"/>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Energous Corporation;</w:t>
      </w:r>
    </w:p>
    <w:p>
      <w:pPr>
        <w:spacing w:after="0" w:line="184"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340" w:right="140" w:hanging="332"/>
        <w:spacing w:after="0" w:line="266"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26,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Mallorie Burak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Mallorie Burak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 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8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Energous Corporation (the “Company”) on Form 10-K for the year ended December 31, 2025 as filed with the Securities and Exchange Commission on the date hereof (the “Report”), I, Mallorie Burak, Chief Executive Officer and Chief Financial Officer of the Company, certify, pursuant to 18 U.S.C. § 1350, as adopted pursuant to § 906 of the Sarbanes-Oxley Act of 2002, that:</w:t>
      </w:r>
    </w:p>
    <w:p>
      <w:pPr>
        <w:spacing w:after="0" w:line="139"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21"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Energous Corporation and will be retained by Energous Corporation and furnished to the Securities and Exchange Commission or its staff upon request.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Mallorie Burak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Name:Mallorie Burak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 and Chief Financial Officer</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(Principal Executive Officer and Principal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1."/>
      <w:numFmt w:val="decimal"/>
      <w:start w:val="1"/>
    </w:lvl>
  </w:abstractNum>
  <w:abstractNum w:abstractNumId="27">
    <w:nsid w:val="3804823E"/>
    <w:multiLevelType w:val="hybridMultilevel"/>
    <w:lvl w:ilvl="0">
      <w:lvlJc w:val="left"/>
      <w:lvlText w:val="%1."/>
      <w:numFmt w:val="decimal"/>
      <w:start w:val="5"/>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1."/>
      <w:numFmt w:val="decimal"/>
      <w:start w:val="1"/>
    </w:lvl>
  </w:abstractNum>
  <w:abstractNum w:abstractNumId="30">
    <w:nsid w:val="5C482A97"/>
    <w:multiLevelType w:val="hybridMultilevel"/>
    <w:lvl w:ilvl="0">
      <w:lvlJc w:val="left"/>
      <w:lvlText w:val="%1."/>
      <w:numFmt w:val="decimal"/>
      <w:start w:val="1"/>
    </w:lvl>
  </w:abstractNum>
  <w:abstractNum w:abstractNumId="31">
    <w:nsid w:val="2463B9EA"/>
    <w:multiLevelType w:val="hybridMultilevel"/>
    <w:lvl w:ilvl="0">
      <w:lvlJc w:val="left"/>
      <w:lvlText w:val="&amp;"/>
      <w:numFmt w:val="bullet"/>
      <w:start w:val="1"/>
    </w:lvl>
  </w:abstractNum>
  <w:abstractNum w:abstractNumId="32">
    <w:nsid w:val="5E884ADC"/>
    <w:multiLevelType w:val="hybridMultilevel"/>
    <w:lvl w:ilvl="0">
      <w:lvlJc w:val="left"/>
      <w:lvlText w:val="%1"/>
      <w:numFmt w:val="decimal"/>
      <w:start w:val="104"/>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1."/>
      <w:numFmt w:val="decimal"/>
      <w:start w:val="1"/>
    </w:lvl>
  </w:abstractNum>
  <w:abstractNum w:abstractNumId="43">
    <w:nsid w:val="2CD89A32"/>
    <w:multiLevelType w:val="hybridMultilevel"/>
    <w:lvl w:ilvl="0">
      <w:lvlJc w:val="left"/>
      <w:lvlText w:val="%1."/>
      <w:numFmt w:val="decimal"/>
      <w:start w:val="1"/>
    </w:lvl>
    <w:lvl w:ilvl="1">
      <w:lvlJc w:val="left"/>
      <w:lvlText w:val="%2)"/>
      <w:numFmt w:val="lowerLetter"/>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101" Type="http://schemas.openxmlformats.org/officeDocument/2006/relationships/image" Target="media/image79.png"/><Relationship Id="rId110" Type="http://schemas.openxmlformats.org/officeDocument/2006/relationships/image" Target="media/image80.png"/><Relationship Id="rId111" Type="http://schemas.openxmlformats.org/officeDocument/2006/relationships/image" Target="media/image81.png"/><Relationship Id="rId112" Type="http://schemas.openxmlformats.org/officeDocument/2006/relationships/image" Target="media/image82.png"/><Relationship Id="rId113" Type="http://schemas.openxmlformats.org/officeDocument/2006/relationships/image" Target="media/image83.png"/><Relationship Id="rId114" Type="http://schemas.openxmlformats.org/officeDocument/2006/relationships/image" Target="media/image84.png"/><Relationship Id="rId115" Type="http://schemas.openxmlformats.org/officeDocument/2006/relationships/image" Target="media/image85.png"/><Relationship Id="rId116" Type="http://schemas.openxmlformats.org/officeDocument/2006/relationships/image" Target="media/image86.png"/><Relationship Id="rId117" Type="http://schemas.openxmlformats.org/officeDocument/2006/relationships/image" Target="media/image87.png"/><Relationship Id="rId118" Type="http://schemas.openxmlformats.org/officeDocument/2006/relationships/image" Target="media/image88.png"/><Relationship Id="rId119" Type="http://schemas.openxmlformats.org/officeDocument/2006/relationships/image" Target="media/image89.png"/><Relationship Id="rId120" Type="http://schemas.openxmlformats.org/officeDocument/2006/relationships/image" Target="media/image90.png"/><Relationship Id="rId121" Type="http://schemas.openxmlformats.org/officeDocument/2006/relationships/image" Target="media/image91.png"/><Relationship Id="rId122" Type="http://schemas.openxmlformats.org/officeDocument/2006/relationships/image" Target="media/image92.png"/><Relationship Id="rId123" Type="http://schemas.openxmlformats.org/officeDocument/2006/relationships/image" Target="media/image93.png"/><Relationship Id="rId124" Type="http://schemas.openxmlformats.org/officeDocument/2006/relationships/image" Target="media/image94.png"/><Relationship Id="rId125" Type="http://schemas.openxmlformats.org/officeDocument/2006/relationships/image" Target="media/image95.png"/><Relationship Id="rId126" Type="http://schemas.openxmlformats.org/officeDocument/2006/relationships/image" Target="media/image96.png"/><Relationship Id="rId127" Type="http://schemas.openxmlformats.org/officeDocument/2006/relationships/image" Target="media/image97.png"/><Relationship Id="rId128" Type="http://schemas.openxmlformats.org/officeDocument/2006/relationships/image" Target="media/image98.png"/><Relationship Id="rId129" Type="http://schemas.openxmlformats.org/officeDocument/2006/relationships/image" Target="media/image99.png"/><Relationship Id="rId130" Type="http://schemas.openxmlformats.org/officeDocument/2006/relationships/image" Target="media/image100.png"/><Relationship Id="rId131" Type="http://schemas.openxmlformats.org/officeDocument/2006/relationships/image" Target="media/image101.png"/><Relationship Id="rId132" Type="http://schemas.openxmlformats.org/officeDocument/2006/relationships/image" Target="media/image102.png"/><Relationship Id="rId133" Type="http://schemas.openxmlformats.org/officeDocument/2006/relationships/image" Target="media/image103.png"/><Relationship Id="rId134" Type="http://schemas.openxmlformats.org/officeDocument/2006/relationships/image" Target="media/image104.png"/><Relationship Id="rId135" Type="http://schemas.openxmlformats.org/officeDocument/2006/relationships/image" Target="media/image105.png"/><Relationship Id="rId136" Type="http://schemas.openxmlformats.org/officeDocument/2006/relationships/image" Target="media/image106.png"/><Relationship Id="rId137" Type="http://schemas.openxmlformats.org/officeDocument/2006/relationships/image" Target="media/image107.png"/><Relationship Id="rId86" Type="http://schemas.openxmlformats.org/officeDocument/2006/relationships/hyperlink" Target="https://www.sec.gov/Archives/edgar/data/1575793/000156459020038993/watt-ex31_26.htm" TargetMode="External"/><Relationship Id="rId87" Type="http://schemas.openxmlformats.org/officeDocument/2006/relationships/hyperlink" Target="https://www.sec.gov/Archives/edgar/data/1575793/000119312523213522/d495019dex31.htm" TargetMode="External"/><Relationship Id="rId88" Type="http://schemas.openxmlformats.org/officeDocument/2006/relationships/hyperlink" Target="https://www.sec.gov/Archives/edgar/data/1575793/000110465925075898/tm2522903d1_3-1.htm" TargetMode="External"/><Relationship Id="rId89" Type="http://schemas.openxmlformats.org/officeDocument/2006/relationships/hyperlink" Target="https://www.sec.gov/Archives/edgar/data/1575793/000110465925034243/tm2511996d1_ex3-1.htm" TargetMode="External"/><Relationship Id="rId90" Type="http://schemas.openxmlformats.org/officeDocument/2006/relationships/hyperlink" Target="https://www.sec.gov/Archives/edgar/data/1575793/000114420414017157/v372345_ex4-1.htm" TargetMode="External"/><Relationship Id="rId91" Type="http://schemas.openxmlformats.org/officeDocument/2006/relationships/hyperlink" Target="https://www.sec.gov/Archives/edgar/data/1575793/000141057825002030/tm2525849d2_ex4-1.htm" TargetMode="External"/><Relationship Id="rId92" Type="http://schemas.openxmlformats.org/officeDocument/2006/relationships/hyperlink" Target="https://www.sec.gov/Archives/edgar/data/1575793/000141057825002030/tm2525849d2_ex4-2.htm" TargetMode="External"/><Relationship Id="rId93" Type="http://schemas.openxmlformats.org/officeDocument/2006/relationships/hyperlink" Target="https://www.sec.gov/Archives/edgar/data/1575793/000141057825002030/tm2525849d2_ex4-3.htm" TargetMode="External"/><Relationship Id="rId94" Type="http://schemas.openxmlformats.org/officeDocument/2006/relationships/hyperlink" Target="https://www.sec.gov/Archives/edgar/data/1575793/000141057825002030/tm2525849d2_ex4-4.htm" TargetMode="External"/><Relationship Id="rId95" Type="http://schemas.openxmlformats.org/officeDocument/2006/relationships/hyperlink" Target="https://www.sec.gov/Archives/edgar/data/1575793/000141057825002030/tm2525849d2_ex4-5.htm" TargetMode="External"/><Relationship Id="rId96" Type="http://schemas.openxmlformats.org/officeDocument/2006/relationships/hyperlink" Target="https://www.sec.gov/Archives/edgar/data/1575793/000156459021043164/watt-ex101_30.htm" TargetMode="External"/><Relationship Id="rId97" Type="http://schemas.openxmlformats.org/officeDocument/2006/relationships/hyperlink" Target="https://www.sec.gov/Archives/edgar/data/1575793/000110465925059401/tm2517950d1_10-1.htm" TargetMode="External"/><Relationship Id="rId98" Type="http://schemas.openxmlformats.org/officeDocument/2006/relationships/hyperlink" Target="https://www.sec.gov/Archives/edgar/data/1575793/000141057825000218/watt-20241231xex10d3.htm" TargetMode="External"/><Relationship Id="rId99" Type="http://schemas.openxmlformats.org/officeDocument/2006/relationships/hyperlink" Target="https://www.sec.gov/Archives/edgar/data/1575793/000119312524008638/d635893dex101.htm" TargetMode="External"/><Relationship Id="rId100" Type="http://schemas.openxmlformats.org/officeDocument/2006/relationships/hyperlink" Target="https://www.sec.gov/Archives/edgar/data/1575793/000110465924071806/tm2417269d1_ex10-3.htm" TargetMode="External"/><Relationship Id="rId102" Type="http://schemas.openxmlformats.org/officeDocument/2006/relationships/hyperlink" Target="https://www.sec.gov/Archives/edgar/data/1575793/000156459021057041/watt-ex101_85.htm" TargetMode="External"/><Relationship Id="rId103" Type="http://schemas.openxmlformats.org/officeDocument/2006/relationships/hyperlink" Target="https://www.sec.gov/Archives/edgar/data/1575793/000110465924073976/tm2417748d1_ex10-1.htm" TargetMode="External"/><Relationship Id="rId104" Type="http://schemas.openxmlformats.org/officeDocument/2006/relationships/hyperlink" Target="https://www.sec.gov/Archives/edgar/data/1575793/000110465924105574/tm2425457d1_ex10-1.htm" TargetMode="External"/><Relationship Id="rId105" Type="http://schemas.openxmlformats.org/officeDocument/2006/relationships/hyperlink" Target="https://www.sec.gov/Archives/edgar/data/1575793/000110465924115976/tm2427982d1_ex10-1.htm" TargetMode="External"/><Relationship Id="rId106" Type="http://schemas.openxmlformats.org/officeDocument/2006/relationships/hyperlink" Target="https://www.sec.gov/Archives/edgar/data/1575793/000141057825002030/tm2525849d2_ex10-1.htm" TargetMode="External"/><Relationship Id="rId107" Type="http://schemas.openxmlformats.org/officeDocument/2006/relationships/hyperlink" Target="https://www.sec.gov/Archives/edgar/data/1575793/000141057825002030/tm2525849d2_ex10-2.htm" TargetMode="External"/><Relationship Id="rId108" Type="http://schemas.openxmlformats.org/officeDocument/2006/relationships/hyperlink" Target="https://www.sec.gov/Archives/edgar/data/1575793/000119312518086072/d528824dex211.htm" TargetMode="External"/><Relationship Id="rId109" Type="http://schemas.openxmlformats.org/officeDocument/2006/relationships/hyperlink" Target="https://www.sec.gov/Archives/edgar/data/1575793/000095017024038168/watt-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2026-03-26T15:50:44Z</dcterms:created>
  <dcterms:modified xsi:type="dcterms:W3CDTF">2026-03-26T15:50:44Z</dcterms:modified>
</cp:coreProperties>
</file>