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5710" cy="27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63157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5710" cy="698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9" w:lineRule="exact"/>
        <w:rPr>
          <w:sz w:val="24"/>
          <w:szCs w:val="24"/>
          <w:color w:val="auto"/>
        </w:rPr>
      </w:pPr>
    </w:p>
    <w:p>
      <w:pPr>
        <w:ind w:left="340" w:hanging="329"/>
        <w:spacing w:after="0"/>
        <w:tabs>
          <w:tab w:leader="none" w:pos="3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8" w:lineRule="exact"/>
        <w:rPr>
          <w:rFonts w:ascii="MS PGothic" w:cs="MS PGothic" w:eastAsia="MS PGothic" w:hAnsi="MS PGothic"/>
          <w:sz w:val="14"/>
          <w:szCs w:val="14"/>
          <w:color w:val="auto"/>
          <w:highlight w:val="black"/>
        </w:rPr>
      </w:pPr>
    </w:p>
    <w:p>
      <w:pPr>
        <w:ind w:left="334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FOR THE QUARTERLY PERIOD ENDED JUNE 30, 2024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3" w:lineRule="exact"/>
        <w:rPr>
          <w:sz w:val="24"/>
          <w:szCs w:val="24"/>
          <w:color w:val="auto"/>
        </w:rPr>
      </w:pPr>
    </w:p>
    <w:p>
      <w:pPr>
        <w:ind w:left="340" w:hanging="329"/>
        <w:spacing w:after="0"/>
        <w:tabs>
          <w:tab w:leader="none" w:pos="3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1560195</wp:posOffset>
            </wp:positionH>
            <wp:positionV relativeFrom="paragraph">
              <wp:posOffset>64770</wp:posOffset>
            </wp:positionV>
            <wp:extent cx="3208655" cy="906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8655" cy="906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001-36379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ENERGOUS CORPORATION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jc w:val="center"/>
              <w:ind w:left="147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20" w:type="dxa"/>
            <w:vAlign w:val="bottom"/>
          </w:tcPr>
          <w:p>
            <w:pPr>
              <w:jc w:val="right"/>
              <w:ind w:right="2056"/>
              <w:spacing w:after="0"/>
              <w:rPr>
                <w:sz w:val="20"/>
                <w:szCs w:val="20"/>
                <w:color w:val="auto"/>
              </w:rPr>
            </w:pPr>
            <w:r>
              <w:rPr>
                <w:rFonts w:ascii="Times New Roman" w:cs="Times New Roman" w:eastAsia="Times New Roman" w:hAnsi="Times New Roman"/>
                <w:sz w:val="13"/>
                <w:szCs w:val="13"/>
                <w:b w:val="1"/>
                <w:bCs w:val="1"/>
                <w:color w:val="auto"/>
              </w:rPr>
              <w:t>46-1318953</w:t>
            </w:r>
          </w:p>
        </w:tc>
      </w:tr>
      <w:tr>
        <w:trPr>
          <w:trHeight w:val="169"/>
        </w:trPr>
        <w:tc>
          <w:tcPr>
            <w:tcW w:w="3340" w:type="dxa"/>
            <w:vAlign w:val="bottom"/>
          </w:tcPr>
          <w:p>
            <w:pPr>
              <w:jc w:val="center"/>
              <w:ind w:left="1456"/>
              <w:spacing w:after="0"/>
              <w:rPr>
                <w:sz w:val="20"/>
                <w:szCs w:val="20"/>
                <w:color w:val="auto"/>
              </w:rPr>
            </w:pPr>
            <w:r>
              <w:rPr>
                <w:rFonts w:ascii="Times New Roman" w:cs="Times New Roman" w:eastAsia="Times New Roman" w:hAnsi="Times New Roman"/>
                <w:sz w:val="13"/>
                <w:szCs w:val="13"/>
                <w:i w:val="1"/>
                <w:iCs w:val="1"/>
                <w:color w:val="auto"/>
                <w:w w:val="98"/>
              </w:rPr>
              <w:t>(State of incorporation)</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jc w:val="center"/>
              <w:ind w:right="1396"/>
              <w:spacing w:after="0"/>
              <w:rPr>
                <w:sz w:val="20"/>
                <w:szCs w:val="20"/>
                <w:color w:val="auto"/>
              </w:rPr>
            </w:pPr>
            <w:r>
              <w:rPr>
                <w:rFonts w:ascii="Times New Roman" w:cs="Times New Roman" w:eastAsia="Times New Roman" w:hAnsi="Times New Roman"/>
                <w:sz w:val="13"/>
                <w:szCs w:val="13"/>
                <w:i w:val="1"/>
                <w:iCs w:val="1"/>
                <w:color w:val="auto"/>
                <w:w w:val="98"/>
              </w:rPr>
              <w:t>(I.R.S. Employer Identification No.)</w:t>
            </w:r>
          </w:p>
        </w:tc>
      </w:tr>
      <w:tr>
        <w:trPr>
          <w:trHeight w:val="226"/>
        </w:trPr>
        <w:tc>
          <w:tcPr>
            <w:tcW w:w="3340" w:type="dxa"/>
            <w:vAlign w:val="bottom"/>
          </w:tcPr>
          <w:p>
            <w:pPr>
              <w:spacing w:after="0"/>
              <w:rPr>
                <w:sz w:val="19"/>
                <w:szCs w:val="19"/>
                <w:color w:val="auto"/>
              </w:rPr>
            </w:pPr>
          </w:p>
        </w:tc>
        <w:tc>
          <w:tcPr>
            <w:tcW w:w="3180" w:type="dxa"/>
            <w:vAlign w:val="bottom"/>
            <w:gridSpan w:val="5"/>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8"/>
              </w:rPr>
              <w:t>3590 North First Street, Suite 210, San Jose, CA 95134</w:t>
            </w:r>
          </w:p>
        </w:tc>
        <w:tc>
          <w:tcPr>
            <w:tcW w:w="3420" w:type="dxa"/>
            <w:vAlign w:val="bottom"/>
          </w:tcPr>
          <w:p>
            <w:pPr>
              <w:spacing w:after="0"/>
              <w:rPr>
                <w:sz w:val="19"/>
                <w:szCs w:val="19"/>
                <w:color w:val="auto"/>
              </w:rPr>
            </w:pPr>
          </w:p>
        </w:tc>
      </w:tr>
      <w:tr>
        <w:trPr>
          <w:trHeight w:val="131"/>
        </w:trPr>
        <w:tc>
          <w:tcPr>
            <w:tcW w:w="3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4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i w:val="1"/>
                <w:iCs w:val="1"/>
                <w:color w:val="auto"/>
                <w:w w:val="99"/>
              </w:rPr>
              <w:t xml:space="preserve">(Address of principal executive office) </w:t>
            </w:r>
            <w:r>
              <w:rPr>
                <w:rFonts w:ascii="Times New Roman" w:cs="Times New Roman" w:eastAsia="Times New Roman" w:hAnsi="Times New Roman"/>
                <w:sz w:val="10"/>
                <w:szCs w:val="10"/>
                <w:color w:val="auto"/>
                <w:w w:val="99"/>
              </w:rPr>
              <w:t>(Zip code)</w:t>
            </w:r>
          </w:p>
        </w:tc>
        <w:tc>
          <w:tcPr>
            <w:tcW w:w="3420" w:type="dxa"/>
            <w:vAlign w:val="bottom"/>
          </w:tcPr>
          <w:p>
            <w:pPr>
              <w:spacing w:after="0"/>
              <w:rPr>
                <w:sz w:val="11"/>
                <w:szCs w:val="11"/>
                <w:color w:val="auto"/>
              </w:rPr>
            </w:pPr>
          </w:p>
        </w:tc>
      </w:tr>
      <w:tr>
        <w:trPr>
          <w:trHeight w:val="212"/>
        </w:trPr>
        <w:tc>
          <w:tcPr>
            <w:tcW w:w="3340" w:type="dxa"/>
            <w:vAlign w:val="bottom"/>
          </w:tcPr>
          <w:p>
            <w:pPr>
              <w:spacing w:after="0"/>
              <w:rPr>
                <w:sz w:val="18"/>
                <w:szCs w:val="18"/>
                <w:color w:val="auto"/>
              </w:rPr>
            </w:pPr>
          </w:p>
        </w:tc>
        <w:tc>
          <w:tcPr>
            <w:tcW w:w="2620" w:type="dxa"/>
            <w:vAlign w:val="bottom"/>
            <w:gridSpan w:val="3"/>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(408) 963-0200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31"/>
        </w:trPr>
        <w:tc>
          <w:tcPr>
            <w:tcW w:w="3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4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i w:val="1"/>
                <w:iCs w:val="1"/>
                <w:color w:val="auto"/>
                <w:w w:val="98"/>
              </w:rPr>
              <w:t>(Registrant’s telephone number, including area code)</w:t>
            </w:r>
          </w:p>
        </w:tc>
        <w:tc>
          <w:tcPr>
            <w:tcW w:w="3420" w:type="dxa"/>
            <w:vAlign w:val="bottom"/>
          </w:tcPr>
          <w:p>
            <w:pPr>
              <w:spacing w:after="0"/>
              <w:rPr>
                <w:sz w:val="11"/>
                <w:szCs w:val="11"/>
                <w:color w:val="auto"/>
              </w:rPr>
            </w:pPr>
          </w:p>
        </w:tc>
      </w:tr>
      <w:tr>
        <w:trPr>
          <w:trHeight w:val="212"/>
        </w:trPr>
        <w:tc>
          <w:tcPr>
            <w:tcW w:w="33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9"/>
        </w:trPr>
        <w:tc>
          <w:tcPr>
            <w:tcW w:w="3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420" w:type="dxa"/>
            <w:vAlign w:val="bottom"/>
          </w:tcPr>
          <w:p>
            <w:pPr>
              <w:spacing w:after="0"/>
              <w:rPr>
                <w:sz w:val="20"/>
                <w:szCs w:val="20"/>
                <w:color w:val="auto"/>
              </w:rPr>
            </w:pPr>
          </w:p>
        </w:tc>
      </w:tr>
      <w:tr>
        <w:trPr>
          <w:trHeight w:val="171"/>
        </w:trPr>
        <w:tc>
          <w:tcPr>
            <w:tcW w:w="334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420" w:type="dxa"/>
            <w:vAlign w:val="bottom"/>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60"/>
        </w:trPr>
        <w:tc>
          <w:tcPr>
            <w:tcW w:w="3340" w:type="dxa"/>
            <w:vAlign w:val="bottom"/>
            <w:tcBorders>
              <w:top w:val="single" w:sz="8" w:color="auto"/>
            </w:tcBorders>
          </w:tcPr>
          <w:p>
            <w:pPr>
              <w:jc w:val="center"/>
              <w:ind w:left="376"/>
              <w:spacing w:after="0"/>
              <w:rPr>
                <w:sz w:val="20"/>
                <w:szCs w:val="20"/>
                <w:color w:val="auto"/>
              </w:rPr>
            </w:pPr>
            <w:r>
              <w:rPr>
                <w:rFonts w:ascii="Times New Roman" w:cs="Times New Roman" w:eastAsia="Times New Roman" w:hAnsi="Times New Roman"/>
                <w:sz w:val="13"/>
                <w:szCs w:val="13"/>
                <w:color w:val="auto"/>
                <w:w w:val="99"/>
              </w:rPr>
              <w:t>Common Stock, $0.00001 par value</w:t>
            </w: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WATT</w:t>
            </w: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296"/>
              <w:spacing w:after="0"/>
              <w:rPr>
                <w:sz w:val="20"/>
                <w:szCs w:val="20"/>
                <w:color w:val="auto"/>
              </w:rPr>
            </w:pPr>
            <w:r>
              <w:rPr>
                <w:rFonts w:ascii="Times New Roman" w:cs="Times New Roman" w:eastAsia="Times New Roman" w:hAnsi="Times New Roman"/>
                <w:sz w:val="13"/>
                <w:szCs w:val="13"/>
                <w:color w:val="auto"/>
                <w:w w:val="98"/>
              </w:rPr>
              <w:t>The Nasdaq Stock Market</w:t>
            </w:r>
          </w:p>
        </w:tc>
      </w:tr>
    </w:tbl>
    <w:p>
      <w:pPr>
        <w:spacing w:after="0" w:line="59" w:lineRule="exact"/>
        <w:rPr>
          <w:sz w:val="24"/>
          <w:szCs w:val="24"/>
          <w:color w:val="auto"/>
        </w:rPr>
      </w:pPr>
    </w:p>
    <w:p>
      <w:pPr>
        <w:jc w:val="both"/>
        <w:ind w:right="2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ind w:right="18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right="60" w:firstLine="25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49" w:lineRule="exact"/>
        <w:rPr>
          <w:sz w:val="24"/>
          <w:szCs w:val="24"/>
          <w:color w:val="auto"/>
        </w:rPr>
      </w:pPr>
    </w:p>
    <w:p>
      <w:pPr>
        <w:jc w:val="both"/>
        <w:ind w:right="16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ind w:left="260" w:right="2760"/>
        <w:spacing w:after="0" w:line="21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August 9, 2024, there were 6,794,869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63157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5710" cy="20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6315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571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631571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5710" cy="27305"/>
                    </a:xfrm>
                    <a:prstGeom prst="rect">
                      <a:avLst/>
                    </a:prstGeom>
                    <a:noFill/>
                  </pic:spPr>
                </pic:pic>
              </a:graphicData>
            </a:graphic>
          </wp:anchor>
        </w:drawing>
      </w:r>
    </w:p>
    <w:p>
      <w:pPr>
        <w:sectPr>
          <w:pgSz w:w="11900" w:h="16838" w:orient="portrait"/>
          <w:cols w:equalWidth="0" w:num="1">
            <w:col w:w="9960"/>
          </w:cols>
          <w:pgMar w:left="960" w:top="554"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24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720" w:type="dxa"/>
            <w:vAlign w:val="bottom"/>
          </w:tcPr>
          <w:p>
            <w:pPr>
              <w:spacing w:after="0"/>
              <w:rPr>
                <w:sz w:val="13"/>
                <w:szCs w:val="13"/>
                <w:color w:val="auto"/>
              </w:rPr>
            </w:pPr>
          </w:p>
        </w:tc>
      </w:tr>
      <w:tr>
        <w:trPr>
          <w:trHeight w:val="596"/>
        </w:trPr>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ENERGOUS CORPORATION</w:t>
            </w:r>
          </w:p>
        </w:tc>
        <w:tc>
          <w:tcPr>
            <w:tcW w:w="17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4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7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720" w:type="dxa"/>
            <w:vAlign w:val="bottom"/>
          </w:tcPr>
          <w:p>
            <w:pPr>
              <w:spacing w:after="0"/>
              <w:rPr>
                <w:sz w:val="16"/>
                <w:szCs w:val="16"/>
                <w:color w:val="auto"/>
              </w:rPr>
            </w:pPr>
          </w:p>
        </w:tc>
      </w:tr>
      <w:tr>
        <w:trPr>
          <w:trHeight w:val="34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72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PART I - FINANCIAL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 xml:space="preserve">Item 1. Financial Statements </w:t>
            </w:r>
            <w:r>
              <w:rPr>
                <w:rFonts w:ascii="Times New Roman" w:cs="Times New Roman" w:eastAsia="Times New Roman" w:hAnsi="Times New Roman"/>
                <w:sz w:val="14"/>
                <w:szCs w:val="14"/>
                <w:color w:val="000000"/>
              </w:rPr>
              <w:t>(unaudited)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2. Management’s Discussion and Analysis of Financial Condition and Results of Operations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323"/>
        </w:trPr>
        <w:tc>
          <w:tcPr>
            <w:tcW w:w="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Item 3. Quantitative and Qualitative Disclosure About Market Risk</w:t>
            </w:r>
          </w:p>
        </w:tc>
        <w:tc>
          <w:tcPr>
            <w:tcW w:w="1720" w:type="dxa"/>
            <w:vAlign w:val="bottom"/>
            <w:tcBorders>
              <w:top w:val="single" w:sz="8" w:color="0000EE"/>
            </w:tcBorders>
            <w:gridSpan w:val="2"/>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323"/>
        </w:trPr>
        <w:tc>
          <w:tcPr>
            <w:tcW w:w="2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Item 4. Controls and Procedures</w:t>
            </w:r>
          </w:p>
        </w:tc>
        <w:tc>
          <w:tcPr>
            <w:tcW w:w="6360" w:type="dxa"/>
            <w:vAlign w:val="bottom"/>
            <w:gridSpan w:val="6"/>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323"/>
        </w:trPr>
        <w:tc>
          <w:tcPr>
            <w:tcW w:w="2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PART II – OTHER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Item 1. Legal Proceedings</w:t>
            </w:r>
          </w:p>
        </w:tc>
        <w:tc>
          <w:tcPr>
            <w:tcW w:w="600" w:type="dxa"/>
            <w:vAlign w:val="bottom"/>
            <w:tcBorders>
              <w:top w:val="single" w:sz="8" w:color="0000EE"/>
            </w:tcBorders>
            <w:gridSpan w:val="4"/>
          </w:tcPr>
          <w:p>
            <w:pPr>
              <w:spacing w:after="0"/>
              <w:rPr>
                <w:sz w:val="24"/>
                <w:szCs w:val="24"/>
                <w:color w:val="auto"/>
              </w:rPr>
            </w:pPr>
          </w:p>
        </w:tc>
        <w:tc>
          <w:tcPr>
            <w:tcW w:w="612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Item 1A. Risk Factors</w:t>
            </w:r>
          </w:p>
        </w:tc>
        <w:tc>
          <w:tcPr>
            <w:tcW w:w="6960" w:type="dxa"/>
            <w:vAlign w:val="bottom"/>
            <w:gridSpan w:val="11"/>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2. Unregistered Sales of Equity Securities and Use of Proceeds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3.</w:t>
            </w:r>
          </w:p>
        </w:tc>
        <w:tc>
          <w:tcPr>
            <w:tcW w:w="1900" w:type="dxa"/>
            <w:vAlign w:val="bottom"/>
            <w:tcBorders>
              <w:top w:val="single" w:sz="8" w:color="0000EE"/>
              <w:bottom w:val="single" w:sz="8" w:color="0000EE"/>
            </w:tcBorders>
            <w:gridSpan w:val="10"/>
          </w:tcPr>
          <w:p>
            <w:pPr>
              <w:ind w:left="20"/>
              <w:spacing w:after="0"/>
              <w:rPr>
                <w:sz w:val="20"/>
                <w:szCs w:val="20"/>
                <w:color w:val="auto"/>
              </w:rPr>
            </w:pPr>
            <w:r>
              <w:rPr>
                <w:rFonts w:ascii="Times New Roman" w:cs="Times New Roman" w:eastAsia="Times New Roman" w:hAnsi="Times New Roman"/>
                <w:sz w:val="14"/>
                <w:szCs w:val="14"/>
                <w:color w:val="0000EE"/>
              </w:rPr>
              <w:t>Defaults Upon Senior Securities</w:t>
            </w:r>
          </w:p>
        </w:tc>
        <w:tc>
          <w:tcPr>
            <w:tcW w:w="1560" w:type="dxa"/>
            <w:vAlign w:val="bottom"/>
            <w:tcBorders>
              <w:top w:val="single" w:sz="8" w:color="0000EE"/>
            </w:tcBorders>
            <w:gridSpan w:val="2"/>
          </w:tcPr>
          <w:p>
            <w:pPr>
              <w:spacing w:after="0"/>
              <w:rPr>
                <w:sz w:val="24"/>
                <w:szCs w:val="24"/>
                <w:color w:val="auto"/>
              </w:rPr>
            </w:pPr>
          </w:p>
        </w:tc>
        <w:tc>
          <w:tcPr>
            <w:tcW w:w="434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4.</w:t>
            </w:r>
          </w:p>
        </w:tc>
        <w:tc>
          <w:tcPr>
            <w:tcW w:w="14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4"/>
                <w:szCs w:val="14"/>
                <w:color w:val="0000EE"/>
              </w:rPr>
              <w:t>Mine Safety Disclosures</w:t>
            </w:r>
          </w:p>
        </w:tc>
        <w:tc>
          <w:tcPr>
            <w:tcW w:w="638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5.</w:t>
            </w:r>
          </w:p>
        </w:tc>
        <w:tc>
          <w:tcPr>
            <w:tcW w:w="106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4"/>
                <w:szCs w:val="14"/>
                <w:color w:val="0000EE"/>
                <w:w w:val="99"/>
              </w:rPr>
              <w:t>Other Information</w:t>
            </w:r>
          </w:p>
        </w:tc>
        <w:tc>
          <w:tcPr>
            <w:tcW w:w="6740" w:type="dxa"/>
            <w:vAlign w:val="bottom"/>
            <w:gridSpan w:val="10"/>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23"/>
        </w:trPr>
        <w:tc>
          <w:tcPr>
            <w:tcW w:w="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0000EE"/>
              </w:rPr>
              <w:t>Item 6.</w:t>
            </w:r>
          </w:p>
        </w:tc>
        <w:tc>
          <w:tcPr>
            <w:tcW w:w="780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EE"/>
              </w:rPr>
              <w:t>Exhibits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880"/>
        </w:trPr>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432"/>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29"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170"/>
              <w:spacing w:after="0" w:line="109"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0"/>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right"/>
              <w:ind w:right="390"/>
              <w:spacing w:after="0" w:line="109" w:lineRule="exact"/>
              <w:rPr>
                <w:sz w:val="20"/>
                <w:szCs w:val="20"/>
                <w:color w:val="auto"/>
              </w:rPr>
            </w:pPr>
            <w:r>
              <w:rPr>
                <w:rFonts w:ascii="Times New Roman" w:cs="Times New Roman" w:eastAsia="Times New Roman" w:hAnsi="Times New Roman"/>
                <w:sz w:val="11"/>
                <w:szCs w:val="11"/>
                <w:b w:val="1"/>
                <w:bCs w:val="1"/>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ind w:left="1980"/>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severance expense</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Warrant liability</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long-term portion</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Preferred Stock, $0.00001 par value, 10,000,000 shares authorized as of June 30, 2024 and December 31, 2023; no shares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issued or outstanding as of June 30, 2024 and December 31, 2023.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color w:val="auto"/>
              </w:rPr>
              <w:t>Common Stock, $0.00001 par value, 200,000,000 shares authorized as of June 30, 2024 and December 31, 2023;</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6,554,296 and 5,471,121 shares issued and outstanding as of June 30, 2024 and December 31, 2023, respectively.</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395,906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(392,899)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(1) The condensed balance sheet as of December 31, 2023 was derived from the audited balance sheet as of that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Share and per share amounts have been retroactively adjusted to reflect the impact of a 1-for-20 reverse stock split effected in August 2023, as discussed in Note 1.</w:t>
      </w:r>
    </w:p>
    <w:p>
      <w:pPr>
        <w:spacing w:after="0" w:line="18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5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16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0" w:type="dxa"/>
            <w:vAlign w:val="bottom"/>
          </w:tcPr>
          <w:p>
            <w:pPr>
              <w:spacing w:after="0"/>
              <w:rPr>
                <w:sz w:val="1"/>
                <w:szCs w:val="1"/>
                <w:color w:val="auto"/>
              </w:rPr>
            </w:pPr>
          </w:p>
        </w:tc>
      </w:tr>
      <w:tr>
        <w:trPr>
          <w:trHeight w:val="109"/>
        </w:trPr>
        <w:tc>
          <w:tcPr>
            <w:tcW w:w="512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2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Severance expense</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1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Offering costs related to warrant liability</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and diluted loss per common share</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(0.65)</w:t>
            </w: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jc w:val="right"/>
              <w:ind w:right="10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(0.88)</w:t>
            </w:r>
          </w:p>
        </w:tc>
        <w:tc>
          <w:tcPr>
            <w:tcW w:w="1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(1.74)</w:t>
            </w:r>
          </w:p>
        </w:tc>
        <w:tc>
          <w:tcPr>
            <w:tcW w:w="1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2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Weighted average shares outstanding, basic and diluted</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6,539,202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4,562,079</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6,250,194</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4,316,259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Share and per share amounts have been retroactively adjusted to reflect the impact of a 1-for-20 reverse stock split effected in August 2023, as dicussed in Note 1.</w:t>
      </w:r>
    </w:p>
    <w:p>
      <w:pPr>
        <w:spacing w:after="0" w:line="18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share amounts)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200" w:type="dxa"/>
            <w:vAlign w:val="bottom"/>
          </w:tcPr>
          <w:p>
            <w:pPr>
              <w:spacing w:after="0"/>
              <w:rPr>
                <w:sz w:val="11"/>
                <w:szCs w:val="11"/>
                <w:color w:val="auto"/>
              </w:rPr>
            </w:pPr>
          </w:p>
        </w:tc>
        <w:tc>
          <w:tcPr>
            <w:tcW w:w="1520" w:type="dxa"/>
            <w:vAlign w:val="bottom"/>
            <w:gridSpan w:val="3"/>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5200" w:type="dxa"/>
            <w:vAlign w:val="bottom"/>
          </w:tcPr>
          <w:p>
            <w:pPr>
              <w:spacing w:after="0"/>
              <w:rPr>
                <w:sz w:val="9"/>
                <w:szCs w:val="9"/>
                <w:color w:val="auto"/>
              </w:rPr>
            </w:pPr>
          </w:p>
        </w:tc>
        <w:tc>
          <w:tcPr>
            <w:tcW w:w="880" w:type="dxa"/>
            <w:vAlign w:val="bottom"/>
            <w:gridSpan w:val="2"/>
          </w:tcPr>
          <w:p>
            <w:pPr>
              <w:ind w:left="2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22"/>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9"/>
        </w:trPr>
        <w:tc>
          <w:tcPr>
            <w:tcW w:w="520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as of January 1, 2024</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5,471,121</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5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393,539</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(382,042)</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11,498</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 options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 restricted stock units (“RSUs”)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 employee stock purchase plan (“ESPP”)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contributions to the ESPP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shares in an at-the-market (“ATM”) placement, net of $2 in issuance costs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27,870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shares in a sale of common stock, pre-funded warrants and warrants, net of $230 in 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(6,599)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0" w:type="dxa"/>
            <w:vAlign w:val="bottom"/>
          </w:tcPr>
          <w:p>
            <w:pPr>
              <w:spacing w:after="0"/>
              <w:rPr>
                <w:sz w:val="1"/>
                <w:szCs w:val="1"/>
                <w:color w:val="auto"/>
              </w:rPr>
            </w:pPr>
          </w:p>
        </w:tc>
      </w:tr>
      <w:tr>
        <w:trPr>
          <w:trHeight w:val="109"/>
        </w:trPr>
        <w:tc>
          <w:tcPr>
            <w:tcW w:w="52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as of March 31, 2024</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6,085,766</w:t>
            </w: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395,796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(388,641)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7,156</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 RSUs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 ESPP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Proceeds (refunds) from contributions to the ESPP</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Pre-funded warrants exercised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450,409</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(4,258)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0" w:type="dxa"/>
            <w:vAlign w:val="bottom"/>
          </w:tcPr>
          <w:p>
            <w:pPr>
              <w:spacing w:after="0"/>
              <w:rPr>
                <w:sz w:val="1"/>
                <w:szCs w:val="1"/>
                <w:color w:val="auto"/>
              </w:rPr>
            </w:pPr>
          </w:p>
        </w:tc>
      </w:tr>
      <w:tr>
        <w:trPr>
          <w:trHeight w:val="109"/>
        </w:trPr>
        <w:tc>
          <w:tcPr>
            <w:tcW w:w="52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2024 (unaudited)</w:t>
            </w:r>
          </w:p>
        </w:tc>
        <w:tc>
          <w:tcPr>
            <w:tcW w:w="7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6,554,296</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ind w:right="5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395,906</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(392,899)</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3,008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200" w:type="dxa"/>
            <w:vAlign w:val="bottom"/>
          </w:tcPr>
          <w:p>
            <w:pPr>
              <w:spacing w:after="0"/>
              <w:rPr>
                <w:sz w:val="23"/>
                <w:szCs w:val="23"/>
                <w:color w:val="auto"/>
              </w:rPr>
            </w:pPr>
          </w:p>
        </w:tc>
        <w:tc>
          <w:tcPr>
            <w:tcW w:w="1520" w:type="dxa"/>
            <w:vAlign w:val="bottom"/>
            <w:gridSpan w:val="3"/>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5200" w:type="dxa"/>
            <w:vAlign w:val="bottom"/>
          </w:tcPr>
          <w:p>
            <w:pPr>
              <w:spacing w:after="0"/>
              <w:rPr>
                <w:sz w:val="9"/>
                <w:szCs w:val="9"/>
                <w:color w:val="auto"/>
              </w:rPr>
            </w:pPr>
          </w:p>
        </w:tc>
        <w:tc>
          <w:tcPr>
            <w:tcW w:w="880" w:type="dxa"/>
            <w:vAlign w:val="bottom"/>
            <w:gridSpan w:val="2"/>
          </w:tcPr>
          <w:p>
            <w:pPr>
              <w:ind w:left="2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22"/>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9"/>
        </w:trPr>
        <w:tc>
          <w:tcPr>
            <w:tcW w:w="520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as of January 1, 2023</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3,947,267</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5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387,320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(362,675)</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24,646</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options</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RSUs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476</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ESPP</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9,347</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from contributions to the ESPP</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in an ATM placement, net of $69 in issuance costs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182,511</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2,675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2,675</w:t>
            </w:r>
          </w:p>
        </w:tc>
        <w:tc>
          <w:tcPr>
            <w:tcW w:w="0" w:type="dxa"/>
            <w:vAlign w:val="bottom"/>
          </w:tcPr>
          <w:p>
            <w:pPr>
              <w:spacing w:after="0"/>
              <w:rPr>
                <w:sz w:val="1"/>
                <w:szCs w:val="1"/>
                <w:color w:val="auto"/>
              </w:rPr>
            </w:pPr>
          </w:p>
        </w:tc>
      </w:tr>
      <w:tr>
        <w:trPr>
          <w:trHeight w:val="101"/>
        </w:trPr>
        <w:tc>
          <w:tcPr>
            <w:tcW w:w="520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shares in a sale of common stock, net of $3,166 in issuance costs and fair value of liability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412,500</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warrant</w:t>
            </w: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(6,653)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(6,653)</w:t>
            </w:r>
          </w:p>
        </w:tc>
        <w:tc>
          <w:tcPr>
            <w:tcW w:w="0" w:type="dxa"/>
            <w:vAlign w:val="bottom"/>
          </w:tcPr>
          <w:p>
            <w:pPr>
              <w:spacing w:after="0"/>
              <w:rPr>
                <w:sz w:val="1"/>
                <w:szCs w:val="1"/>
                <w:color w:val="auto"/>
              </w:rPr>
            </w:pPr>
          </w:p>
        </w:tc>
      </w:tr>
      <w:tr>
        <w:trPr>
          <w:trHeight w:val="109"/>
        </w:trPr>
        <w:tc>
          <w:tcPr>
            <w:tcW w:w="52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as of March 31, 2023</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4,551,625</w:t>
            </w: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390,716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(369,328)</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21,389</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options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RSUs</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456</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PSUs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ESPP</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34,075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from contributions to the ESPP</w:t>
            </w: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16,341</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(3,995)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(3,995)</w:t>
            </w:r>
          </w:p>
        </w:tc>
        <w:tc>
          <w:tcPr>
            <w:tcW w:w="0" w:type="dxa"/>
            <w:vAlign w:val="bottom"/>
          </w:tcPr>
          <w:p>
            <w:pPr>
              <w:spacing w:after="0"/>
              <w:rPr>
                <w:sz w:val="1"/>
                <w:szCs w:val="1"/>
                <w:color w:val="auto"/>
              </w:rPr>
            </w:pPr>
          </w:p>
        </w:tc>
      </w:tr>
      <w:tr>
        <w:trPr>
          <w:trHeight w:val="109"/>
        </w:trPr>
        <w:tc>
          <w:tcPr>
            <w:tcW w:w="52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2023 (unaudited)</w:t>
            </w: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4,602,041</w:t>
            </w:r>
          </w:p>
        </w:tc>
        <w:tc>
          <w:tcPr>
            <w:tcW w:w="14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ind w:right="5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391,221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(373,323)</w:t>
            </w: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17,899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Share and per share amounts have been retroactively adjusted to reflect the impact of a 1-for-20 reverse stock split effected in August 2023, as discussed in Note 1.</w:t>
      </w:r>
    </w:p>
    <w:p>
      <w:pPr>
        <w:spacing w:after="0" w:line="18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5"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1"/>
          <w:szCs w:val="11"/>
          <w:b w:val="1"/>
          <w:bCs w:val="1"/>
          <w:color w:val="auto"/>
        </w:rPr>
        <w:t>For the Six Months Ended</w:t>
      </w:r>
    </w:p>
    <w:p>
      <w:pPr>
        <w:spacing w:after="0" w:line="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1"/>
          <w:szCs w:val="11"/>
          <w:b w:val="1"/>
          <w:bCs w:val="1"/>
          <w:color w:val="auto"/>
        </w:rPr>
        <w:t>June 30,</w:t>
      </w:r>
    </w:p>
    <w:tbl>
      <w:tblPr>
        <w:tblLayout w:type="fixed"/>
        <w:tblInd w:w="20" w:type="dxa"/>
        <w:tblCellMar>
          <w:top w:w="0" w:type="dxa"/>
          <w:left w:w="0" w:type="dxa"/>
          <w:bottom w:w="0" w:type="dxa"/>
          <w:right w:w="0" w:type="dxa"/>
        </w:tblCellMar>
      </w:tblPr>
      <w:tr>
        <w:trPr>
          <w:trHeight w:val="109"/>
        </w:trPr>
        <w:tc>
          <w:tcPr>
            <w:tcW w:w="734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40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40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(10,857)</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(10,648)</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 net realizable value adjustment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Offering costs allocated to warrant liability</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7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severance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72"/>
        </w:trPr>
        <w:tc>
          <w:tcPr>
            <w:tcW w:w="7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2"/>
        </w:trPr>
        <w:tc>
          <w:tcPr>
            <w:tcW w:w="7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proceeds from an ATM offering</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17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proceeds from a sale of common stock and warrant issuance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Proceeds from contributions to the ESPP, net</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62"/>
        </w:trPr>
        <w:tc>
          <w:tcPr>
            <w:tcW w:w="7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Cash, cash equivalents and restricted cash - beginning</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26,287</w:t>
            </w:r>
          </w:p>
        </w:tc>
        <w:tc>
          <w:tcPr>
            <w:tcW w:w="0" w:type="dxa"/>
            <w:vAlign w:val="bottom"/>
          </w:tcPr>
          <w:p>
            <w:pPr>
              <w:spacing w:after="0"/>
              <w:rPr>
                <w:sz w:val="1"/>
                <w:szCs w:val="1"/>
                <w:color w:val="auto"/>
              </w:rPr>
            </w:pPr>
          </w:p>
        </w:tc>
      </w:tr>
      <w:tr>
        <w:trPr>
          <w:trHeight w:val="162"/>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 - ending</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19,960</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Decrease in operating lease right-of-use assets and operating lease liabilities from incremental borrowing rate change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Organization, Nature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Energous Corporation d/b/a Energous Wireless Power Solutions (the “Company”) has developed scalable, over-the-air wireless power networks (“WPN”) technology, consisting of semiconductor chipsets, software controls, hardware designs and antennas, that enable radio frequency (“RF”) based charging for Internet of Things (“IoT”) devices. The WPN technology has a broad spectrum of capabilities to enable the next generation of wireless power networks, delivering power and data in a seamless device portfolio, enabling unprecedented levels of visibility, control, and intelligent business automation. This includes near field and at-a-distance wireless charging with multiple power levels at various distances. The Company’s wireless power transmitter and receiver technologies deliver continuous access to wireless power, helping drive a new generation of battery-free devices for asset and inventory tracking and management – from retail sensors, electronic shelf labels, and asset trackers, to air quality monitors, motion detectors, and more.</w:t>
      </w:r>
    </w:p>
    <w:p>
      <w:pPr>
        <w:spacing w:after="0" w:line="14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The Company believes its technology is innovative in its approach, in that the Company is developing solutions that charge IoT devices using RF technology. To date, the Company has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p>
      <w:pPr>
        <w:spacing w:after="0" w:line="141"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Device Type</w:t>
            </w:r>
          </w:p>
        </w:tc>
        <w:tc>
          <w:tcPr>
            <w:tcW w:w="49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Application</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RF Tags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Asset Tracking, Medical IoT</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IoT Sensors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Logistics, Asset Tracking</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Electronic Shelf Labels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Retail and Industrial IoT</w:t>
            </w:r>
          </w:p>
        </w:tc>
      </w:tr>
    </w:tbl>
    <w:p>
      <w:pPr>
        <w:spacing w:after="0" w:line="15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color w:val="auto"/>
        </w:rPr>
        <w:t>The first WPN end product featuring the Company’s technology entered the market in 2019. The Company started shipping its first at-a-distance wireless PowerBridges for commercial IoT applications and proofs of concept in the fourth quarter of 2021 and expects additional wireless power enabled products to be released as the Company’s business moves forward.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8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On June 14, 2023, at the Company’s 2023 annual meeting of stockholders, the Company’s stockholders approved a proposal to effect a reverse stock split of the Company’s common stock by a ratio not to exceed 1-for-20.</w:t>
      </w:r>
    </w:p>
    <w:p>
      <w:pPr>
        <w:spacing w:after="0" w:line="1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On August 15, 2023, the Company announced that its Board of Directors had determined to set the reverse stock split ratio at 1-for-20 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spacing w:after="0" w:line="139"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All information presented herein, unless otherwise indicated herein, reflects the 1-for-20 reverse stock split of the Company’s outstanding shares of common stock, and unless otherwise indicated, all such amounts and corresponding conversion price or exercise price data set forth herein have been adjusted to give effect to such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Liquidity and Management Plans</w:t>
      </w:r>
    </w:p>
    <w:p>
      <w:pPr>
        <w:spacing w:after="0" w:line="18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During the three and six months ended June 30, 2024, the Company recorded revenue of $46,000 and $110,000, respectively. During the three and six months ended June 30, 2023, the Company recorded revenue of $0.1 million and $0.2 million, respectively. During the three and six months ended June 30, 2024, the Company recorded net losses of $4.3 million and $10.9 million, respectively. During the three and six months ended June 30, 2023, the Company recorded net losses of $4.0 million and $10.6 million, respectively. Net cash used in operating activities was $10.8 million and $11.7 million for the six months ended June 30, 2024 and 2023, respectively. However, the Company is currently meeting its liquidity requirements through the proceeds of securities offerings, including the ATM Program (as defined in Note 7 below), which securities offerings generated aggregate net proceeds of $6.9 million during 2023 and $1.8 million during the six months ended June 30, 2024.</w:t>
      </w:r>
    </w:p>
    <w:p>
      <w:pPr>
        <w:spacing w:after="0" w:line="143"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4"/>
          <w:szCs w:val="14"/>
          <w:color w:val="auto"/>
        </w:rPr>
        <w:t>As of June 30, 2024, the Company had cash and cash equivalents of $4.9 million. The Company expects that cash and cash equivalents as of June 30, 2024, together with additional anticipated proceeds from the ATM Program and other financing transactions during 2024, continued cost and expense reductions and collections generated by anticipated revenues, will be sufficient to fund the Company’s operations through August 2025.</w:t>
      </w:r>
    </w:p>
    <w:p>
      <w:pPr>
        <w:spacing w:after="0" w:line="13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spacing w:after="0" w:line="143"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4"/>
          <w:szCs w:val="14"/>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 presented. The results of operations for the three and six months ended June 30, 2024 are not necessarily indicative of the results to be expected for the year ending December 31, 2024 or for other future periods.</w:t>
      </w:r>
    </w:p>
    <w:p>
      <w:pPr>
        <w:spacing w:after="0" w:line="143"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4"/>
          <w:szCs w:val="14"/>
          <w:color w:val="auto"/>
        </w:rPr>
        <w:t>These interim unaudited condensed financial statements should be read in conjunction with the audited financial statements and notes thereto for the fiscal year ended December 31, 2023 included in the Company’s Annual Report on Form 10-K for the fiscal year ended December 31, 2023, filed with the SEC on March 28, 2024. The accounting policies used in preparing these interim unaudited condensed financial statements are consistent with those described in the Company’s December 31, 2023 audited financial statements</w:t>
      </w:r>
      <w:r>
        <w:rPr>
          <w:rFonts w:ascii="Times New Roman" w:cs="Times New Roman" w:eastAsia="Times New Roman" w:hAnsi="Times New Roman"/>
          <w:sz w:val="14"/>
          <w:szCs w:val="14"/>
          <w:i w:val="1"/>
          <w:iCs w:val="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86"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4"/>
          <w:szCs w:val="14"/>
          <w:color w:val="auto"/>
        </w:rPr>
        <w:t>Certain reclassifications have been made to the fiscal year 2023 condensed balance sheet to conform to the fiscal year 2024 presentation. The reclassifications had no impact on total assets, total liabilities, or stockholders’ equity.</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 The Company reports restricted cash on its balance sheet to disclose the amount reserved for a specific purpose aside from ordinary business operations. The Company had restricted cash as collateral for the Company’s corporate credit card program which was discontinued during the second quarter of 2024. As of June 30, 2024 and December 31, 2023, the carrying value of restricted cash was $0 and $0.1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8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41"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4"/>
          <w:szCs w:val="14"/>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p>
      <w:pPr>
        <w:spacing w:after="0" w:line="186"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4"/>
          <w:szCs w:val="14"/>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316" w:lineRule="exact"/>
        <w:rPr>
          <w:sz w:val="20"/>
          <w:szCs w:val="20"/>
          <w:color w:val="auto"/>
        </w:rPr>
      </w:pPr>
    </w:p>
    <w:p>
      <w:pPr>
        <w:ind w:left="540" w:hanging="252"/>
        <w:spacing w:after="0"/>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Observable inputs such as quoted prices in active markets for identical assets or liabilities to which the Company has access at a measurement date.</w:t>
      </w:r>
    </w:p>
    <w:p>
      <w:pPr>
        <w:spacing w:after="0" w:line="182" w:lineRule="exact"/>
        <w:rPr>
          <w:rFonts w:ascii="Times New Roman" w:cs="Times New Roman" w:eastAsia="Times New Roman" w:hAnsi="Times New Roman"/>
          <w:sz w:val="14"/>
          <w:szCs w:val="14"/>
          <w:color w:val="auto"/>
        </w:rPr>
      </w:pPr>
    </w:p>
    <w:p>
      <w:pPr>
        <w:ind w:left="540" w:right="80" w:hanging="252"/>
        <w:spacing w:after="0" w:line="274" w:lineRule="auto"/>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4"/>
          <w:szCs w:val="14"/>
          <w:color w:val="auto"/>
        </w:rPr>
      </w:pPr>
    </w:p>
    <w:p>
      <w:pPr>
        <w:ind w:left="540" w:right="20" w:hanging="252"/>
        <w:spacing w:after="0" w:line="292" w:lineRule="auto"/>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2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23"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4"/>
          <w:szCs w:val="14"/>
          <w:color w:val="auto"/>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Company’s warrant liability recognized at fair value on a recurring basis is a level 3 measurement (see Note 10 – Fair Value Measurement).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follows ASC 606, “Revenue from Contracts with Customers” (“Topic 606”).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Topic 606, the Company recognizes revenue using the following five-step approach:</w:t>
      </w:r>
    </w:p>
    <w:p>
      <w:pPr>
        <w:spacing w:after="0" w:line="182" w:lineRule="exact"/>
        <w:rPr>
          <w:sz w:val="20"/>
          <w:szCs w:val="20"/>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 of the contract.</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performance obligations are satisfied.</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4"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color w:val="auto"/>
        </w:rPr>
        <w:t>The Company’s revenue consists of its single segment of wireless charging system solutions. The wireless charging system revenue consists of revenue from product development projects and production-level systems. During the three and six months ended June 30, 2024, the Company recognized $46,000 and $110,000, respectively. During the three and six months ended June 30, 2023, the Company recognized $0.1 million and $0.2 million, respectively, in revenue.</w:t>
      </w:r>
    </w:p>
    <w:p>
      <w:pPr>
        <w:spacing w:after="0" w:line="13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8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Company follows ASC 330, “Inventory” (“Topic 330”) to account for its inventory, which includes finished goods ready for sale, work in process and raw materials,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8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$2.4 million and $4.8 million for the three and six months ended June 30, 2024, respectively. The Company incurred research and development costs of $2.9 million and $6.0 million for the three and six months ended June 30, 2023,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35" w:lineRule="exact"/>
        <w:rPr>
          <w:sz w:val="20"/>
          <w:szCs w:val="20"/>
          <w:color w:val="auto"/>
        </w:rPr>
      </w:pPr>
    </w:p>
    <w:p>
      <w:pPr>
        <w:jc w:val="both"/>
        <w:ind w:right="440"/>
        <w:spacing w:after="0" w:line="274" w:lineRule="auto"/>
        <w:rPr>
          <w:sz w:val="20"/>
          <w:szCs w:val="20"/>
          <w:color w:val="auto"/>
        </w:rPr>
      </w:pPr>
      <w:r>
        <w:rPr>
          <w:rFonts w:ascii="Times New Roman" w:cs="Times New Roman" w:eastAsia="Times New Roman" w:hAnsi="Times New Roman"/>
          <w:sz w:val="14"/>
          <w:szCs w:val="14"/>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4"/>
          <w:szCs w:val="14"/>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June 30, 2024, no liability for unrecognized tax benefits was required to be reported. The guidance from ASC 740, “Income Taxes” also discusses the classification of related interest and penalties on income taxes. The Company’s policy is to record interest and penalties on uncertain tax positions as a component of income tax expense. No interest or penalties were recorded during the three or six months ended June 30, 2024 and 2023. The Company files income tax returns with the United States, California, Texas and Arizona governments.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Common Share</w:t>
      </w:r>
    </w:p>
    <w:p>
      <w:pPr>
        <w:spacing w:after="0" w:line="18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2,010,538 and 613,018, as outlined in the table below, for the three and six months ended June 30, 2024 and 2023, respectively, because their inclusion would be anti-dilutive.</w:t>
      </w:r>
    </w:p>
    <w:p>
      <w:pPr>
        <w:spacing w:after="0" w:line="141"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For the three</w:t>
            </w: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w:t>
            </w:r>
          </w:p>
        </w:tc>
      </w:tr>
      <w:tr>
        <w:trPr>
          <w:trHeight w:val="118"/>
        </w:trPr>
        <w:tc>
          <w:tcPr>
            <w:tcW w:w="5080" w:type="dxa"/>
            <w:vAlign w:val="bottom"/>
          </w:tcPr>
          <w:p>
            <w:pPr>
              <w:spacing w:after="0"/>
              <w:rPr>
                <w:sz w:val="10"/>
                <w:szCs w:val="10"/>
                <w:color w:val="auto"/>
              </w:rPr>
            </w:pPr>
          </w:p>
        </w:tc>
        <w:tc>
          <w:tcPr>
            <w:tcW w:w="1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and six months ended</w:t>
            </w: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and six months ended</w:t>
            </w:r>
          </w:p>
        </w:tc>
      </w:tr>
      <w:tr>
        <w:trPr>
          <w:trHeight w:val="118"/>
        </w:trPr>
        <w:tc>
          <w:tcPr>
            <w:tcW w:w="5080" w:type="dxa"/>
            <w:vAlign w:val="bottom"/>
          </w:tcPr>
          <w:p>
            <w:pPr>
              <w:spacing w:after="0"/>
              <w:rPr>
                <w:sz w:val="10"/>
                <w:szCs w:val="10"/>
                <w:color w:val="auto"/>
              </w:rPr>
            </w:pPr>
          </w:p>
        </w:tc>
        <w:tc>
          <w:tcPr>
            <w:tcW w:w="15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June 30,</w:t>
            </w:r>
          </w:p>
        </w:tc>
      </w:tr>
      <w:tr>
        <w:trPr>
          <w:trHeight w:val="137"/>
        </w:trPr>
        <w:tc>
          <w:tcPr>
            <w:tcW w:w="50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issued to investors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1,432,909</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495,833</w:t>
            </w:r>
          </w:p>
        </w:tc>
      </w:tr>
      <w:tr>
        <w:trPr>
          <w:trHeight w:val="17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7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577,629</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99,685</w:t>
            </w:r>
          </w:p>
        </w:tc>
      </w:tr>
      <w:tr>
        <w:trPr>
          <w:trHeight w:val="17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PSUs</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62"/>
        </w:trPr>
        <w:tc>
          <w:tcPr>
            <w:tcW w:w="50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potentially dilutive securities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2,010,538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613,018</w:t>
            </w: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For the three and six months ended June 30, 2024, the table above includes 1,020,409 warrants expiring on February 20, 2029, which have an exercise price of $1.84 per share and 412,500 warrants expiring on March 28, 2029, which have an exercise price of $1.66 per share. For the three and six months ended June 30, 2023, the table above includes 83,333 warrants that expired on March 1, 2024, which had an exercise price of $200 per share, and 412,500 warrants expiring on March 28, 2029, which have an exercise price of $1.66 per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3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Times New Roman" w:cs="Times New Roman" w:eastAsia="Times New Roman" w:hAnsi="Times New Roman"/>
          <w:sz w:val="14"/>
          <w:szCs w:val="14"/>
          <w:i w:val="1"/>
          <w:iCs w:val="1"/>
          <w:color w:val="auto"/>
        </w:rPr>
        <w:t>Operating Leases</w:t>
      </w:r>
      <w:r>
        <w:rPr>
          <w:rFonts w:ascii="Times New Roman" w:cs="Times New Roman" w:eastAsia="Times New Roman" w:hAnsi="Times New Roman"/>
          <w:sz w:val="14"/>
          <w:szCs w:val="14"/>
          <w:color w:val="auto"/>
        </w:rPr>
        <w:t xml:space="preserve"> for further discussion of the Company’s operating leases.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8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The Company has one operating segment and one reportable segment as its chief operating decision maker, who is its Interim Principal Executive Officer and Chief Financial Officer, reviews financial information on a regular basis for purposes of allocating resources and evaluating financial performance. All long-lived assets are located in the United States and substantially all revenue is attributed to customers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Pronouncements</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In November 2023, the FASB issued Accounting Standards Update (“ASU”) No. 2023-07, “Segment Reporting” (“Topic 280”), Improvements to Reportable Segment Reporting. This standard is intended to improve reportable segment disclosure requirements, primarily through enhanced disclosures about significant segment expenses This standard is effective for the Company’s annual fiscal period beginning January 1, 2024 and for the Company’s interim periods beginning January 1, 2025. Adoption of this standard will not likely have a material impact on the Company’s financial statements.</w:t>
      </w:r>
    </w:p>
    <w:p>
      <w:pPr>
        <w:spacing w:after="0" w:line="1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Adoption of this standard will not likely have a material impact on the Company’s financial statements.</w:t>
      </w:r>
    </w:p>
    <w:p>
      <w:pPr>
        <w:spacing w:after="0" w:line="139"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Management has reviewed other recently issued accounting pronouncements issued or proposed by the FASB and does not believe any of these accounting pronouncements has had or will have a material impact on the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Inventory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of the Company’s inventory as of June 30, 2024 and December 31, 2023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Balance as of</w:t>
            </w:r>
          </w:p>
        </w:tc>
      </w:tr>
      <w:tr>
        <w:trPr>
          <w:trHeight w:val="109"/>
        </w:trPr>
        <w:tc>
          <w:tcPr>
            <w:tcW w:w="20" w:type="dxa"/>
            <w:vAlign w:val="bottom"/>
          </w:tcPr>
          <w:p>
            <w:pPr>
              <w:spacing w:after="0"/>
              <w:rPr>
                <w:sz w:val="9"/>
                <w:szCs w:val="9"/>
                <w:color w:val="auto"/>
              </w:rPr>
            </w:pPr>
          </w:p>
        </w:tc>
        <w:tc>
          <w:tcPr>
            <w:tcW w:w="73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62"/>
        </w:trPr>
        <w:tc>
          <w:tcPr>
            <w:tcW w:w="20" w:type="dxa"/>
            <w:vAlign w:val="bottom"/>
          </w:tcPr>
          <w:p>
            <w:pPr>
              <w:spacing w:after="0"/>
              <w:rPr>
                <w:sz w:val="14"/>
                <w:szCs w:val="14"/>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r>
      <w:tr>
        <w:trPr>
          <w:trHeight w:val="172"/>
        </w:trPr>
        <w:tc>
          <w:tcPr>
            <w:tcW w:w="20" w:type="dxa"/>
            <w:vAlign w:val="bottom"/>
          </w:tcPr>
          <w:p>
            <w:pPr>
              <w:spacing w:after="0"/>
              <w:rPr>
                <w:sz w:val="14"/>
                <w:szCs w:val="14"/>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Work-in-process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20" w:type="dxa"/>
            <w:vAlign w:val="bottom"/>
          </w:tcPr>
          <w:p>
            <w:pPr>
              <w:spacing w:after="0"/>
              <w:rPr>
                <w:sz w:val="14"/>
                <w:szCs w:val="14"/>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255</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r>
      <w:tr>
        <w:trPr>
          <w:trHeight w:val="16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556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430</w:t>
            </w: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Accrued Expenses</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gridSpan w:val="2"/>
          </w:tcPr>
          <w:p>
            <w:pPr>
              <w:jc w:val="right"/>
              <w:ind w:right="128"/>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Accrued legal expenses</w:t>
            </w: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10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6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Commitments and Contingencies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20" w:type="dxa"/>
            <w:vAlign w:val="bottom"/>
            <w:vMerge w:val="continue"/>
          </w:tcPr>
          <w:p>
            <w:pPr>
              <w:spacing w:after="0"/>
              <w:rPr>
                <w:sz w:val="24"/>
                <w:szCs w:val="24"/>
                <w:color w:val="auto"/>
              </w:rPr>
            </w:pPr>
          </w:p>
        </w:tc>
        <w:tc>
          <w:tcPr>
            <w:tcW w:w="56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San Jose Lease</w:t>
      </w:r>
    </w:p>
    <w:p>
      <w:pPr>
        <w:spacing w:after="0" w:line="1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one-time reduction to the ROU lease asset and operating lease liability of approximately $51,000. Upon expiration of the original lease on September 30, 2022, the new monthly lease payment starting October 1, 2022 is approximately $59,000, subject to annual escalations up to a maximum monthly lease payment of approximately $62,000. The Company recorded</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lease expense of $0.2 million and $0.4 million for the three and six months ended June 30, 2024, respectively. The Company recorded lease expense of $0.2 million and $0.4 million for the three and six months ended June 30,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Lease Commitments</w:t>
      </w:r>
    </w:p>
    <w:p>
      <w:pPr>
        <w:spacing w:after="0" w:line="1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Company follows ASC 842, “Leases” (“Topic 842”) and recognizes the required ROU assets and operating lease liabilities on its balance sheet. The Company anticipates having future total lease payments of $0.9 million during the period from the third quarter of 2024 to the third quarter of 2025. As of June 30, 2024, the Company has total operating lease ROU assets of $0.9 million, current portion of operating lease liabilities of $0.7 million and long-term portion of operating lease liabilities of $0.2 million. The weighted average remaining lease term is 1.3 years as of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undiscounted cash flows to lease liabilities recognized as of June 30, 2024 is as follows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For the year ending December 31,</w:t>
            </w:r>
          </w:p>
        </w:tc>
        <w:tc>
          <w:tcPr>
            <w:tcW w:w="280" w:type="dxa"/>
            <w:vAlign w:val="bottom"/>
          </w:tcPr>
          <w:p>
            <w:pPr>
              <w:spacing w:after="0"/>
              <w:rPr>
                <w:sz w:val="11"/>
                <w:szCs w:val="11"/>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2"/>
        </w:trPr>
        <w:tc>
          <w:tcPr>
            <w:tcW w:w="8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(Remaining)</w:t>
            </w:r>
          </w:p>
        </w:tc>
        <w:tc>
          <w:tcPr>
            <w:tcW w:w="2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72"/>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162"/>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r>
      <w:tr>
        <w:trPr>
          <w:trHeight w:val="172"/>
        </w:trPr>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Present value discount (8.0% weighted average)</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2"/>
        </w:trPr>
        <w:tc>
          <w:tcPr>
            <w:tcW w:w="8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20"/>
        </w:trPr>
        <w:tc>
          <w:tcPr>
            <w:tcW w:w="8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Hosted Design Software Agreement</w:t>
      </w:r>
    </w:p>
    <w:p>
      <w:pPr>
        <w:spacing w:after="0" w:line="186" w:lineRule="exact"/>
        <w:rPr>
          <w:sz w:val="20"/>
          <w:szCs w:val="20"/>
          <w:color w:val="auto"/>
        </w:rPr>
      </w:pPr>
    </w:p>
    <w:p>
      <w:pPr>
        <w:jc w:val="both"/>
        <w:ind w:right="40"/>
        <w:spacing w:after="0" w:line="292" w:lineRule="auto"/>
        <w:rPr>
          <w:sz w:val="20"/>
          <w:szCs w:val="20"/>
          <w:color w:val="auto"/>
        </w:rPr>
      </w:pPr>
      <w:r>
        <w:rPr>
          <w:rFonts w:ascii="Times New Roman" w:cs="Times New Roman" w:eastAsia="Times New Roman" w:hAnsi="Times New Roman"/>
          <w:sz w:val="14"/>
          <w:szCs w:val="14"/>
          <w:color w:val="auto"/>
        </w:rPr>
        <w:t xml:space="preserve">In June 2024, the Company renewed an electronic design automation software in a hosted environment license agreement through the end of </w:t>
      </w:r>
      <w:r>
        <w:rPr>
          <w:rFonts w:ascii="Times New Roman" w:cs="Times New Roman" w:eastAsia="Times New Roman" w:hAnsi="Times New Roman"/>
          <w:sz w:val="14"/>
          <w:szCs w:val="14"/>
          <w:color w:val="222222"/>
        </w:rPr>
        <w:t>2025</w:t>
      </w:r>
      <w:r>
        <w:rPr>
          <w:rFonts w:ascii="Times New Roman" w:cs="Times New Roman" w:eastAsia="Times New Roman" w:hAnsi="Times New Roman"/>
          <w:sz w:val="14"/>
          <w:szCs w:val="14"/>
          <w:color w:val="auto"/>
        </w:rPr>
        <w:t xml:space="preserve"> under which the Company is required to remit quarterly payments of approximately </w:t>
      </w:r>
      <w:r>
        <w:rPr>
          <w:rFonts w:ascii="Times New Roman" w:cs="Times New Roman" w:eastAsia="Times New Roman" w:hAnsi="Times New Roman"/>
          <w:sz w:val="14"/>
          <w:szCs w:val="14"/>
          <w:color w:val="222222"/>
        </w:rPr>
        <w:t>$52,000 through the fourth quarter of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Litigations, Claims, and Assessments</w:t>
      </w:r>
    </w:p>
    <w:p>
      <w:pPr>
        <w:spacing w:after="0" w:line="18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MBO Bonus Plan</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39"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4"/>
          <w:szCs w:val="14"/>
          <w:color w:val="auto"/>
        </w:rPr>
        <w:t>Under the Bonus Plan, the Compensation Committee was responsible for selecting the amounts of potential bonuses for executive officers, the performance metrics used to determine whether any such bonuses would be paid and determining whether those performance metrics had been achieved.</w:t>
      </w:r>
    </w:p>
    <w:p>
      <w:pPr>
        <w:spacing w:after="0" w:line="12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The Company did not record any expense under the Bonus Plan during the three or six months ended June 30, 2024. During the three and six months ended June 30, 2023, the Company recorded $0.2 million and $0.3 million, respectively, in expense under the Bonus Plan. As of December 31, 2023, the Company had $0.5 million in bonuses earned during 2023 that had not yet been paid and was included in accrued expenses. As of June 30, 2024, the Company had paid all amounts accrued under the Bonus Plan.</w:t>
      </w:r>
    </w:p>
    <w:p>
      <w:pPr>
        <w:spacing w:after="0" w:line="13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On May 30, 2024, the Board, on the recommendation of the Compensation Committee, approved the 2024 Corporate Bonus Plan (“2024 Bonus Plan”), whereby employees’ bonuses will be based upon achievement of performance objectives set by the Compensation Committee and paid annually. Employees must be continuously employed throughout the applicable performance period and achieve the performance objectives.</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 continued</w:t>
      </w:r>
    </w:p>
    <w:p>
      <w:pPr>
        <w:spacing w:after="0" w:line="18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Under the 2024 Bonus Plan, the Compensation Committee is responsible for selecting the amounts of potential bonuses for executive officers and vice presidents, the performance metrics used to determine whether any such bonuses will be paid and determining whether those performance metrics have been achieved. As of June 30, 2024, the Company did not record any expense under the 2024 Bonus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Severance and Change in Control Agreement</w:t>
      </w:r>
    </w:p>
    <w:p>
      <w:pPr>
        <w:spacing w:after="0" w:line="186"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4"/>
          <w:szCs w:val="14"/>
          <w:color w:val="auto"/>
        </w:rPr>
        <w:t>On March 15, 2018, the Compensation Committee approved a form of Severance and Change in Control Agreement that the Company may enter into with executive officers.</w:t>
      </w:r>
    </w:p>
    <w:p>
      <w:pPr>
        <w:spacing w:after="0" w:line="12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On May 30, 2024, the Compensation Committee approved a new form of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three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three-to-twelve-month period, as applicable, following the Executive’s termination.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Transition – Cesar Johnston</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w:t>
      </w:r>
    </w:p>
    <w:p>
      <w:pPr>
        <w:ind w:right="80"/>
        <w:spacing w:after="0" w:line="259" w:lineRule="auto"/>
        <w:rPr>
          <w:sz w:val="20"/>
          <w:szCs w:val="20"/>
          <w:color w:val="auto"/>
        </w:rPr>
      </w:pPr>
      <w:r>
        <w:rPr>
          <w:rFonts w:ascii="Times New Roman" w:cs="Times New Roman" w:eastAsia="Times New Roman" w:hAnsi="Times New Roman"/>
          <w:sz w:val="14"/>
          <w:szCs w:val="14"/>
          <w:color w:val="auto"/>
        </w:rPr>
        <w:t>Mr. Johnston that were scheduled to vest during the next 18 months following the termination date, and (c) reimbursement for continued COBRA payments, if elected by Mr. Johnston, during the 18 months following the termination date. The Company recorded $1.5 million in total severance expense pertaining to Mr. Johnston’s departure during the three months ended March 31, 2024, including $0.1 million in stock-based compensation as a result of accelerated vesting of RSUs and options (see Note 8 – Stock-Based Compensation for additional details). The Company reversed $0.3 million in accrued severance during the three months ended June 30, 2024, as a result of the finalization of the negotiated settlement and payroll taxes. The Company, therefore, recorded expense of $1.2 million in total severance expense pertaining to Mr. Johnston’s departure during the six months ended June 30, 2024.</w:t>
      </w:r>
    </w:p>
    <w:p>
      <w:pPr>
        <w:spacing w:after="0" w:line="14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4"/>
          <w:szCs w:val="14"/>
          <w:color w:val="auto"/>
        </w:rPr>
        <w:t>As of June 30, 2024, the Company had accrued unpaid severance expense related to COBRA reimbursements of approximately $46,000 pertaining to the Johnston Severance Agreement, which is due to be paid through September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Transition – William Mannina</w:t>
      </w:r>
    </w:p>
    <w:p>
      <w:pPr>
        <w:spacing w:after="0" w:line="18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4"/>
          <w:szCs w:val="14"/>
          <w:color w:val="auto"/>
        </w:rPr>
        <w:t>On July 20, 2023, the Company announced the departure of William Mannina, former Acting Chief Financial Officer, effective August 16, 2023. Pursuant to the terms of a letter agreement between Mr. Mannina and the Company, Mr. Mannina received payments and benefits including cash severance payments equivalent to nine months of his then-current salary of $265,825 and premium payments for continued healthcare coverage for nine months following his resignation effective date. Mr. Mannina’s restricted stock units continued to vest through August 16,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the Company had no accrued unpaid severance expense pertaining to Mr. Mannina’s agreement.</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Alliance Agreement</w:t>
      </w:r>
    </w:p>
    <w:p>
      <w:pPr>
        <w:spacing w:after="0" w:line="18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In November 2016, the Company and Dialog Semiconductor plc (“Dialog”), a related party,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to collaborate on the commercialization of Licensed Products based on a mutually-agreed upon plan. Each party will retain all of its intellectual property.</w:t>
      </w:r>
    </w:p>
    <w:p>
      <w:pPr>
        <w:spacing w:after="0" w:line="14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The Alliance Agreement had an initial term of seven years, with automatic renewal annually thereafter unless terminated by either party upon 180 days’ prior written notice. The Company could terminate the Alliance Agreement at any time after the third anniversary of the Alliance Agreement upon 180 days’ prior written notice to Dialog, or if Dialog breached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agreed to terminate the requirement.</w:t>
      </w:r>
    </w:p>
    <w:p>
      <w:pPr>
        <w:spacing w:after="0" w:line="14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On September 20, 2021, the Company was notified by Dialog, which had been recently acquired by Renesas Electronics Corporation (“Renesas”),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Capital Stock and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w:t>
      </w:r>
    </w:p>
    <w:p>
      <w:pPr>
        <w:spacing w:after="0" w:line="18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On September 15, 2020, the Company filed a shelf registration statement on Form S-3 with the SEC, which became effective on September 24, 2020 (“Prior Shelf”), and contained two prospectuses: a base prospectus, which covered the offering, issuance and sale by the Company of up to $75 million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 million of its common stock that may be issued and sold under the At Market Issuance Sales Agreement, as amended, between the Company and B. Riley Securities, Inc. (the “Prior ATM Program”). The $40 million of common stock to be offered, issued and sold under the Prior ATM Program was included in the $75 million of securities that may be offered, issued and sold by the Company under the base prospectus. Pursuant to this shelf registration statement, the Company sold shares which raised net proceeds of $38.8 million (net of $1.2 million in issuance costs) during the third and fourth quarters of 2020 under the Prior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Capital Stock and Warrants, continued</w:t>
      </w:r>
    </w:p>
    <w:p>
      <w:pPr>
        <w:spacing w:after="0" w:line="18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On October 4, 2021, the Company filed a prospectus supplement covering the offering, issuance and sale of up to an additional $35 million of shares of the Company’s common stock pursuant to the Prior ATM Program. The Company raised net proceeds of $27.0 million (net of $0.9 million in issuance costs), during 2021 under the Prior ATM Program. During 2022, the Company raised an additional $0.7 million (net of $0.1 million in issuance costs) under the Prior ATM Program. During the first quarter of 2023, the Company raised $3.6 million (net of $0.2 million in issuance costs) under the Prior ATM Program. As of June 30, 2024, there is no amount remaining in the Prior Shelf due to its expiration on September 24,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15, 2021, the Company filed a shelf registration statement on Form S-3 with the SEC, which became effective on December 16, 2021. This shelf registration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allows the Company to sell, from time to time, any combination of debt or equity securities described in the registration statement up to aggregate proceeds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million. Pursuant to this registration statement, on March 28, 2023, the Company completed an underwritten offering pursuant to which it issued and sold an aggregate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(i) 412,500 shares of its common stock (the “Shares”) and (ii) warrants to purchase up to 412,500 shares of its common stock (the “2023 Warrants”), for net proceeds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million, after deducting underwriting discounts, commission and expenses payable by the Company. The 2023 Warrants were immediately exercisable upon issuance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have a term of six years and an exercise price of $8.00. The Company allocated the proceeds received first to the 2023 Warrants based on the fair value of the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as determined at initial measurement, with the remaining proceeds allocated to the Shares (see Note 9 – Warrant Liability and Note 10 – Fair Value Measurements).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terms of the 2023 Warrants, the exercise price was adjusted to $1.66 during 2023.</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February 15, 2024, the Company entered into a securities purchase agreement with an institutional investor, providing for the issuance and sale by the Company in a registered direct offering (the “Offering”),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“Warrants”). Each share of common stock and Pre-Funded Warrant was offered and sold together with an accompanying Warrant at a combined price of $1.96 per share of common stock or Pre-Funded Warrant, as applicable. Each Pre-Funded Warrant and Warrant is exercisable at any time on or after the date of issuance to purchase one share of common stock at a price of either $0.001 per share, in the case of Pre-Funded Warrants, or $1.84 per share, in the case of Warrants. The Pre-Funded Warrants expired upon full exercise in April 2024, and the Warrants expire five years from the date of issuance. The Offering closed on February 20, 2024. The Company received net proceeds of approximately $1.8 million (net of $0.2 million in issuance costs).</w:t>
      </w:r>
    </w:p>
    <w:p>
      <w:pPr>
        <w:spacing w:after="0" w:line="14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On June 21, 2024, the Company filed a prospectus supplement covering the offering, issuance and sale of up to $3.5 million in shares of the Company’s common stock pursuant to the At the Market Offering Agreement, dated June 21, 2024, between the Company and H.C. Wainwright &amp; Co., LLC (the “Current ATM Program”, and together with the Prior ATM program, the “ATM Program”). As of June 30, 2024, no transactions under this prospective supplement have been made. In addition, on June 20, 2024, the Company provided notice of termination of the Prior ATM Program that the Company had entered into with Roth Capital Partners, LLC, as sales agent. The Company entered into the Current ATM Program discussed above to replace the Prior ATM Program.</w:t>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Capital Stock and Warrants,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Outstanding</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Future Issuance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reserved the following shares of common stock for future issuance: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7080" w:type="dxa"/>
            <w:vAlign w:val="bottom"/>
          </w:tcPr>
          <w:p>
            <w:pPr>
              <w:spacing w:after="0"/>
              <w:rPr>
                <w:sz w:val="11"/>
                <w:szCs w:val="1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62"/>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RSUs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577,629</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71,734</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outstanding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1,432,909</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495,833</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2013 Equity Incentive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118,877</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2014 Non-employee Equity Compensation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29,137</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2015 Performance Share Unit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108,897</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2017 Equity Inducement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133,612</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51,084</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2024 Equity Incentive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233,570</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Employee Stock Purchase Plan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20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r>
      <w:tr>
        <w:trPr>
          <w:trHeight w:val="16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2,394,886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905,278</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2017 Equity Inducement Plan</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color w:val="auto"/>
        </w:rPr>
        <w:t>On December 28, 2017, the Board approved the 2017 Equity Inducement Plan. Under the 2017 Equity Inducement Plan, the Board reserved 30,000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4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June 30, 2024, 133,612 shares of common stock remain available to be issued through equity-based instruments under the 2017 Equity Inducement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Equity Incentive Plan</w:t>
      </w:r>
    </w:p>
    <w:p>
      <w:pPr>
        <w:spacing w:after="0" w:line="1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On June 12, 2024, the Energous Corporation 2024 Equity Incentive Plan (the “2024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456,000 shares of common stock were approved for issuance under the 2024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233,570 shares of common stock remain available for issuance under the 2024 Plan.</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Employee Stock Purchase Plan</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April 2015, the Board approved the Energous Corporation Employee Stock Purchase Plan (“ESPP”), under which 30,000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6,200 shares. Under the ESPP, employees may designate an amount not less than 1% but not more than 10% of their annual compensation for the purchase of Company shares. No more than 375 shares may be purchased by an employee under the ESPP during an offering period. Excess contributions during an offering period are refunded to the employees. An offering period is six months in duration commencing on or about January 1 and July 1 of each year. The exercise price of options purchased under the ESPP is the lesser of 85% of the fair market of the common stock on the first business day of the offering period and 85% of the fair market value of the common stock on the applicable exercise date.</w:t>
      </w:r>
    </w:p>
    <w:p>
      <w:pPr>
        <w:spacing w:after="0" w:line="14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color w:val="auto"/>
        </w:rPr>
        <w:t>As of June 30, 2024, 17,166 shares of common stock remain eligible to be issued under the ESPP. Employees contributed approximately $55,000 through payroll withholdings to the ESPP as of June 30, 2024 for the current offering period which ended on June 30, 2024. Approximately $52,000 was due to be refunded to employees due to share purchase limits for an offering period. The remaining $3,000 was used to purchase 3,750 shares with shares deemed delivered on June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p>
      <w:pPr>
        <w:spacing w:after="0" w:line="1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In February 2022, the Board granted the Company’s former Chief Executive Officer 15,000 stock options at an exercise price of $25.40 per share with half of the options vesting on the second anniversary of the vesting start date and a quarter of the options vesting on each of the two following anniversaries. Under the former Chief Executive Officer’s Severance Agreement, unvested awards vesting within 18 months of termination were accelerated and became vested on March 26, 2024. Consequently, 3,750 options became vested and another 3,750 options were forfeited. This resulted in stock-based compensation expense of approximately $0 and $53,000 during the three and six months ended June 30, 2024, respectively. As of June 30, 2024, all stock options granted to the former Chief Executive Officer were forfeited.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stock options were granted during the three and six months ended June 30, 2023 and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stock option activity during the six months ended June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6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Life In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January 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June 30,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as of January 1, 2024</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vMerge w:val="restart"/>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7,500</w:t>
            </w:r>
          </w:p>
        </w:tc>
        <w:tc>
          <w:tcPr>
            <w:tcW w:w="3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Exercisable as of June 30,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 of June 30, 2024, the unamortized fair value of stock options was $0.</w:t>
            </w: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19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36"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(“RSUs”)</w:t>
      </w:r>
    </w:p>
    <w:p>
      <w:pPr>
        <w:spacing w:after="0" w:line="186"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4"/>
          <w:szCs w:val="14"/>
          <w:color w:val="auto"/>
        </w:rPr>
        <w:t>During the six months ended June 30, 2024, the Board granted its Interim Principal Executive officer and Chief Financial Officer 77,000 RSUs. Each RSU represents the contingent right to one share of common stock of the Company. The RSU awards vest over four years.</w:t>
      </w:r>
    </w:p>
    <w:p>
      <w:pPr>
        <w:spacing w:after="0" w:line="123"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4"/>
          <w:szCs w:val="14"/>
          <w:color w:val="auto"/>
        </w:rPr>
        <w:t>During the six months ended June 30, 2024, the Compensation Committee granted directors an aggregate of 6,000 RSUs for service on the board of directors. These RSU awards vest on the one-year anniversary of the grant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six months ended June 30, 2024, the Board granted employees an aggregate of 468,000 RSUs, which vest over four years.</w:t>
      </w:r>
    </w:p>
    <w:p>
      <w:pPr>
        <w:spacing w:after="0" w:line="18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Under the former Chief Executive Officer’s Severance Agreement, unvested RSUs vesting within 18 months of termination were accelerated and vested on March 26, 2024. Consequently, 3,017 RSUs vested resulting in stock-based compensation expense of approximately $0 and $77,000 during the three and six months ended June 30, 2024, respectively.</w:t>
      </w:r>
    </w:p>
    <w:p>
      <w:pPr>
        <w:spacing w:after="0" w:line="135"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4"/>
          <w:szCs w:val="14"/>
          <w:color w:val="auto"/>
        </w:rPr>
        <w:t>As of June 30, 2024, the unamortized fair value of the RSUs was $1.1 million. The unamortized amount will be expensed over a weighted average period of 2.9 years. A summary of the activity related to RSUs for the six months ended June 30, 2024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vMerge w:val="restart"/>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4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RSUs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 forfeited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RSUs vested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577,629</w:t>
            </w:r>
          </w:p>
        </w:tc>
        <w:tc>
          <w:tcPr>
            <w:tcW w:w="52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Stock Units (“PSUs”)</w:t>
      </w:r>
    </w:p>
    <w:p>
      <w:pPr>
        <w:spacing w:after="0" w:line="186"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4"/>
          <w:szCs w:val="14"/>
          <w:color w:val="auto"/>
        </w:rPr>
        <w:t>PSUs are grants that vest upon the achievement of certain performance goals. The goals are commonly related to the Company’s revenue and achievement of sales and marketing goals.</w:t>
      </w:r>
    </w:p>
    <w:p>
      <w:pPr>
        <w:spacing w:after="0" w:line="1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July 20, 2022, the Board granted the Company’s former Chief Executive Officer, Cesar Johnston, up to 14,350 PSUs under the Company’s 2015 Performance Share Unit Plan pursuant to the terms of Mr. Johnston’s offer letter with the Company (See Note 6 – Commitments and Contingencies). The up to 14,350 PSUs that had been approved were to vest as follows: (a) up to 9,350 PSU shares would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2,500 PSU shares would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w:t>
      </w:r>
    </w:p>
    <w:p>
      <w:pPr>
        <w:spacing w:after="0" w:line="14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There was no PSU activity for the three or six months ended June 30, 2024 and 2023. The 2,500 PSU shares that were reserved for grant during 2024 per Mr. Johnston’s offer letter with the Company, as well as the 1,250 shares reserved for potential outperformance by Mr. Johnston of 2024 goals were returned to the 2015 Performance Share Unit Plan for future issuance.</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6"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4"/>
          <w:szCs w:val="14"/>
          <w:color w:val="auto"/>
        </w:rPr>
        <w:t>The recently completely offering period under the ESPP started on January 1, 2024 and concluded on June 30, 2024. During the year ended December 31, 2023, there were two offering periods. The first offering period began on January 1, 2023 and concluded on June 30, 2023. The second offering period began on July 1, 2023 and concluded on December 31, 2023.</w:t>
      </w:r>
    </w:p>
    <w:p>
      <w:pPr>
        <w:spacing w:after="0" w:line="13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weighted average grant-date fair value of the purchase option for each designated share purchased under the ESPP was approximately $0.85 per share and $8.00 per share for the six months ended June 30, 2024 and 2023,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approximately $(16,000) and $3,000 for the three and six months ended June 30, 2024. The credit balance during the three months ended June 30, 2024 is primarily due to share purchase limitations recognized during the quarter resulting in the reversal of part of the previous quarter’s compensation expense. The Company recognized compensation expense for the ESPP of approximately $16,000 and $41,000 for the three and six months ended June 30, 2023, respectively.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estimated the fair value of ESPP purchase options granted during the six months ended June 30, 2024 and 2023 using the Black-Scholes option pricing model.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ESPP purchase options granted were estimated using the following assumptions: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5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9"/>
        </w:trPr>
        <w:tc>
          <w:tcPr>
            <w:tcW w:w="558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1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r>
      <w:tr>
        <w:trPr>
          <w:trHeight w:val="16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60" w:type="dxa"/>
            <w:vAlign w:val="bottom"/>
            <w:shd w:val="clear" w:color="auto" w:fill="CCEEFF"/>
          </w:tcPr>
          <w:p>
            <w:pPr>
              <w:spacing w:after="0"/>
              <w:rPr>
                <w:sz w:val="14"/>
                <w:szCs w:val="14"/>
                <w:color w:val="auto"/>
              </w:rPr>
            </w:pPr>
          </w:p>
        </w:tc>
      </w:tr>
      <w:tr>
        <w:trPr>
          <w:trHeight w:val="17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0 %</w:t>
            </w:r>
          </w:p>
        </w:tc>
        <w:tc>
          <w:tcPr>
            <w:tcW w:w="2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0 %</w:t>
            </w:r>
          </w:p>
        </w:tc>
      </w:tr>
      <w:tr>
        <w:trPr>
          <w:trHeight w:val="17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112 %</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59 %</w:t>
            </w:r>
          </w:p>
        </w:tc>
      </w:tr>
      <w:tr>
        <w:trPr>
          <w:trHeight w:val="17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5.26 %</w:t>
            </w:r>
          </w:p>
        </w:tc>
        <w:tc>
          <w:tcPr>
            <w:tcW w:w="2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4.42 %</w:t>
            </w:r>
          </w:p>
        </w:tc>
      </w:tr>
      <w:tr>
        <w:trPr>
          <w:trHeight w:val="17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life</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 months</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 months</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amount of stock-based compensation was reflected within the statements of operations as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3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9"/>
        </w:trPr>
        <w:tc>
          <w:tcPr>
            <w:tcW w:w="3480" w:type="dxa"/>
            <w:vAlign w:val="bottom"/>
            <w:tcBorders>
              <w:bottom w:val="single" w:sz="8" w:color="CCEEFF"/>
            </w:tcBorders>
          </w:tcPr>
          <w:p>
            <w:pPr>
              <w:spacing w:after="0"/>
              <w:rPr>
                <w:sz w:val="9"/>
                <w:szCs w:val="9"/>
                <w:color w:val="auto"/>
              </w:rPr>
            </w:pPr>
          </w:p>
        </w:tc>
        <w:tc>
          <w:tcPr>
            <w:tcW w:w="19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right"/>
              <w:ind w:right="13"/>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1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9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69"/>
        </w:trPr>
        <w:tc>
          <w:tcPr>
            <w:tcW w:w="3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432"/>
        </w:trPr>
        <w:tc>
          <w:tcPr>
            <w:tcW w:w="3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36"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Warrant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Warrants</w:t>
      </w:r>
    </w:p>
    <w:p>
      <w:pPr>
        <w:spacing w:after="0" w:line="1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June 30, 2024, the exercise price was adjusted to $1.66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Program, the “Exercise Price”).</w:t>
      </w:r>
    </w:p>
    <w:p>
      <w:pPr>
        <w:spacing w:after="0" w:line="14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spacing w:after="0" w:line="14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14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June 30, 2024, all 2023 Warrants were outstanding. As of June 30, 2024, the fair value of the warrant liability was $0.4 million. The Company recorded a change in fair value of the warrant liability of $0.3 million for both the three and six months ended June 30, 2024. The Company recorded a change in fair value of the warrant liability of $1.9 million for both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Fair Value Measurements</w:t>
      </w:r>
    </w:p>
    <w:p>
      <w:pPr>
        <w:spacing w:after="0" w:line="184"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as of June 30, 2024 and December 31, 2023 and indicate the fair value hierarchy of the valuation inputs utilized to determine such fair value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Balance as of June 30, 2024</w:t>
            </w: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CEEFF"/>
            </w:tcBorders>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w:t>
            </w: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28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CEEFF"/>
            </w:tcBorders>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w:t>
            </w: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among Level 1, Level 2, or Level 3 categories during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Warrants</w:t>
      </w:r>
    </w:p>
    <w:p>
      <w:pPr>
        <w:spacing w:after="0" w:line="18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key inputs into the Monte Carlo simulation model for the 2023 Warrants are as follows: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25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As of June 30, 2024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2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As of June 30, 2023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As of March 31, 2023</w:t>
            </w:r>
          </w:p>
        </w:tc>
      </w:tr>
      <w:tr>
        <w:trPr>
          <w:trHeight w:val="162"/>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price</w:t>
            </w:r>
          </w:p>
        </w:tc>
        <w:tc>
          <w:tcPr>
            <w:tcW w:w="1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00" w:type="dxa"/>
            <w:vAlign w:val="bottom"/>
            <w:tcBorders>
              <w:top w:val="single" w:sz="8" w:color="CCEEFF"/>
            </w:tcBorders>
            <w:shd w:val="clear" w:color="auto" w:fill="CCEEFF"/>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00" w:type="dxa"/>
            <w:vAlign w:val="bottom"/>
          </w:tcPr>
          <w:p>
            <w:pPr>
              <w:spacing w:after="0"/>
              <w:rPr>
                <w:sz w:val="14"/>
                <w:szCs w:val="14"/>
                <w:color w:val="auto"/>
              </w:rPr>
            </w:pPr>
          </w:p>
        </w:tc>
      </w:tr>
      <w:tr>
        <w:trPr>
          <w:trHeight w:val="17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(in years)</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Volatility</w:t>
            </w:r>
          </w:p>
        </w:tc>
        <w:tc>
          <w:tcPr>
            <w:tcW w:w="30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85 %</w:t>
            </w:r>
          </w:p>
        </w:tc>
        <w:tc>
          <w:tcPr>
            <w:tcW w:w="14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85 %</w:t>
            </w:r>
          </w:p>
        </w:tc>
        <w:tc>
          <w:tcPr>
            <w:tcW w:w="14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65 %</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65 %</w:t>
            </w:r>
          </w:p>
        </w:tc>
      </w:tr>
      <w:tr>
        <w:trPr>
          <w:trHeight w:val="17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0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4.4 %</w:t>
            </w:r>
          </w:p>
        </w:tc>
        <w:tc>
          <w:tcPr>
            <w:tcW w:w="14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4.2 %</w:t>
            </w:r>
          </w:p>
        </w:tc>
        <w:tc>
          <w:tcPr>
            <w:tcW w:w="146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4.1 %</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3.6 %</w:t>
            </w:r>
          </w:p>
        </w:tc>
      </w:tr>
      <w:tr>
        <w:trPr>
          <w:trHeight w:val="185"/>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30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0 %</w:t>
            </w:r>
          </w:p>
        </w:tc>
        <w:tc>
          <w:tcPr>
            <w:tcW w:w="14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0 %</w:t>
            </w:r>
          </w:p>
        </w:tc>
        <w:tc>
          <w:tcPr>
            <w:tcW w:w="14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0 %</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0 %</w:t>
            </w:r>
          </w:p>
        </w:tc>
      </w:tr>
    </w:tbl>
    <w:p>
      <w:pPr>
        <w:spacing w:after="0" w:line="143" w:lineRule="exact"/>
        <w:rPr>
          <w:sz w:val="20"/>
          <w:szCs w:val="20"/>
          <w:color w:val="auto"/>
        </w:rPr>
      </w:pPr>
    </w:p>
    <w:p>
      <w:pPr>
        <w:jc w:val="both"/>
        <w:ind w:right="60"/>
        <w:spacing w:after="0" w:line="292" w:lineRule="auto"/>
        <w:rPr>
          <w:sz w:val="20"/>
          <w:szCs w:val="20"/>
          <w:color w:val="auto"/>
        </w:rPr>
      </w:pPr>
      <w:r>
        <w:rPr>
          <w:rFonts w:ascii="Times New Roman" w:cs="Times New Roman" w:eastAsia="Times New Roman" w:hAnsi="Times New Roman"/>
          <w:sz w:val="14"/>
          <w:szCs w:val="14"/>
          <w:color w:val="auto"/>
        </w:rPr>
        <w:t>The change in the fair value of the 2023 Warrant liability was determined to be $0.3 million during the six months ended June 30, 2024. The change in fair value of the 2023 Warrant liability was determined to be $1.9 million during the six months ended June 30, 2023 (see Note 9 – Warrant Liability).</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0" w:type="dxa"/>
            <w:vAlign w:val="bottom"/>
          </w:tcPr>
          <w:p>
            <w:pPr>
              <w:spacing w:after="0"/>
              <w:rPr>
                <w:sz w:val="1"/>
                <w:szCs w:val="1"/>
                <w:color w:val="auto"/>
              </w:rPr>
            </w:pPr>
          </w:p>
        </w:tc>
      </w:tr>
      <w:tr>
        <w:trPr>
          <w:trHeight w:val="109"/>
        </w:trPr>
        <w:tc>
          <w:tcPr>
            <w:tcW w:w="3760" w:type="dxa"/>
            <w:vAlign w:val="bottom"/>
            <w:tcBorders>
              <w:bottom w:val="single" w:sz="8" w:color="CCEEFF"/>
            </w:tcBorders>
            <w:vMerge w:val="continue"/>
          </w:tcPr>
          <w:p>
            <w:pPr>
              <w:spacing w:after="0"/>
              <w:rPr>
                <w:sz w:val="9"/>
                <w:szCs w:val="9"/>
                <w:color w:val="auto"/>
              </w:rPr>
            </w:pPr>
          </w:p>
        </w:tc>
        <w:tc>
          <w:tcPr>
            <w:tcW w:w="17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9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value</w:t>
            </w:r>
          </w:p>
        </w:tc>
        <w:tc>
          <w:tcPr>
            <w:tcW w:w="17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Initial valuation of new warrants</w:t>
            </w: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0" w:type="dxa"/>
            <w:vAlign w:val="bottom"/>
          </w:tcPr>
          <w:p>
            <w:pPr>
              <w:spacing w:after="0"/>
              <w:rPr>
                <w:sz w:val="1"/>
                <w:szCs w:val="1"/>
                <w:color w:val="auto"/>
              </w:rPr>
            </w:pPr>
          </w:p>
        </w:tc>
      </w:tr>
      <w:tr>
        <w:trPr>
          <w:trHeight w:val="17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value of warrant liability</w:t>
            </w:r>
          </w:p>
        </w:tc>
        <w:tc>
          <w:tcPr>
            <w:tcW w:w="1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Ending value</w:t>
            </w:r>
          </w:p>
        </w:tc>
        <w:tc>
          <w:tcPr>
            <w:tcW w:w="17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Customer Concentrations</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Two customers accounted for approximately 87% of the Company’s revenue for the three months ended June 30, 2024, and three customers accounted for approximately 78% of the Company’s revenue for the six months ended June 30, 2024. Two customers accounted for approximately 68% of the Company’s revenue for the three months ended June 30, 2023, and three customers accounted for approximately 75% of the Company’s revenue for the six months ended June 30, 2023. Two customers accounted for approximately 91% of the Company’s accounts receivable balance as of June 30, 2024, and two customers accounted for approximately 88% of the Company’s accounts receivable balance as of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Subsequent Event</w:t>
      </w:r>
    </w:p>
    <w:p>
      <w:pPr>
        <w:spacing w:after="0" w:line="18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4"/>
          <w:szCs w:val="14"/>
          <w:color w:val="auto"/>
        </w:rPr>
        <w:t xml:space="preserve">Pursuant to the prospectus supplement filed on June 21, 2024 (See Note 7 – Capital Stock and Warrants, </w:t>
      </w:r>
      <w:r>
        <w:rPr>
          <w:rFonts w:ascii="Times New Roman" w:cs="Times New Roman" w:eastAsia="Times New Roman" w:hAnsi="Times New Roman"/>
          <w:sz w:val="14"/>
          <w:szCs w:val="14"/>
          <w:i w:val="1"/>
          <w:iCs w:val="1"/>
          <w:color w:val="auto"/>
        </w:rPr>
        <w:t>Financing</w:t>
      </w:r>
      <w:r>
        <w:rPr>
          <w:rFonts w:ascii="Times New Roman" w:cs="Times New Roman" w:eastAsia="Times New Roman" w:hAnsi="Times New Roman"/>
          <w:sz w:val="14"/>
          <w:szCs w:val="14"/>
          <w:color w:val="auto"/>
        </w:rPr>
        <w:t>), the Company raised $0.2 million from total sales of 240,112 shares of the Company’s common stock under the ATM Program during the period from July 1, 2024 through August 9,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As used in this Quarterly Report on Form 10-Q,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and expectations for revenues, liquidity cash flows and financial performance, the anticipated results of our research and development efforts, the timing for receipt of required regulatory approvals and product launches;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w:t>
      </w:r>
    </w:p>
    <w:p>
      <w:pPr>
        <w:spacing w:after="0" w:line="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Form 10-Q, including this Quarterly Report on Form 10-Q. We undertake no obligation to publicly update any of our forward-looking statements, whether as a result of new information, future developments or otherwise.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We have developed scalable, over-the-air wireless power networks (“WPN”) technology, consisting of semiconductor chipsets, software controls, hardware designs and antennas, that enable radio frequency (“RF”) based charging for Internet of Things (“IoT”) devices. The WPN technology has a broad spectrum of capabilities to enable the next generation of wireless power networks, delivering power and data in a seamless device portfolio, enabling unprecedented levels of visibility, control, and intelligent business automation. This includes near field and at-a-distance wireless charging with multiple power levels at various distances. Our wireless power transmitter and receiver technologies deliver continuous access to wireless power, helping drive a new generation of battery-free devices for asset and inventory tracking and management – from retail sensors, electronic shelf labels, and asset trackers, to air quality monitors, motion detectors, and more.</w:t>
      </w:r>
    </w:p>
    <w:p>
      <w:pPr>
        <w:spacing w:after="0" w:line="14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p>
      <w:pPr>
        <w:spacing w:after="0" w:line="141"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Device Type</w:t>
            </w:r>
          </w:p>
        </w:tc>
        <w:tc>
          <w:tcPr>
            <w:tcW w:w="49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Application</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RF Tags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Asset Tracking, Medical IoT</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IoT Sensors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Logistics, Asset Tracking</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Electronic Shelf Labels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Retail and Industrial IoT</w:t>
            </w:r>
          </w:p>
        </w:tc>
      </w:tr>
    </w:tbl>
    <w:p>
      <w:pPr>
        <w:spacing w:after="0" w:line="15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4"/>
          <w:szCs w:val="14"/>
          <w:color w:val="auto"/>
        </w:rPr>
        <w:t>The first WPN end product featuring our technology entered the market in 2019. We started shipping our first at-a-distance wireless PowerBridges for commercial IoT applications and proofs of concept in the fourth quarter of 2021, and we expect additional wireless power enabled products to be released as we move our business forward.</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Policies and Estimates</w:t>
      </w:r>
    </w:p>
    <w:p>
      <w:pPr>
        <w:spacing w:after="0" w:line="1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accounting principles generally accepted in the United States of America requires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make estimates and assumptions that affect the reported amounts of assets and liabilities and the disclosure of contingent liabilities at the date of the financial statements as well as the reported expenses during the reporting periods.</w:t>
      </w:r>
    </w:p>
    <w:p>
      <w:pPr>
        <w:spacing w:after="0" w:line="13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spacing w:after="0" w:line="12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During the three months ended June 30, 2024,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selected Condensed Statements of Operations data (in thousands) and such data as a percentage of revenue: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180" w:type="dxa"/>
            <w:vAlign w:val="bottom"/>
            <w:tcBorders>
              <w:bottom w:val="single" w:sz="8" w:color="CCEEFF"/>
            </w:tcBorders>
          </w:tcPr>
          <w:p>
            <w:pPr>
              <w:spacing w:after="0"/>
              <w:rPr>
                <w:sz w:val="9"/>
                <w:szCs w:val="9"/>
                <w:color w:val="auto"/>
              </w:rPr>
            </w:pPr>
          </w:p>
        </w:tc>
        <w:tc>
          <w:tcPr>
            <w:tcW w:w="19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90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r>
      <w:tr>
        <w:trPr>
          <w:trHeight w:val="16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100 %</w:t>
            </w: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265 %</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5,302 %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2,462 %</w:t>
            </w: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1,780 %</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930 %</w:t>
            </w: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3,448 %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1,798 %</w:t>
            </w: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9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(585)%</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77 %</w:t>
            </w:r>
          </w:p>
        </w:tc>
      </w:tr>
      <w:tr>
        <w:trPr>
          <w:trHeight w:val="162"/>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1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10,211 %</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0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5,338 %</w:t>
            </w:r>
          </w:p>
        </w:tc>
      </w:tr>
      <w:tr>
        <w:trPr>
          <w:trHeight w:val="16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9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(10,111)%</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(5,238)%</w:t>
            </w: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730 %</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1,621 %</w:t>
            </w:r>
          </w:p>
        </w:tc>
      </w:tr>
      <w:tr>
        <w:trPr>
          <w:trHeight w:val="172"/>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1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124 %</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202 %</w:t>
            </w:r>
          </w:p>
        </w:tc>
      </w:tr>
      <w:tr>
        <w:trPr>
          <w:trHeight w:val="16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19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854 %</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(1,823)%</w:t>
            </w:r>
          </w:p>
        </w:tc>
      </w:tr>
      <w:tr>
        <w:trPr>
          <w:trHeight w:val="162"/>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920" w:type="dxa"/>
            <w:vAlign w:val="bottom"/>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(9,257)%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3"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During the three months ended June 30, 2024 and 2023, we recorded revenue of $46,000 and $117,000, respectively. The decrease is due to a decrease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transmitter sales volume. While recorded revenue declined during the second quarter of 2024, the Company was in receipt of approximately $0.2 million of additional confirmed orders (“backlog”), the majority of which are scheduled to ship in the third quarter of 2024.</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720"/>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Costs and Expenses and Loss from Operations. </w:t>
      </w:r>
      <w:r>
        <w:rPr>
          <w:rFonts w:ascii="Times New Roman" w:cs="Times New Roman" w:eastAsia="Times New Roman" w:hAnsi="Times New Roman"/>
          <w:sz w:val="14"/>
          <w:szCs w:val="14"/>
          <w:color w:val="auto"/>
        </w:rPr>
        <w:t>Costs and expenses are made up of cost of revenue, research and development, sales and marketing, general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administrative and severance expense. Loss from operations for the three months ended June 30, 2024 and 2023 were $4.7 million and $6.1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44"/>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3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265 %</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4"/>
          <w:szCs w:val="14"/>
          <w:color w:val="auto"/>
        </w:rPr>
        <w:t>Cost of revenue was $0.1 million and $0.1 million, respectively, for the three months ended June 30, 2024 and 2023. There was a slight increase due to the higher cost of transmitters sold.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2,439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2,880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40" w:type="dxa"/>
            <w:vAlign w:val="bottom"/>
          </w:tcPr>
          <w:p>
            <w:pPr>
              <w:spacing w:after="0"/>
              <w:rPr>
                <w:sz w:val="16"/>
                <w:szCs w:val="16"/>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5,302 %</w:t>
            </w:r>
          </w:p>
        </w:tc>
        <w:tc>
          <w:tcPr>
            <w:tcW w:w="180" w:type="dxa"/>
            <w:vAlign w:val="bottom"/>
          </w:tcPr>
          <w:p>
            <w:pPr>
              <w:spacing w:after="0"/>
              <w:rPr>
                <w:sz w:val="16"/>
                <w:szCs w:val="16"/>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2,462 %</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Research and development costs were $2.4 million and $2.9 million, respectively, for the three months ended June 30, 2024 and 2023. The decrease of $0.4 million is primarily due to a $0.6 million decrease in employee compensation, consisting of a $0.4 million decrease in payroll costs and a $0.2 million decrease in stock-based compensation, a $0.1 million decrease in software and legal costs and a $0.1 million decrease in miscellaneous office and facility expenses, partially offset by a $0.3 million increase in engineering components and supplies.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233"/>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1,780 %</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930 %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4"/>
          <w:szCs w:val="14"/>
          <w:color w:val="auto"/>
        </w:rPr>
        <w:t>Sales and marketing costs for the three months ended June 30, 2024 and 2023 were $0.8 million and $1.1 million, respectively. The decrease of $0.3 million is primarily due to a $0.3 million decrease in payroll costs due to lower headcount within the department and a decrease in bonuses accrued.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233"/>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1,586</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2,104</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4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3,448 %</w:t>
            </w:r>
          </w:p>
        </w:tc>
        <w:tc>
          <w:tcPr>
            <w:tcW w:w="180" w:type="dxa"/>
            <w:vAlign w:val="bottom"/>
          </w:tcPr>
          <w:p>
            <w:pPr>
              <w:spacing w:after="0"/>
              <w:rPr>
                <w:sz w:val="16"/>
                <w:szCs w:val="16"/>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1,798 %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General and administrative costs for the three months ended June 30, 2024 and 2023 were $1.6 million and $2.1 million, respectively. The decrease of $0.5 million is primarily due to a $0.2 million decrease in stock-based compensation from the former CEO’s departure from the Company, a $0.1 million decrease in insurance premiums, a $0.1 million decrease in consulting and third party fees and a $0.1 million decrease in computer software and support.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Severance Expense: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6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6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680" w:type="dxa"/>
            <w:vAlign w:val="bottom"/>
            <w:gridSpan w:val="2"/>
          </w:tcPr>
          <w:p>
            <w:pPr>
              <w:jc w:val="right"/>
              <w:ind w:right="44"/>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8"/>
              </w:rPr>
              <w:t>(269)</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40" w:type="dxa"/>
            <w:vAlign w:val="bottom"/>
          </w:tcPr>
          <w:p>
            <w:pPr>
              <w:spacing w:after="0"/>
              <w:rPr>
                <w:sz w:val="16"/>
                <w:szCs w:val="16"/>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2"/>
        </w:trPr>
        <w:tc>
          <w:tcPr>
            <w:tcW w:w="6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w w:val="85"/>
              </w:rPr>
              <w:t>27</w:t>
            </w:r>
          </w:p>
        </w:tc>
        <w:tc>
          <w:tcPr>
            <w:tcW w:w="0" w:type="dxa"/>
            <w:vAlign w:val="bottom"/>
          </w:tcPr>
          <w:p>
            <w:pPr>
              <w:spacing w:after="0"/>
              <w:rPr>
                <w:sz w:val="1"/>
                <w:szCs w:val="1"/>
                <w:color w:val="auto"/>
              </w:rPr>
            </w:pPr>
          </w:p>
        </w:tc>
      </w:tr>
      <w:tr>
        <w:trPr>
          <w:trHeight w:val="432"/>
        </w:trPr>
        <w:tc>
          <w:tcPr>
            <w:tcW w:w="6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36"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Severance expense for the three months ended June 30, 2024 and 2023 was $(0.3) million and $0.1 million, respectively. The credit during the three months ended June 30, 2024 was a result of the finalization of the negotiated settlement and payroll taxes for the former CEO. The severance expense for the three months ended June 30, 2023 was related to non-executive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4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80" w:type="dxa"/>
            <w:vAlign w:val="bottom"/>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60" w:type="dxa"/>
            <w:vAlign w:val="bottom"/>
            <w:tcBorders>
              <w:bottom w:val="single" w:sz="8" w:color="CCEEFF"/>
            </w:tcBorders>
          </w:tcPr>
          <w:p>
            <w:pPr>
              <w:spacing w:after="0"/>
              <w:rPr>
                <w:sz w:val="9"/>
                <w:szCs w:val="9"/>
                <w:color w:val="auto"/>
              </w:rPr>
            </w:pPr>
          </w:p>
        </w:tc>
        <w:tc>
          <w:tcPr>
            <w:tcW w:w="18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CCEEF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6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1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4"/>
          <w:szCs w:val="14"/>
          <w:color w:val="auto"/>
        </w:rPr>
        <w:t>Other income resulting from the change in fair value of the warrant liability was $0.3 million for the three months ended June 30, 2024 and $1.9 million for the three months ended June 30, 2023. The changes for both periods were due to reduced market value of our common stock.</w:t>
      </w:r>
    </w:p>
    <w:p>
      <w:pPr>
        <w:spacing w:after="0" w:line="123"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4"/>
          <w:szCs w:val="14"/>
          <w:color w:val="auto"/>
        </w:rPr>
        <w:t>Interest income for the three months ended June 30, 2024 was $0.1 million as compared to interest income of $0.2 million for the three months ended June 30, 2023. The decrease was due to a lower average cash balance in our savings account during the three months ended June 30, 2024 compared to the prior 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Net Loss. </w:t>
      </w:r>
      <w:r>
        <w:rPr>
          <w:rFonts w:ascii="Times New Roman" w:cs="Times New Roman" w:eastAsia="Times New Roman" w:hAnsi="Times New Roman"/>
          <w:sz w:val="14"/>
          <w:szCs w:val="14"/>
          <w:color w:val="auto"/>
        </w:rPr>
        <w:t>As a result of the above, net loss for the three months ended June 30, 2024 was $4.3 million as compared to $4.0 million for the three months ended June 30,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selected Condensed Statements of Operations data (in thousands) and such data as a percentage of revenue: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900" w:type="dxa"/>
            <w:vAlign w:val="bottom"/>
            <w:tcBorders>
              <w:bottom w:val="single" w:sz="8" w:color="CCEEFF"/>
            </w:tcBorders>
          </w:tcPr>
          <w:p>
            <w:pPr>
              <w:spacing w:after="0"/>
              <w:rPr>
                <w:sz w:val="9"/>
                <w:szCs w:val="9"/>
                <w:color w:val="auto"/>
              </w:rPr>
            </w:pPr>
          </w:p>
        </w:tc>
        <w:tc>
          <w:tcPr>
            <w:tcW w:w="158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2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1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6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100 %</w:t>
            </w: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104 %</w:t>
            </w: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2,785 %</w:t>
            </w:r>
          </w:p>
        </w:tc>
      </w:tr>
      <w:tr>
        <w:trPr>
          <w:trHeight w:val="17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1,538 %</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1,075 %</w:t>
            </w: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1,900 %</w:t>
            </w:r>
          </w:p>
        </w:tc>
      </w:tr>
      <w:tr>
        <w:trPr>
          <w:trHeight w:val="17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5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1,176 %</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42 %</w:t>
            </w:r>
          </w:p>
        </w:tc>
      </w:tr>
      <w:tr>
        <w:trPr>
          <w:trHeight w:val="162"/>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10,387 %</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12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5,905 %</w:t>
            </w: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5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(10,287)%</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(5,805)%</w:t>
            </w: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 related to warrant liability</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886 %</w:t>
            </w:r>
          </w:p>
        </w:tc>
      </w:tr>
      <w:tr>
        <w:trPr>
          <w:trHeight w:val="17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5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219 %</w:t>
            </w:r>
          </w:p>
        </w:tc>
      </w:tr>
      <w:tr>
        <w:trPr>
          <w:trHeight w:val="162"/>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2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829 %</w:t>
            </w:r>
          </w:p>
        </w:tc>
      </w:tr>
      <w:tr>
        <w:trPr>
          <w:trHeight w:val="162"/>
        </w:trPr>
        <w:tc>
          <w:tcPr>
            <w:tcW w:w="20" w:type="dxa"/>
            <w:vAlign w:val="bottom"/>
          </w:tcPr>
          <w:p>
            <w:pPr>
              <w:spacing w:after="0"/>
              <w:rPr>
                <w:sz w:val="14"/>
                <w:szCs w:val="14"/>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(4,976)%</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During the six months ended June 30, 2024 and 2023, we recorded revenue of $0.1 million and $0.2 million, respectively. The decrease is due to a decrease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transmitter sales volume. While recorded revenue declined during the first six months of 2024, the Company was in receipt of approximately $0.2 million of additional confirmed orders (“backlog”), the majority of which are scheduled to ship in the third quarter of 2024.</w:t>
      </w:r>
    </w:p>
    <w:p>
      <w:pPr>
        <w:spacing w:after="0" w:line="129" w:lineRule="exact"/>
        <w:rPr>
          <w:sz w:val="20"/>
          <w:szCs w:val="20"/>
          <w:color w:val="auto"/>
        </w:rPr>
      </w:pPr>
    </w:p>
    <w:p>
      <w:pPr>
        <w:jc w:val="both"/>
        <w:ind w:right="700"/>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Costs and Expenses and Loss from Operations. </w:t>
      </w:r>
      <w:r>
        <w:rPr>
          <w:rFonts w:ascii="Times New Roman" w:cs="Times New Roman" w:eastAsia="Times New Roman" w:hAnsi="Times New Roman"/>
          <w:sz w:val="14"/>
          <w:szCs w:val="14"/>
          <w:color w:val="auto"/>
        </w:rPr>
        <w:t>Costs and expenses are made up of cost of revenue, research and development, sales and marketing, general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administrative and severance expense. Loss from operations for the six months ended June 30, 2024 and 2023 were $11.3 million and $12.4 million, respectively.</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20" w:type="dxa"/>
            <w:vAlign w:val="bottom"/>
            <w:tcBorders>
              <w:bottom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4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4"/>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2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210 %</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104 %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4"/>
          <w:szCs w:val="14"/>
          <w:color w:val="auto"/>
        </w:rPr>
        <w:t>Cost of revenue was $0.2 million and $0.2 million, respectively, for the six months ended June 30, 2024 and 2023. There was a slight increase due to a higher cost of transmitters sold.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ind w:right="29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6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4,788</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5,959</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4,353 %</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2,785 %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Research and development costs were $4.8 million and $6.0 million, respectively, for the six months ended June 30, 2024 and 2023. The decrease of $1.2 million is primarily due to a $0.9 million decrease in employee compensation, consisting of a $0.7 million decrease in payroll costs and a $0.3 million decrease in stock-based compensation, a $0.1 million decrease in legal fees pertaining to patents, a $0.1 million decrease in test development costs and a $0.1 million decrease in software and support, partially offset by a $0.2 million increase in engineering components and supplies.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 Costs: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5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5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ind w:right="29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1,692</w:t>
            </w:r>
          </w:p>
        </w:tc>
        <w:tc>
          <w:tcPr>
            <w:tcW w:w="2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2,300</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220" w:type="dxa"/>
            <w:vAlign w:val="bottom"/>
          </w:tcPr>
          <w:p>
            <w:pPr>
              <w:spacing w:after="0"/>
              <w:rPr>
                <w:sz w:val="16"/>
                <w:szCs w:val="16"/>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1,538 %</w:t>
            </w:r>
          </w:p>
        </w:tc>
        <w:tc>
          <w:tcPr>
            <w:tcW w:w="5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1,075 %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4"/>
          <w:szCs w:val="14"/>
          <w:color w:val="auto"/>
        </w:rPr>
        <w:t>Sales and marketing costs for the six months ended June 30, 2024 and 2023 were $1.7 million and $2.3 million, respectively. The decrease of $0.6 million is primarily due to a $0.5 million decrease in payroll costs due to a lower headcount within the department and a decrease in bonuses accrued, a $0.1 million decrease in tradeshow expense and a $0.1 million decrease in software, travel and miscellaneous office expenses, partially offset by a $0.2 million increase in consulting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ind w:right="29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6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3,421</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4,065</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3,110 %</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1,900 %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General and administrative costs for the six months ended June 30, 2024 and 2023 were $3.4 million and $4.1 million, respectively. The decrease of $0.6 million is primarily due to a $0.3 million decrease in stock-based compensation, a $0.2 million decrease in insurance premiums, a $0.1 million decrease in consulting and third-party service fees, a $0.1 million decrease in legal fees and a $0.1 million decrease in computer software and support, partially offset by a $0.1 million increase in public relations and annual meeting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Severance Expense: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5380" w:type="dxa"/>
            <w:vAlign w:val="bottom"/>
          </w:tcPr>
          <w:p>
            <w:pPr>
              <w:spacing w:after="0"/>
              <w:rPr>
                <w:sz w:val="11"/>
                <w:szCs w:val="11"/>
                <w:color w:val="auto"/>
              </w:rPr>
            </w:pPr>
          </w:p>
        </w:tc>
        <w:tc>
          <w:tcPr>
            <w:tcW w:w="190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53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right"/>
              <w:ind w:right="28"/>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60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1,294</w:t>
            </w: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60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1,176 %</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42 %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4"/>
          <w:szCs w:val="14"/>
          <w:color w:val="auto"/>
        </w:rPr>
        <w:t>Severance expense for the six months ended June 30, 2024 and 2023 was $1.3 million and $0.1 million, respectively. The increase of $1.2 million is primarily due to the departure of the former CEO during 2024 for which $1.2 million in severance expense was recorded.</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8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0" w:type="dxa"/>
            <w:vAlign w:val="bottom"/>
          </w:tcPr>
          <w:p>
            <w:pPr>
              <w:spacing w:after="0"/>
              <w:rPr>
                <w:sz w:val="11"/>
                <w:szCs w:val="11"/>
                <w:color w:val="auto"/>
              </w:rPr>
            </w:pPr>
          </w:p>
        </w:tc>
        <w:tc>
          <w:tcPr>
            <w:tcW w:w="100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Pr>
          <w:p>
            <w:pPr>
              <w:spacing w:after="0"/>
              <w:rPr>
                <w:sz w:val="9"/>
                <w:szCs w:val="9"/>
                <w:color w:val="auto"/>
              </w:rPr>
            </w:pPr>
          </w:p>
        </w:tc>
        <w:tc>
          <w:tcPr>
            <w:tcW w:w="8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 related to warrant liability</w:t>
            </w:r>
          </w:p>
        </w:tc>
        <w:tc>
          <w:tcPr>
            <w:tcW w:w="15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5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2"/>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540" w:type="dxa"/>
            <w:vAlign w:val="bottom"/>
          </w:tcPr>
          <w:p>
            <w:pPr>
              <w:spacing w:after="0"/>
              <w:rPr>
                <w:sz w:val="14"/>
                <w:szCs w:val="14"/>
                <w:color w:val="auto"/>
              </w:rPr>
            </w:pP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Offering costs related to warrant liability were $0.6 million for the six months ended June 30, 2023. We did not incur such cost during the six months ended June 30, 2024.</w:t>
      </w:r>
    </w:p>
    <w:p>
      <w:pPr>
        <w:spacing w:after="0" w:line="182"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4"/>
          <w:szCs w:val="14"/>
          <w:color w:val="auto"/>
        </w:rPr>
        <w:t>Other income resulting from the change in fair value of the warrant liability was $0.3 million for the six months ended June 30, 2024 and $1.9 million for the six months ended June 30, 2023. The changes for both periods were due to reduced market value of our common stock</w:t>
      </w:r>
    </w:p>
    <w:p>
      <w:pPr>
        <w:spacing w:after="0" w:line="123"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4"/>
          <w:szCs w:val="14"/>
          <w:color w:val="auto"/>
        </w:rPr>
        <w:t>Interest income for the six months ended June 30, 2024 was $0.2 million as compared to interest income of $0.5 million for the six months ended June 30, 2023. The decrease was due to a lower average cash balance in our savings account during the six months ended June 30, 2024 compared to the prior 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Net Loss. </w:t>
      </w:r>
      <w:r>
        <w:rPr>
          <w:rFonts w:ascii="Times New Roman" w:cs="Times New Roman" w:eastAsia="Times New Roman" w:hAnsi="Times New Roman"/>
          <w:sz w:val="14"/>
          <w:szCs w:val="14"/>
          <w:color w:val="auto"/>
        </w:rPr>
        <w:t>As a result of the above, net loss for the six months ended June 30, 2024 was $10.9 million as compared to $10.6 million for the six months ended June 30,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During the six months ended June 30, 2024 and 2023, we recorded revenue of $110,000 and $214,000, respectively. We incurred net losses of $10.9 million and $10.6 million for the six months ended June 30, 2024 and 2023, respectively. Net cash used in operating activities was $10.8 million and $11.7 million for the six months ended June 30, 2024 and 2023, respectively. We are currently meeting our liquidity requirements through the proceeds of securities offerings that raised net proceeds of $6.9 million during 2023 and $1.8 million during the first quarter of 2024.</w:t>
      </w:r>
    </w:p>
    <w:p>
      <w:pPr>
        <w:spacing w:after="0" w:line="13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color w:val="auto"/>
        </w:rPr>
        <w:t>As of June 30, 2024, the Company had cash and cash equivalents of $4.9 million. We believe our current cash on hand, together with additional anticipated proceeds from the ATM Program and other financing transactions during 2024, continued cost and expense reductions and collections generated by anticipated revenues, will be sufficient to fund the Company’s operations through at least the next twelve months.</w:t>
      </w:r>
    </w:p>
    <w:p>
      <w:pPr>
        <w:spacing w:after="0" w:line="135"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color w:val="auto"/>
        </w:rPr>
        <w:t>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Accordingly, we expect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and strategic plans.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February 2024 Equity Offering</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February 15, 2024, we entered into a securities purchase agreement with an institutional investor, providing for the issuance and sale by us, in a registered direct offering (the “February 2024 Offering”), of (i) 570,000 shares of our common stock, (ii) pre-funded warrants to purchase up to 450,409 shares of common stock, and (iii) warrants to purchase up to an aggregate of 1,020,409 shares of common stock. Each share of common stock and pre-funded warrant was offered and sold together with an accompanying warrant at a combined price of $1.96 per share of common stock or pre-funded warrant, as applicable. The pre-funded warrants were exercised at a price of $0.001 per share during April 2024. The other warrants to purchase 1,020,409 shares of common stock are still outstanding and have an exercise price of $1.84 per share. These warrants expire five years from the date of issuance. We received net proceeds of approximately $1.8 million from the February 2024 Offering, after deducting placement agent fees and estimated offering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ATM Offering Program</w:t>
      </w:r>
    </w:p>
    <w:p>
      <w:pPr>
        <w:spacing w:after="0" w:line="1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On June 21, 2024, the Company entered into the At the Market Offering Agreement, dated June 21, 2024, with H.C. Wainwright &amp; Co., LLC as sales agent, pursuant to which the Company may issue and sell of up to $3.5 million in shares of the Company’s common stock (the “ATM Program”). No sales were made under the ATM Program in the six months ended June 30, 2024. After June 30, 2024, the Company received gross proceeds of $0.2 million from the sale of an aggregate of 240,112 shares of common stock under the ATM Program during the period from July 1, 2024 through August 9,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8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Operating Activities - </w:t>
      </w:r>
      <w:r>
        <w:rPr>
          <w:rFonts w:ascii="Times New Roman" w:cs="Times New Roman" w:eastAsia="Times New Roman" w:hAnsi="Times New Roman"/>
          <w:sz w:val="14"/>
          <w:szCs w:val="14"/>
          <w:color w:val="auto"/>
        </w:rPr>
        <w:t>During the six months ended June 30, 2024, cash flows used in operating activities were $10.8 million, consisting of a net loss of $10.9 million,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adjustments to reconcile net loss to net cash used in operating activities aggregating $0.4 million (principally stock-based compensation of $0.5 million, depreciation and amortization of $0.1 million, offset by a change in fair value of warrant liability of $0.3 million), a $0.3 million decrease in accrued expenses, a $0.1 million increase in inventory and a $0.1 million decrease in accounts payable, partially offset by a $0.1 million decrease in prepaid expenses and other current assets.</w:t>
      </w:r>
    </w:p>
    <w:p>
      <w:pPr>
        <w:spacing w:after="0" w:line="1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During the six months ended June 30, 2023, cash flows used in operating activities were $11.7 million, consisting of a net loss of $10.6 million, plus adjustments to reconcile net loss to net cash used in operating activities aggregating $0.1 million (principally stock-based compensation of $1.0 million, issuance costs allocated to warrant liability of $0.6 million, inventory net realizable adjustment of $0.1 million and depreciation and amortization expense of $0.1 million, partially offset by a decrease in fair value of the warrant liability of $1.9 million), a $0.4 million increase in prepaid expenses and other current assets, a $0.4 million decrease in operating lease liabilities, a $0.3 million decrease in accrued expenses, a $0.2 million increase in inventory and a $0.2 million decrease in accrued severance, partially offset by a $0.2 million increase in accounts payable.</w:t>
      </w:r>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Investing Activities - </w:t>
      </w:r>
      <w:r>
        <w:rPr>
          <w:rFonts w:ascii="Times New Roman" w:cs="Times New Roman" w:eastAsia="Times New Roman" w:hAnsi="Times New Roman"/>
          <w:sz w:val="14"/>
          <w:szCs w:val="14"/>
          <w:color w:val="auto"/>
        </w:rPr>
        <w:t>During the six months ended June 30, 2024 and 2023, cash flows used in investing activities were $0.1 million and $0.1 million, respectively.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six months ended June 30, 2024, a small amount of testing and computer equipment was purchased. During the six months ended June 30, 2023, a small amount of testing equipment was purchased.</w:t>
      </w:r>
    </w:p>
    <w:p>
      <w:pPr>
        <w:spacing w:after="0" w:line="1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Financing Activities - </w:t>
      </w:r>
      <w:r>
        <w:rPr>
          <w:rFonts w:ascii="Times New Roman" w:cs="Times New Roman" w:eastAsia="Times New Roman" w:hAnsi="Times New Roman"/>
          <w:sz w:val="14"/>
          <w:szCs w:val="14"/>
          <w:color w:val="auto"/>
        </w:rPr>
        <w:t>During the six months ended June 30, 2024, cash flows provided by financing activities were $1.8 million, which primarily consisted of $1.8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 proceeds from a registered direct offering that included the sale of common stock, pre-funded warrants and warrants. During the six months ended June 30, 2023, cash flows provided by financing activities were $5.4 million, which consisted of $2.7 million in net proceeds from the issuance and sale of common stock and warrants, $2.7 million in net proceeds from the sale of shares of our common stock in an at-the-market (“ATM”) offering and $0.1 million in proceeds from the ESPP.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receipt of approximately $0.2 million of additional confirmed orders (“backlog”), the majority of which are scheduled to ship in the third quarter of 2024.</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this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We have established disclosure controls and procedures to ensure that material information relating to us is made known to the officers who certify our financial reports and the Board. Under the supervision and with the participation of our management, including our interim principal executive officer and our principal financial officer, we conducted an evaluation of our disclosure controls and procedures as such term is defined under Rule 13a-15(e) and 15d-15(e) under the Exchange Act.</w:t>
      </w:r>
    </w:p>
    <w:p>
      <w:pPr>
        <w:spacing w:after="0" w:line="13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Based on the evaluation, our interim principal executive officer and our principal financial officer concluded that these disclosure controls and procedures were effective as of June 30, 2024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6"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4"/>
          <w:szCs w:val="14"/>
          <w:color w:val="auto"/>
        </w:rPr>
        <w:t>For the three months ended June 30,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4"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We are not currently a party to any pending legal proceedings that we believe will have a material adverse effect on our business, financial condition or cash flows. We may, however, be subject to various claims and legal actions arising in the ordinary course of business from time to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2023. There have been no material changes to these risks and uncertainties described in our Annual Report on Form 10-K for the year ended December 31,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4"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4"/>
          <w:szCs w:val="14"/>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filed, furnished or incorporated by reference as a part of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560" w:type="dxa"/>
            <w:vAlign w:val="bottom"/>
            <w:gridSpan w:val="7"/>
            <w:vMerge w:val="restart"/>
          </w:tcPr>
          <w:p>
            <w:pPr>
              <w:ind w:left="13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5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Second Amended and Restated Certificate of Incorporation of Energous Corporation, as amended (incorporated by reference to Exhibit 3.1 to the Quarterly Report on Form 1</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Borders>
              <w:bottom w:val="single" w:sz="8" w:color="0000EE"/>
            </w:tcBorders>
            <w:gridSpan w:val="2"/>
          </w:tcPr>
          <w:p>
            <w:pPr>
              <w:spacing w:after="0" w:line="152" w:lineRule="exact"/>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Q filed on August 10, 2020).</w:t>
              </w:r>
            </w:hyperlink>
          </w:p>
        </w:tc>
        <w:tc>
          <w:tcPr>
            <w:tcW w:w="8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99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Certificate of Amendment to the Second Amended and Restated Certificate of Incorporation of Energous Corporation (incorporated by reference to Exhibit 3.1 to the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Borders>
              <w:bottom w:val="single" w:sz="8" w:color="0000EE"/>
            </w:tcBorders>
            <w:gridSpan w:val="3"/>
          </w:tcPr>
          <w:p>
            <w:pPr>
              <w:spacing w:after="0" w:line="152"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Report on Form 8-K filed on August 15, 2023).</w:t>
              </w:r>
            </w:hyperlink>
          </w:p>
        </w:tc>
        <w:tc>
          <w:tcPr>
            <w:tcW w:w="7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Amended and Restated Bylaws of Energous Corporation (incorporated by reference to Exhibit 3.1 to Amendment No. 1 to the Registrant’s Registration Statement on Form S-</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gridSpan w:val="12"/>
          </w:tcPr>
          <w:p>
            <w:pPr>
              <w:spacing w:after="0" w:line="152" w:lineRule="exact"/>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1/A (File No. 333-193522) filed on March 13, 2014).</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9960" w:type="dxa"/>
            <w:vAlign w:val="bottom"/>
            <w:gridSpan w:val="12"/>
          </w:tcPr>
          <w:p>
            <w:pPr>
              <w:spacing w:after="0"/>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Energous Corporation 2024 Equity Incentive Plan (incorporated by reference to Exhibit 10.1 of the Current Report on Form 8-K filed on June 14, 2024).</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color w:val="0000EE"/>
                </w:rPr>
                <w:t>Energous Corporation Amended and Restated Employee Stock Purchase Plan (incorporated by reference to Exhibit 10.2 of the Current Report on Form 8-K filed on June 14,</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gridSpan w:val="2"/>
          </w:tcPr>
          <w:p>
            <w:pPr>
              <w:ind w:left="120"/>
              <w:spacing w:after="0" w:line="152" w:lineRule="exact"/>
              <w:rPr>
                <w:rFonts w:ascii="Times New Roman" w:cs="Times New Roman" w:eastAsia="Times New Roman" w:hAnsi="Times New Roman"/>
                <w:sz w:val="14"/>
                <w:szCs w:val="14"/>
                <w:color w:val="0000EE"/>
                <w:w w:val="93"/>
              </w:rPr>
            </w:pPr>
            <w:hyperlink r:id="rId46">
              <w:r>
                <w:rPr>
                  <w:rFonts w:ascii="Times New Roman" w:cs="Times New Roman" w:eastAsia="Times New Roman" w:hAnsi="Times New Roman"/>
                  <w:sz w:val="14"/>
                  <w:szCs w:val="14"/>
                  <w:color w:val="0000EE"/>
                  <w:w w:val="93"/>
                </w:rPr>
                <w:t>2024).</w:t>
              </w:r>
            </w:hyperlink>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47">
              <w:r>
                <w:rPr>
                  <w:rFonts w:ascii="Times New Roman" w:cs="Times New Roman" w:eastAsia="Times New Roman" w:hAnsi="Times New Roman"/>
                  <w:sz w:val="14"/>
                  <w:szCs w:val="14"/>
                  <w:color w:val="0000EE"/>
                </w:rPr>
                <w:t>Severance and Change in Control Agreement, dated June 12, 2024, between Mallorie Burak and Energous Corporation (incorporated by reference to Exhibit 10.3 of the</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gridSpan w:val="12"/>
          </w:tcPr>
          <w:p>
            <w:pPr>
              <w:spacing w:after="0" w:line="152" w:lineRule="exact"/>
              <w:rPr>
                <w:rFonts w:ascii="Times New Roman" w:cs="Times New Roman" w:eastAsia="Times New Roman" w:hAnsi="Times New Roman"/>
                <w:sz w:val="14"/>
                <w:szCs w:val="14"/>
                <w:color w:val="0000EE"/>
              </w:rPr>
            </w:pPr>
            <w:hyperlink r:id="rId47">
              <w:r>
                <w:rPr>
                  <w:rFonts w:ascii="Times New Roman" w:cs="Times New Roman" w:eastAsia="Times New Roman" w:hAnsi="Times New Roman"/>
                  <w:sz w:val="14"/>
                  <w:szCs w:val="14"/>
                  <w:color w:val="0000EE"/>
                </w:rPr>
                <w:t>Current Report on Form 8 K filed on June 14, 2024)</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At The Market Offering Agreement, dated June 21, 2024, by and between Energous Corporation and H.C. Wainwright &amp; Co., LLC (incorporated by reference to Exhibit 10.1</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gridSpan w:val="12"/>
          </w:tcPr>
          <w:p>
            <w:pPr>
              <w:spacing w:after="0" w:line="152" w:lineRule="exact"/>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of the Current Report on Form 8-K filed on June 21, 2024).</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Pursuant to Rule 13a-14(a) or Rule 15d-14(a) of the Securities Exchange Act of 1934</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40" w:type="dxa"/>
            <w:vAlign w:val="bottom"/>
            <w:gridSpan w:val="6"/>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12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40" w:hanging="731"/>
        <w:spacing w:after="0"/>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contained in Exhibit 101)</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15805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58051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10700"/>
          </w:cols>
          <w:pgMar w:left="960" w:top="43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4"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(Registrant)</w:t>
      </w:r>
    </w:p>
    <w:p>
      <w:pPr>
        <w:sectPr>
          <w:pgSz w:w="11900" w:h="16838" w:orient="portrait"/>
          <w:cols w:equalWidth="0" w:num="1">
            <w:col w:w="9960"/>
          </w:cols>
          <w:pgMar w:left="960" w:top="436" w:right="979" w:bottom="1440" w:gutter="0" w:footer="0" w:header="0"/>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August 12, 2024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p>
      <w:pPr>
        <w:sectPr>
          <w:pgSz w:w="11900" w:h="16838" w:orient="portrait"/>
          <w:cols w:equalWidth="0" w:num="3">
            <w:col w:w="4280" w:space="720"/>
            <w:col w:w="200" w:space="140"/>
            <w:col w:w="4620"/>
          </w:cols>
          <w:pgMar w:left="960" w:top="436" w:right="979" w:bottom="1440" w:gutter="0" w:footer="0" w:header="0"/>
          <w:type w:val="continuous"/>
        </w:sectPr>
      </w:pPr>
    </w:p>
    <w:p>
      <w:pPr>
        <w:ind w:left="5340"/>
        <w:spacing w:after="0"/>
        <w:tabs>
          <w:tab w:leader="none" w:pos="5840" w:val="left"/>
        </w:tabs>
        <w:rPr>
          <w:sz w:val="20"/>
          <w:szCs w:val="20"/>
          <w:color w:val="auto"/>
        </w:rPr>
      </w:pPr>
      <w:r>
        <w:rPr>
          <w:rFonts w:ascii="Times New Roman" w:cs="Times New Roman" w:eastAsia="Times New Roman" w:hAnsi="Times New Roman"/>
          <w:sz w:val="14"/>
          <w:szCs w:val="14"/>
          <w:color w:val="auto"/>
        </w:rPr>
        <w:t>Name:</w:t>
        <w:tab/>
        <w:t>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-100965</wp:posOffset>
            </wp:positionV>
            <wp:extent cx="29298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929890" cy="6985"/>
                    </a:xfrm>
                    <a:prstGeom prst="rect">
                      <a:avLst/>
                    </a:prstGeom>
                    <a:noFill/>
                  </pic:spPr>
                </pic:pic>
              </a:graphicData>
            </a:graphic>
          </wp:anchor>
        </w:drawing>
      </w:r>
    </w:p>
    <w:p>
      <w:pPr>
        <w:spacing w:after="0" w:line="1"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(Principal Executive Officer, Principal Financial</w:t>
      </w:r>
    </w:p>
    <w:p>
      <w:pPr>
        <w:spacing w:after="0" w:line="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Mallorie Burak, certify that:</w:t>
      </w:r>
    </w:p>
    <w:p>
      <w:pPr>
        <w:spacing w:after="0" w:line="182" w:lineRule="exact"/>
        <w:rPr>
          <w:sz w:val="20"/>
          <w:szCs w:val="20"/>
          <w:color w:val="auto"/>
        </w:rPr>
      </w:pPr>
    </w:p>
    <w:p>
      <w:pPr>
        <w:ind w:left="520" w:hanging="25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Energous Corporation;</w:t>
      </w:r>
    </w:p>
    <w:p>
      <w:pPr>
        <w:spacing w:after="0" w:line="182" w:lineRule="exact"/>
        <w:rPr>
          <w:rFonts w:ascii="Times New Roman" w:cs="Times New Roman" w:eastAsia="Times New Roman" w:hAnsi="Times New Roman"/>
          <w:sz w:val="14"/>
          <w:szCs w:val="14"/>
          <w:color w:val="auto"/>
        </w:rPr>
      </w:pPr>
    </w:p>
    <w:p>
      <w:pPr>
        <w:ind w:left="520" w:right="100" w:hanging="254"/>
        <w:spacing w:after="0" w:line="292"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560" w:hanging="254"/>
        <w:spacing w:after="0" w:line="292"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40" w:hanging="254"/>
        <w:spacing w:after="0" w:line="292"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80" w:right="200" w:hanging="256"/>
        <w:spacing w:after="0" w:line="274"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80" w:right="20" w:hanging="256"/>
        <w:spacing w:after="0" w:line="274"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780" w:right="320" w:hanging="256"/>
        <w:spacing w:after="0" w:line="292"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80" w:right="20" w:hanging="256"/>
        <w:spacing w:after="0" w:line="274"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520" w:right="200" w:hanging="254"/>
        <w:spacing w:after="0" w:line="292"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80" w:right="480" w:hanging="256"/>
        <w:spacing w:after="0" w:line="292"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780" w:right="120" w:hanging="256"/>
        <w:spacing w:after="0" w:line="292"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12,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4480" w:type="dxa"/>
            <w:vAlign w:val="bottom"/>
            <w:tcBorders>
              <w:top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Mallorie Burak</w:t>
            </w:r>
          </w:p>
        </w:tc>
        <w:tc>
          <w:tcPr>
            <w:tcW w:w="5000" w:type="dxa"/>
            <w:vAlign w:val="bottom"/>
          </w:tcPr>
          <w:p>
            <w:pPr>
              <w:spacing w:after="0"/>
              <w:rPr>
                <w:sz w:val="12"/>
                <w:szCs w:val="12"/>
                <w:color w:val="auto"/>
              </w:rPr>
            </w:pPr>
          </w:p>
        </w:tc>
      </w:tr>
      <w:tr>
        <w:trPr>
          <w:trHeight w:val="172"/>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9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(Principal Executive Officer, Principal Financial Officer and</w:t>
            </w:r>
          </w:p>
        </w:tc>
      </w:t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614"/>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3" w:right="9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of Energous Corporation (the “Company”) on Form 10-Q for the period ended June 30, 2024 as filed with the Securities and Exchange Commission on the date hereof (the “Report”), I, Mallorie Burak, Chief Financial Officer, certify, pursuant to 18 U.S.C. § 1350, as adopted pursuant to § 906 of the Sarbanes-Oxley Act of 2002, that:</w:t>
      </w:r>
    </w:p>
    <w:p>
      <w:pPr>
        <w:spacing w:after="0" w:line="135" w:lineRule="exact"/>
        <w:rPr>
          <w:sz w:val="20"/>
          <w:szCs w:val="20"/>
          <w:color w:val="auto"/>
        </w:rPr>
      </w:pPr>
    </w:p>
    <w:p>
      <w:pPr>
        <w:ind w:left="780" w:hanging="256"/>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780" w:right="40" w:hanging="256"/>
        <w:spacing w:after="0" w:line="292" w:lineRule="auto"/>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periods presented therein.</w:t>
      </w:r>
    </w:p>
    <w:p>
      <w:pPr>
        <w:spacing w:after="0" w:line="123"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Name:</w:t>
        <w:tab/>
        <w:t>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31610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161030" cy="6985"/>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Title:</w:t>
        <w:tab/>
        <w:t>Chief Financial Officer (Principal Executive Officer,</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Date:</w:t>
        <w:tab/>
        <w:t>August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631571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315710" cy="20320"/>
                    </a:xfrm>
                    <a:prstGeom prst="rect">
                      <a:avLst/>
                    </a:prstGeom>
                    <a:noFill/>
                  </pic:spPr>
                </pic:pic>
              </a:graphicData>
            </a:graphic>
          </wp:anchor>
        </w:drawing>
      </w:r>
    </w:p>
    <w:sectPr>
      <w:pgSz w:w="11900" w:h="16838" w:orient="portrait"/>
      <w:cols w:equalWidth="0" w:num="1">
        <w:col w:w="9960"/>
      </w:cols>
      <w:pgMar w:left="960" w:top="12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04"/>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42" Type="http://schemas.openxmlformats.org/officeDocument/2006/relationships/hyperlink" Target="https://www.sec.gov/Archives/edgar/data/1575793/000156459020038993/watt-ex31_26.htm" TargetMode="External"/><Relationship Id="rId43" Type="http://schemas.openxmlformats.org/officeDocument/2006/relationships/hyperlink" Target="https://www.sec.gov/Archives/edgar/data/1575793/000119312523213522/d495019dex31.htm" TargetMode="External"/><Relationship Id="rId44" Type="http://schemas.openxmlformats.org/officeDocument/2006/relationships/hyperlink" Target="https://www.sec.gov/Archives/edgar/data/1575793/000114420414015276/v371366_ex3-2.htm" TargetMode="External"/><Relationship Id="rId45" Type="http://schemas.openxmlformats.org/officeDocument/2006/relationships/hyperlink" Target="https://www.sec.gov/Archives/edgar/data/1575793/000110465924071806/tm2417269d1_ex10-1.htm" TargetMode="External"/><Relationship Id="rId46" Type="http://schemas.openxmlformats.org/officeDocument/2006/relationships/hyperlink" Target="https://www.sec.gov/Archives/edgar/data/1575793/000110465924071806/tm2417269d1_ex10-2.htm" TargetMode="External"/><Relationship Id="rId47" Type="http://schemas.openxmlformats.org/officeDocument/2006/relationships/hyperlink" Target="https://www.sec.gov/Archives/edgar/data/1575793/000110465924071806/tm2417269d1_ex10-3.htm" TargetMode="External"/><Relationship Id="rId48" Type="http://schemas.openxmlformats.org/officeDocument/2006/relationships/hyperlink" Target="https://www.sec.gov/Archives/edgar/data/1575793/000110465924073976/tm241774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2024-08-12T16:07:13Z</dcterms:created>
  <dcterms:modified xsi:type="dcterms:W3CDTF">2024-08-12T16:07:13Z</dcterms:modified>
</cp:coreProperties>
</file>